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96443">
      <w:pPr>
        <w:snapToGrid w:val="0"/>
        <w:spacing w:line="360" w:lineRule="auto"/>
        <w:jc w:val="center"/>
        <w:rPr>
          <w:b/>
          <w:sz w:val="30"/>
          <w:szCs w:val="30"/>
        </w:rPr>
      </w:pPr>
      <w:bookmarkStart w:id="0" w:name="_GoBack"/>
      <w:bookmarkEnd w:id="0"/>
      <w:r>
        <w:rPr>
          <w:b/>
          <w:sz w:val="30"/>
          <w:szCs w:val="30"/>
        </w:rPr>
        <w:t>房屋租赁合同</w:t>
      </w:r>
    </w:p>
    <w:p w14:paraId="03D85D1F">
      <w:pPr>
        <w:snapToGrid w:val="0"/>
        <w:spacing w:line="360" w:lineRule="auto"/>
        <w:rPr>
          <w:szCs w:val="21"/>
        </w:rPr>
      </w:pPr>
    </w:p>
    <w:p w14:paraId="1E792EA1">
      <w:pPr>
        <w:snapToGrid w:val="0"/>
        <w:spacing w:line="360" w:lineRule="auto"/>
        <w:rPr>
          <w:b/>
          <w:bCs/>
          <w:szCs w:val="21"/>
        </w:rPr>
      </w:pPr>
      <w:r>
        <w:rPr>
          <w:b/>
          <w:bCs/>
          <w:szCs w:val="21"/>
        </w:rPr>
        <w:t>出租方（甲方）：</w:t>
      </w:r>
    </w:p>
    <w:p w14:paraId="29FE8B17">
      <w:pPr>
        <w:snapToGrid w:val="0"/>
        <w:spacing w:line="360" w:lineRule="auto"/>
        <w:rPr>
          <w:szCs w:val="21"/>
        </w:rPr>
      </w:pPr>
      <w:r>
        <w:rPr>
          <w:szCs w:val="21"/>
        </w:rPr>
        <w:t>法定代表人：</w:t>
      </w:r>
    </w:p>
    <w:p w14:paraId="252AB877">
      <w:pPr>
        <w:snapToGrid w:val="0"/>
        <w:spacing w:line="360" w:lineRule="auto"/>
        <w:rPr>
          <w:szCs w:val="21"/>
        </w:rPr>
      </w:pPr>
      <w:r>
        <w:rPr>
          <w:szCs w:val="21"/>
        </w:rPr>
        <w:t>住所地：</w:t>
      </w:r>
    </w:p>
    <w:p w14:paraId="72F36F2A">
      <w:pPr>
        <w:snapToGrid w:val="0"/>
        <w:spacing w:line="360" w:lineRule="auto"/>
        <w:rPr>
          <w:szCs w:val="21"/>
        </w:rPr>
      </w:pPr>
    </w:p>
    <w:p w14:paraId="7FFC9876">
      <w:pPr>
        <w:snapToGrid w:val="0"/>
        <w:spacing w:line="360" w:lineRule="auto"/>
        <w:rPr>
          <w:b/>
          <w:bCs/>
        </w:rPr>
      </w:pPr>
      <w:r>
        <w:rPr>
          <w:b/>
          <w:bCs/>
        </w:rPr>
        <w:t>承租方（乙方）：</w:t>
      </w:r>
    </w:p>
    <w:p w14:paraId="1871F0F6">
      <w:pPr>
        <w:snapToGrid w:val="0"/>
        <w:spacing w:line="360" w:lineRule="auto"/>
        <w:rPr>
          <w:szCs w:val="21"/>
        </w:rPr>
      </w:pPr>
      <w:r>
        <w:rPr>
          <w:szCs w:val="21"/>
        </w:rPr>
        <w:t>法定代表人：</w:t>
      </w:r>
    </w:p>
    <w:p w14:paraId="6635DE36">
      <w:pPr>
        <w:snapToGrid w:val="0"/>
        <w:spacing w:line="360" w:lineRule="auto"/>
        <w:rPr>
          <w:szCs w:val="21"/>
        </w:rPr>
      </w:pPr>
      <w:r>
        <w:rPr>
          <w:szCs w:val="21"/>
        </w:rPr>
        <w:t>身份证号码（如是个人承租）：</w:t>
      </w:r>
    </w:p>
    <w:p w14:paraId="3B9ABD72">
      <w:pPr>
        <w:snapToGrid w:val="0"/>
        <w:spacing w:line="360" w:lineRule="auto"/>
        <w:rPr>
          <w:szCs w:val="21"/>
        </w:rPr>
      </w:pPr>
      <w:r>
        <w:rPr>
          <w:szCs w:val="21"/>
        </w:rPr>
        <w:t>住所地：</w:t>
      </w:r>
    </w:p>
    <w:p w14:paraId="3A62939C">
      <w:pPr>
        <w:snapToGrid w:val="0"/>
        <w:spacing w:line="360" w:lineRule="auto"/>
        <w:rPr>
          <w:szCs w:val="21"/>
        </w:rPr>
      </w:pPr>
      <w:r>
        <w:rPr>
          <w:szCs w:val="21"/>
        </w:rPr>
        <w:t xml:space="preserve"> </w:t>
      </w:r>
    </w:p>
    <w:p w14:paraId="72C58F4D">
      <w:pPr>
        <w:snapToGrid w:val="0"/>
        <w:spacing w:line="360" w:lineRule="auto"/>
        <w:ind w:firstLine="420" w:firstLineChars="200"/>
      </w:pPr>
      <w:r>
        <w:t>根据</w:t>
      </w:r>
      <w:r>
        <w:rPr>
          <w:rFonts w:hint="eastAsia"/>
        </w:rPr>
        <w:t>《中华人民共和国民法典》</w:t>
      </w:r>
      <w:r>
        <w:t>及</w:t>
      </w:r>
      <w:r>
        <w:rPr>
          <w:bCs/>
        </w:rPr>
        <w:t>相关法律法规的</w:t>
      </w:r>
      <w:r>
        <w:t>规定，甲乙双方在平等、自愿、公平和诚实守信的基础上，经协商一致，在浙江省杭州市</w:t>
      </w:r>
      <w:r>
        <w:rPr>
          <w:u w:val="single"/>
        </w:rPr>
        <w:t xml:space="preserve">      </w:t>
      </w:r>
      <w:r>
        <w:t>区订立本合同，共同遵守。</w:t>
      </w:r>
    </w:p>
    <w:p w14:paraId="3E249060">
      <w:pPr>
        <w:snapToGrid w:val="0"/>
        <w:spacing w:line="360" w:lineRule="auto"/>
        <w:jc w:val="center"/>
        <w:rPr>
          <w:b/>
          <w:szCs w:val="21"/>
        </w:rPr>
      </w:pPr>
      <w:r>
        <w:rPr>
          <w:b/>
          <w:szCs w:val="21"/>
        </w:rPr>
        <w:t>一、租赁物业概况</w:t>
      </w:r>
    </w:p>
    <w:p w14:paraId="1BC379C2">
      <w:pPr>
        <w:snapToGrid w:val="0"/>
        <w:spacing w:line="360" w:lineRule="auto"/>
        <w:ind w:firstLine="420" w:firstLineChars="200"/>
      </w:pPr>
      <w:r>
        <w:t>1甲方出租给乙方的物业</w:t>
      </w:r>
      <w:r>
        <w:rPr>
          <w:rFonts w:hint="eastAsia"/>
          <w:lang w:eastAsia="zh-CN"/>
        </w:rPr>
        <w:t>坐落于</w:t>
      </w:r>
      <w:r>
        <w:t>杭州市</w:t>
      </w:r>
      <w:r>
        <w:rPr>
          <w:u w:val="single"/>
        </w:rPr>
        <w:t xml:space="preserve">    </w:t>
      </w:r>
      <w:r>
        <w:rPr>
          <w:rFonts w:hint="eastAsia"/>
          <w:u w:val="single"/>
        </w:rPr>
        <w:t>戒坛寺巷21号</w:t>
      </w:r>
      <w:r>
        <w:rPr>
          <w:rFonts w:hint="eastAsia"/>
          <w:u w:val="single"/>
          <w:lang w:eastAsia="zh-CN"/>
        </w:rPr>
        <w:t>（以下简称“该物业”）</w:t>
      </w:r>
      <w:r>
        <w:t>，</w:t>
      </w:r>
      <w:r>
        <w:rPr>
          <w:bCs/>
        </w:rPr>
        <w:t>该物业建筑面积为</w:t>
      </w:r>
      <w:r>
        <w:rPr>
          <w:bCs/>
          <w:u w:val="single"/>
        </w:rPr>
        <w:t xml:space="preserve">   </w:t>
      </w:r>
      <w:r>
        <w:rPr>
          <w:rFonts w:hint="eastAsia"/>
          <w:bCs/>
          <w:u w:val="single"/>
        </w:rPr>
        <w:t>266</w:t>
      </w:r>
      <w:r>
        <w:rPr>
          <w:rFonts w:hint="eastAsia"/>
          <w:bCs/>
          <w:highlight w:val="none"/>
          <w:u w:val="single"/>
        </w:rPr>
        <w:t>7.92</w:t>
      </w:r>
      <w:r>
        <w:rPr>
          <w:bCs/>
          <w:highlight w:val="none"/>
          <w:u w:val="single"/>
        </w:rPr>
        <w:t xml:space="preserve">    </w:t>
      </w:r>
      <w:r>
        <w:rPr>
          <w:bCs/>
          <w:highlight w:val="none"/>
        </w:rPr>
        <w:t>平方米（以甲方提供的测绘成果表或房产证为准）。</w:t>
      </w:r>
      <w:r>
        <w:rPr>
          <w:highlight w:val="none"/>
        </w:rPr>
        <w:t>该租赁物业测绘成果表或产权登记证复印件见本合同</w:t>
      </w:r>
      <w:r>
        <w:rPr>
          <w:highlight w:val="none"/>
          <w:u w:val="single"/>
        </w:rPr>
        <w:t>附件一</w:t>
      </w:r>
      <w:r>
        <w:rPr>
          <w:highlight w:val="none"/>
        </w:rPr>
        <w:t>，该租赁物业平面图见本合同</w:t>
      </w:r>
      <w:r>
        <w:rPr>
          <w:highlight w:val="none"/>
          <w:u w:val="single"/>
        </w:rPr>
        <w:t>附件</w:t>
      </w:r>
      <w:r>
        <w:rPr>
          <w:highlight w:val="none"/>
        </w:rPr>
        <w:t>。</w:t>
      </w:r>
    </w:p>
    <w:p w14:paraId="7357AFDF">
      <w:pPr>
        <w:snapToGrid w:val="0"/>
        <w:spacing w:line="360" w:lineRule="auto"/>
        <w:jc w:val="center"/>
        <w:rPr>
          <w:b/>
          <w:szCs w:val="21"/>
        </w:rPr>
      </w:pPr>
      <w:r>
        <w:rPr>
          <w:b/>
          <w:szCs w:val="21"/>
        </w:rPr>
        <w:t>二、租赁用途</w:t>
      </w:r>
    </w:p>
    <w:p w14:paraId="0602F8C0">
      <w:pPr>
        <w:snapToGrid w:val="0"/>
        <w:spacing w:line="360" w:lineRule="auto"/>
        <w:ind w:firstLine="420" w:firstLineChars="200"/>
        <w:rPr>
          <w:szCs w:val="21"/>
        </w:rPr>
      </w:pPr>
      <w:r>
        <w:rPr>
          <w:szCs w:val="21"/>
        </w:rPr>
        <w:t>2.1租赁物业仅作为</w:t>
      </w:r>
      <w:r>
        <w:rPr>
          <w:szCs w:val="21"/>
          <w:u w:val="single"/>
        </w:rPr>
        <w:t xml:space="preserve">                                         </w:t>
      </w:r>
      <w:r>
        <w:rPr>
          <w:szCs w:val="21"/>
        </w:rPr>
        <w:t>使用。在未征得甲方书面同意以及按规定须经有关部门审批而</w:t>
      </w:r>
      <w:r>
        <w:rPr>
          <w:rFonts w:hint="eastAsia"/>
          <w:szCs w:val="21"/>
          <w:lang w:eastAsia="zh-CN"/>
        </w:rPr>
        <w:t>未获</w:t>
      </w:r>
      <w:r>
        <w:rPr>
          <w:szCs w:val="21"/>
        </w:rPr>
        <w:t>批准前，乙方不得擅自改变上述约定的使用用途。</w:t>
      </w:r>
    </w:p>
    <w:p w14:paraId="3B0D7F3E">
      <w:pPr>
        <w:snapToGrid w:val="0"/>
        <w:spacing w:line="360" w:lineRule="auto"/>
        <w:ind w:firstLine="420" w:firstLineChars="200"/>
        <w:rPr>
          <w:szCs w:val="21"/>
          <w:highlight w:val="yellow"/>
        </w:rPr>
      </w:pPr>
      <w:r>
        <w:rPr>
          <w:rFonts w:hint="eastAsia"/>
          <w:szCs w:val="21"/>
          <w:highlight w:val="yellow"/>
        </w:rPr>
        <w:t>鉴于租赁物业规划土地用途为</w:t>
      </w:r>
      <w:r>
        <w:rPr>
          <w:szCs w:val="21"/>
          <w:highlight w:val="yellow"/>
          <w:u w:val="single"/>
        </w:rPr>
        <w:t xml:space="preserve">       </w:t>
      </w:r>
      <w:r>
        <w:rPr>
          <w:rFonts w:hint="eastAsia"/>
          <w:color w:val="000000" w:themeColor="text1"/>
          <w:szCs w:val="21"/>
          <w:highlight w:val="yellow"/>
          <w:u w:val="single"/>
          <w14:textFill>
            <w14:solidFill>
              <w14:schemeClr w14:val="tx1"/>
            </w14:solidFill>
          </w14:textFill>
        </w:rPr>
        <w:t>机关团体用地</w:t>
      </w:r>
      <w:r>
        <w:rPr>
          <w:color w:val="000000" w:themeColor="text1"/>
          <w:szCs w:val="21"/>
          <w:highlight w:val="yellow"/>
          <w:u w:val="single"/>
          <w14:textFill>
            <w14:solidFill>
              <w14:schemeClr w14:val="tx1"/>
            </w14:solidFill>
          </w14:textFill>
        </w:rPr>
        <w:t>/</w:t>
      </w:r>
      <w:r>
        <w:rPr>
          <w:rFonts w:hint="eastAsia"/>
          <w:color w:val="000000" w:themeColor="text1"/>
          <w:szCs w:val="21"/>
          <w:highlight w:val="yellow"/>
          <w:u w:val="single"/>
          <w14:textFill>
            <w14:solidFill>
              <w14:schemeClr w14:val="tx1"/>
            </w14:solidFill>
          </w14:textFill>
        </w:rPr>
        <w:t>非住宅</w:t>
      </w:r>
      <w:r>
        <w:rPr>
          <w:color w:val="000000" w:themeColor="text1"/>
          <w:szCs w:val="21"/>
          <w:highlight w:val="yellow"/>
          <w:u w:val="single"/>
          <w14:textFill>
            <w14:solidFill>
              <w14:schemeClr w14:val="tx1"/>
            </w14:solidFill>
          </w14:textFill>
        </w:rPr>
        <w:t xml:space="preserve"> </w:t>
      </w:r>
      <w:r>
        <w:rPr>
          <w:szCs w:val="21"/>
          <w:highlight w:val="yellow"/>
          <w:u w:val="single"/>
        </w:rPr>
        <w:t xml:space="preserve">      </w:t>
      </w:r>
      <w:r>
        <w:rPr>
          <w:rFonts w:hint="eastAsia"/>
          <w:szCs w:val="21"/>
          <w:highlight w:val="yellow"/>
        </w:rPr>
        <w:t>，</w:t>
      </w:r>
      <w:r>
        <w:rPr>
          <w:rFonts w:hint="eastAsia"/>
          <w:szCs w:val="21"/>
          <w:highlight w:val="none"/>
        </w:rPr>
        <w:t>甲方</w:t>
      </w:r>
      <w:r>
        <w:rPr>
          <w:rFonts w:hint="eastAsia"/>
          <w:szCs w:val="21"/>
          <w:highlight w:val="none"/>
          <w:lang w:val="en-US" w:eastAsia="zh-CN"/>
        </w:rPr>
        <w:t>将申请</w:t>
      </w:r>
      <w:r>
        <w:rPr>
          <w:rFonts w:hint="eastAsia"/>
          <w:szCs w:val="21"/>
          <w:highlight w:val="none"/>
        </w:rPr>
        <w:t>临时改变房屋用途，</w:t>
      </w:r>
      <w:r>
        <w:rPr>
          <w:rFonts w:hint="eastAsia"/>
          <w:szCs w:val="21"/>
          <w:highlight w:val="yellow"/>
        </w:rPr>
        <w:t>如因乙方使用用途与经批准的临时改变用途不一致而产生的责任及费用由乙方承担。</w:t>
      </w:r>
    </w:p>
    <w:p w14:paraId="0FD74EC9">
      <w:pPr>
        <w:snapToGrid w:val="0"/>
        <w:spacing w:line="360" w:lineRule="auto"/>
        <w:ind w:firstLine="420" w:firstLineChars="200"/>
        <w:rPr>
          <w:szCs w:val="21"/>
        </w:rPr>
      </w:pPr>
      <w:r>
        <w:rPr>
          <w:szCs w:val="21"/>
        </w:rPr>
        <w:t>2.2乙方使用该物业从事经营活动时，应遵守国家及当地政府制定的</w:t>
      </w:r>
      <w:r>
        <w:rPr>
          <w:rFonts w:hint="eastAsia"/>
          <w:szCs w:val="21"/>
          <w:lang w:eastAsia="zh-CN"/>
        </w:rPr>
        <w:t>法律法规</w:t>
      </w:r>
      <w:r>
        <w:rPr>
          <w:szCs w:val="21"/>
        </w:rPr>
        <w:t>、其他规范性文件及社会公序良俗</w:t>
      </w:r>
      <w:r>
        <w:rPr>
          <w:rFonts w:hint="eastAsia"/>
          <w:szCs w:val="21"/>
        </w:rPr>
        <w:t>，主动服从属地社区、各级政府相关职能部门的管理要求与工作指示，配合开展各项检查、整改及专项治理工作</w:t>
      </w:r>
      <w:r>
        <w:rPr>
          <w:szCs w:val="21"/>
        </w:rPr>
        <w:t>。如乙方利用该物业从事违法、违规或不道德的活动而给甲方造成的所有直接损失和间接损失，由乙方赔偿。</w:t>
      </w:r>
    </w:p>
    <w:p w14:paraId="51F61FA7">
      <w:pPr>
        <w:snapToGrid w:val="0"/>
        <w:spacing w:line="360" w:lineRule="auto"/>
        <w:ind w:firstLine="420" w:firstLineChars="200"/>
        <w:rPr>
          <w:szCs w:val="21"/>
        </w:rPr>
      </w:pPr>
      <w:r>
        <w:rPr>
          <w:szCs w:val="21"/>
        </w:rPr>
        <w:t>2.3乙方自行办理经营许可等开业前的一切行政审批手续，如在办理过程中，需要甲方提供现有资料的，甲方应予提供。乙方不得以未取得行政审批手续为由，拒绝支付租金。</w:t>
      </w:r>
    </w:p>
    <w:p w14:paraId="6A293111">
      <w:pPr>
        <w:snapToGrid w:val="0"/>
        <w:spacing w:line="360" w:lineRule="auto"/>
        <w:jc w:val="center"/>
        <w:rPr>
          <w:b/>
          <w:szCs w:val="21"/>
        </w:rPr>
      </w:pPr>
      <w:r>
        <w:rPr>
          <w:b/>
          <w:szCs w:val="21"/>
        </w:rPr>
        <w:t>三、租赁期限</w:t>
      </w:r>
    </w:p>
    <w:p w14:paraId="7C4C984F">
      <w:pPr>
        <w:snapToGrid w:val="0"/>
        <w:spacing w:line="360" w:lineRule="auto"/>
        <w:ind w:firstLine="420" w:firstLineChars="200"/>
        <w:rPr>
          <w:rFonts w:hint="eastAsia"/>
          <w:color w:val="000000" w:themeColor="text1"/>
          <w:szCs w:val="21"/>
          <w:highlight w:val="none"/>
          <w14:textFill>
            <w14:solidFill>
              <w14:schemeClr w14:val="tx1"/>
            </w14:solidFill>
          </w14:textFill>
        </w:rPr>
      </w:pPr>
      <w:r>
        <w:rPr>
          <w:color w:val="FF0000"/>
          <w:szCs w:val="21"/>
          <w:highlight w:val="yellow"/>
        </w:rPr>
        <w:t>3.1</w:t>
      </w:r>
      <w:r>
        <w:rPr>
          <w:rFonts w:hint="eastAsia"/>
          <w:color w:val="FF0000"/>
          <w:highlight w:val="yellow"/>
        </w:rPr>
        <w:t xml:space="preserve"> 房屋起租日从甲方书面通知的物业交付之日起计算，</w:t>
      </w:r>
      <w:r>
        <w:rPr>
          <w:color w:val="FF0000"/>
          <w:szCs w:val="21"/>
        </w:rPr>
        <w:t>租赁期限为</w:t>
      </w:r>
      <w:r>
        <w:rPr>
          <w:color w:val="FF0000"/>
          <w:szCs w:val="21"/>
          <w:u w:val="single"/>
        </w:rPr>
        <w:t xml:space="preserve">  </w:t>
      </w:r>
      <w:r>
        <w:rPr>
          <w:rFonts w:hint="eastAsia"/>
          <w:color w:val="FF0000"/>
          <w:szCs w:val="21"/>
          <w:u w:val="single"/>
        </w:rPr>
        <w:t>10</w:t>
      </w:r>
      <w:r>
        <w:rPr>
          <w:color w:val="FF0000"/>
          <w:szCs w:val="21"/>
          <w:u w:val="single"/>
        </w:rPr>
        <w:t xml:space="preserve">  </w:t>
      </w:r>
      <w:r>
        <w:rPr>
          <w:rFonts w:hint="eastAsia"/>
          <w:color w:val="FF0000"/>
          <w:szCs w:val="21"/>
          <w:u w:val="single"/>
        </w:rPr>
        <w:t>年</w:t>
      </w:r>
      <w:r>
        <w:rPr>
          <w:color w:val="FF0000"/>
          <w:szCs w:val="21"/>
        </w:rPr>
        <w:t>，自</w:t>
      </w:r>
      <w:r>
        <w:rPr>
          <w:color w:val="FF0000"/>
          <w:szCs w:val="21"/>
          <w:u w:val="single"/>
        </w:rPr>
        <w:t xml:space="preserve">     </w:t>
      </w:r>
      <w:r>
        <w:rPr>
          <w:color w:val="FF0000"/>
          <w:szCs w:val="21"/>
        </w:rPr>
        <w:t>年</w:t>
      </w:r>
      <w:r>
        <w:rPr>
          <w:color w:val="FF0000"/>
          <w:szCs w:val="21"/>
          <w:u w:val="single"/>
        </w:rPr>
        <w:t xml:space="preserve">   </w:t>
      </w:r>
      <w:r>
        <w:rPr>
          <w:color w:val="FF0000"/>
          <w:szCs w:val="21"/>
        </w:rPr>
        <w:t>月</w:t>
      </w:r>
      <w:r>
        <w:rPr>
          <w:color w:val="FF0000"/>
          <w:szCs w:val="21"/>
          <w:u w:val="single"/>
        </w:rPr>
        <w:t xml:space="preserve">   </w:t>
      </w:r>
      <w:r>
        <w:rPr>
          <w:color w:val="FF0000"/>
          <w:szCs w:val="21"/>
        </w:rPr>
        <w:t>日起至</w:t>
      </w:r>
      <w:r>
        <w:rPr>
          <w:color w:val="FF0000"/>
          <w:szCs w:val="21"/>
          <w:u w:val="single"/>
        </w:rPr>
        <w:t xml:space="preserve">    </w:t>
      </w:r>
      <w:r>
        <w:rPr>
          <w:color w:val="FF0000"/>
          <w:szCs w:val="21"/>
        </w:rPr>
        <w:t>年</w:t>
      </w:r>
      <w:r>
        <w:rPr>
          <w:color w:val="FF0000"/>
          <w:szCs w:val="21"/>
          <w:u w:val="single"/>
        </w:rPr>
        <w:t xml:space="preserve">   </w:t>
      </w:r>
      <w:r>
        <w:rPr>
          <w:color w:val="FF0000"/>
          <w:szCs w:val="21"/>
        </w:rPr>
        <w:t>月</w:t>
      </w:r>
      <w:r>
        <w:rPr>
          <w:color w:val="FF0000"/>
          <w:szCs w:val="21"/>
          <w:u w:val="single"/>
        </w:rPr>
        <w:t xml:space="preserve">   </w:t>
      </w:r>
      <w:r>
        <w:rPr>
          <w:color w:val="FF0000"/>
          <w:szCs w:val="21"/>
        </w:rPr>
        <w:t>日止。</w:t>
      </w:r>
      <w:r>
        <w:rPr>
          <w:rFonts w:hint="eastAsia"/>
          <w:color w:val="FF0000"/>
          <w:szCs w:val="21"/>
        </w:rPr>
        <w:t>首期租赁期限为5年，到期后自动延期2年，但因政府未批准</w:t>
      </w:r>
      <w:r>
        <w:rPr>
          <w:rFonts w:hint="eastAsia"/>
          <w:color w:val="FF0000"/>
          <w:szCs w:val="21"/>
          <w:lang w:val="en-US" w:eastAsia="zh-CN"/>
        </w:rPr>
        <w:t>临时改变房屋用途</w:t>
      </w:r>
      <w:r>
        <w:rPr>
          <w:rFonts w:hint="eastAsia"/>
          <w:color w:val="FF0000"/>
          <w:szCs w:val="21"/>
        </w:rPr>
        <w:t>延期的除外，在10年内可多次延期，延期未获批准，租赁合同终止，</w:t>
      </w:r>
      <w:r>
        <w:rPr>
          <w:rFonts w:hint="eastAsia"/>
          <w:color w:val="000000" w:themeColor="text1"/>
          <w:szCs w:val="21"/>
          <w:highlight w:val="none"/>
          <w14:textFill>
            <w14:solidFill>
              <w14:schemeClr w14:val="tx1"/>
            </w14:solidFill>
          </w14:textFill>
        </w:rPr>
        <w:t>若首次临改批准期限不足5年，或任一次延期申请未获批准导致合同提前终止的，双方互不承担违约责任，</w:t>
      </w:r>
    </w:p>
    <w:p w14:paraId="494C4C7D">
      <w:pPr>
        <w:snapToGrid w:val="0"/>
        <w:spacing w:line="360" w:lineRule="auto"/>
        <w:ind w:firstLine="420" w:firstLineChars="200"/>
        <w:rPr>
          <w:szCs w:val="21"/>
        </w:rPr>
      </w:pPr>
      <w:r>
        <w:rPr>
          <w:szCs w:val="21"/>
        </w:rPr>
        <w:t>其中，甲方给予乙方</w:t>
      </w:r>
      <w:r>
        <w:rPr>
          <w:szCs w:val="21"/>
          <w:u w:val="single"/>
        </w:rPr>
        <w:t xml:space="preserve">  </w:t>
      </w:r>
      <w:r>
        <w:rPr>
          <w:rFonts w:hint="eastAsia"/>
          <w:szCs w:val="21"/>
          <w:u w:val="single"/>
          <w:lang w:val="en-US" w:eastAsia="zh-CN"/>
        </w:rPr>
        <w:t>4</w:t>
      </w:r>
      <w:r>
        <w:rPr>
          <w:szCs w:val="21"/>
          <w:u w:val="single"/>
        </w:rPr>
        <w:t xml:space="preserve">  </w:t>
      </w:r>
      <w:r>
        <w:rPr>
          <w:szCs w:val="21"/>
        </w:rPr>
        <w:t>个月的装修免租期，即</w:t>
      </w:r>
      <w:r>
        <w:rPr>
          <w:rFonts w:hint="eastAsia"/>
          <w:color w:val="FF0000"/>
          <w:highlight w:val="yellow"/>
        </w:rPr>
        <w:t>甲方书面通知的物业交付之日</w:t>
      </w:r>
      <w:r>
        <w:rPr>
          <w:szCs w:val="21"/>
        </w:rPr>
        <w:t>起至</w:t>
      </w:r>
      <w:r>
        <w:rPr>
          <w:i/>
          <w:iCs/>
          <w:szCs w:val="21"/>
          <w:u w:val="single"/>
        </w:rPr>
        <w:t xml:space="preserve">    </w:t>
      </w:r>
      <w:r>
        <w:rPr>
          <w:szCs w:val="21"/>
        </w:rPr>
        <w:t>年</w:t>
      </w:r>
      <w:r>
        <w:rPr>
          <w:szCs w:val="21"/>
          <w:u w:val="single"/>
        </w:rPr>
        <w:t xml:space="preserve">   </w:t>
      </w:r>
      <w:r>
        <w:rPr>
          <w:szCs w:val="21"/>
        </w:rPr>
        <w:t xml:space="preserve">月  </w:t>
      </w:r>
      <w:r>
        <w:rPr>
          <w:szCs w:val="21"/>
          <w:u w:val="single"/>
        </w:rPr>
        <w:t xml:space="preserve">  </w:t>
      </w:r>
      <w:r>
        <w:rPr>
          <w:szCs w:val="21"/>
        </w:rPr>
        <w:t>日为装修免租期。装修免租期内仅减免租金，其他费用乙方仍应正常缴纳（包括但不限于该租赁物业的水、电、电话、电视、网络、停车、物业服务、空调使用等费用），本合同及附件规定的其他义务均不免除。</w:t>
      </w:r>
    </w:p>
    <w:p w14:paraId="3DD331D7">
      <w:pPr>
        <w:widowControl/>
        <w:spacing w:line="360" w:lineRule="auto"/>
        <w:ind w:firstLine="420" w:firstLineChars="200"/>
        <w:jc w:val="left"/>
        <w:rPr>
          <w:color w:val="000000" w:themeColor="text1"/>
          <w:highlight w:val="green"/>
          <w14:textFill>
            <w14:solidFill>
              <w14:schemeClr w14:val="tx1"/>
            </w14:solidFill>
          </w14:textFill>
        </w:rPr>
      </w:pPr>
      <w:r>
        <w:t>3.</w:t>
      </w:r>
      <w:r>
        <w:rPr>
          <w:rFonts w:hint="eastAsia"/>
          <w:lang w:val="en-US" w:eastAsia="zh-CN"/>
        </w:rPr>
        <w:t>2</w:t>
      </w:r>
      <w:r>
        <w:t xml:space="preserve"> 租赁期限届满，如乙方要求再次承租的，应在租赁期限届满三个月前向甲方提出书面要求，</w:t>
      </w:r>
      <w:r>
        <w:rPr>
          <w:rFonts w:hint="eastAsia"/>
          <w:lang w:eastAsia="zh-CN"/>
        </w:rPr>
        <w:t>乙方在</w:t>
      </w:r>
      <w:r>
        <w:rPr>
          <w:rFonts w:hint="eastAsia"/>
          <w:szCs w:val="32"/>
          <w:highlight w:val="yellow"/>
        </w:rPr>
        <w:t>同等条件下</w:t>
      </w:r>
      <w:r>
        <w:rPr>
          <w:rFonts w:hint="eastAsia"/>
          <w:szCs w:val="32"/>
          <w:highlight w:val="yellow"/>
          <w:lang w:eastAsia="zh-CN"/>
        </w:rPr>
        <w:t>享有优先</w:t>
      </w:r>
      <w:r>
        <w:rPr>
          <w:rFonts w:hint="eastAsia"/>
          <w:szCs w:val="32"/>
          <w:highlight w:val="yellow"/>
        </w:rPr>
        <w:t>承租权</w:t>
      </w:r>
      <w:r>
        <w:rPr>
          <w:rFonts w:hint="eastAsia"/>
          <w:highlight w:val="yellow"/>
        </w:rPr>
        <w:t>。</w:t>
      </w:r>
    </w:p>
    <w:p w14:paraId="6A2BDF9E">
      <w:pPr>
        <w:widowControl/>
        <w:snapToGrid w:val="0"/>
        <w:spacing w:line="360" w:lineRule="auto"/>
        <w:ind w:firstLine="0" w:firstLineChars="0"/>
        <w:jc w:val="center"/>
        <w:rPr>
          <w:rFonts w:hint="default"/>
          <w:b/>
          <w:szCs w:val="21"/>
          <w:lang w:val="en-US" w:eastAsia="zh-CN"/>
        </w:rPr>
      </w:pPr>
      <w:r>
        <w:rPr>
          <w:rFonts w:hint="default"/>
          <w:b/>
          <w:szCs w:val="21"/>
          <w:lang w:val="en-US" w:eastAsia="zh-CN"/>
        </w:rPr>
        <w:t>四、实际经营主体</w:t>
      </w:r>
    </w:p>
    <w:p w14:paraId="57FC9F30">
      <w:pPr>
        <w:widowControl/>
        <w:snapToGrid w:val="0"/>
        <w:spacing w:line="360" w:lineRule="auto"/>
        <w:ind w:firstLine="420" w:firstLineChars="200"/>
        <w:jc w:val="left"/>
        <w:rPr>
          <w:rFonts w:hint="default"/>
          <w:lang w:val="en-US" w:eastAsia="zh-CN"/>
        </w:rPr>
      </w:pPr>
      <w:r>
        <w:rPr>
          <w:rFonts w:hint="eastAsia"/>
          <w:lang w:val="en-US" w:eastAsia="zh-CN"/>
        </w:rPr>
        <w:t xml:space="preserve">4.1 </w:t>
      </w:r>
      <w:r>
        <w:rPr>
          <w:rFonts w:hint="default"/>
          <w:lang w:val="en-US" w:eastAsia="zh-CN"/>
        </w:rPr>
        <w:t>乙方确认，乙方系通过产权交易所公开竞价程序确定的承租方。乙方作为本合同签约主体，享有本合同项下全部权利并承担全部义务。</w:t>
      </w:r>
    </w:p>
    <w:p w14:paraId="651F29D8">
      <w:pPr>
        <w:widowControl/>
        <w:snapToGrid w:val="0"/>
        <w:spacing w:line="360" w:lineRule="auto"/>
        <w:ind w:firstLine="420" w:firstLineChars="200"/>
        <w:jc w:val="left"/>
        <w:rPr>
          <w:rFonts w:hint="default"/>
          <w:lang w:val="en-US" w:eastAsia="zh-CN"/>
        </w:rPr>
      </w:pPr>
      <w:r>
        <w:rPr>
          <w:rFonts w:hint="eastAsia"/>
          <w:lang w:val="en-US" w:eastAsia="zh-CN"/>
        </w:rPr>
        <w:t xml:space="preserve">4.2 </w:t>
      </w:r>
      <w:r>
        <w:rPr>
          <w:rFonts w:hint="default"/>
          <w:lang w:val="en-US" w:eastAsia="zh-CN"/>
        </w:rPr>
        <w:t>乙方同意并确认，本合同项下租赁房屋的实际经营使用可由乙方之全资子公司或乙方依法设立的分支机构（以下简称“实际经营主体”）实施。实际经营主体使用租赁房屋从事经营活动，不视为乙方的转租行为，亦不构成乙方对本合同项下权利义务的转让。</w:t>
      </w:r>
    </w:p>
    <w:p w14:paraId="75B11496">
      <w:pPr>
        <w:widowControl/>
        <w:snapToGrid w:val="0"/>
        <w:spacing w:line="360" w:lineRule="auto"/>
        <w:ind w:firstLine="420" w:firstLineChars="200"/>
        <w:jc w:val="left"/>
        <w:rPr>
          <w:rFonts w:hint="default"/>
          <w:lang w:val="en-US" w:eastAsia="zh-CN"/>
        </w:rPr>
      </w:pPr>
      <w:r>
        <w:rPr>
          <w:rFonts w:hint="eastAsia"/>
          <w:lang w:val="en-US" w:eastAsia="zh-CN"/>
        </w:rPr>
        <w:t xml:space="preserve">4.3 </w:t>
      </w:r>
      <w:r>
        <w:rPr>
          <w:rFonts w:hint="default"/>
          <w:lang w:val="en-US" w:eastAsia="zh-CN"/>
        </w:rPr>
        <w:t>实际经营主体应符合以下全部条件：</w:t>
      </w:r>
    </w:p>
    <w:p w14:paraId="166D95AC">
      <w:pPr>
        <w:widowControl/>
        <w:snapToGrid w:val="0"/>
        <w:spacing w:line="360" w:lineRule="auto"/>
        <w:ind w:firstLine="420" w:firstLineChars="200"/>
        <w:jc w:val="left"/>
        <w:rPr>
          <w:rFonts w:hint="default"/>
          <w:lang w:val="en-US" w:eastAsia="zh-CN"/>
        </w:rPr>
      </w:pPr>
      <w:r>
        <w:rPr>
          <w:rFonts w:hint="default"/>
          <w:lang w:val="en-US" w:eastAsia="zh-CN"/>
        </w:rPr>
        <w:t>（1）实际经营主体为乙方持有100%股权的全资子公司，或乙方依法设立并领取营业执照的分支机构；</w:t>
      </w:r>
    </w:p>
    <w:p w14:paraId="0F3C7279">
      <w:pPr>
        <w:widowControl/>
        <w:snapToGrid w:val="0"/>
        <w:spacing w:line="360" w:lineRule="auto"/>
        <w:ind w:firstLine="420" w:firstLineChars="200"/>
        <w:jc w:val="left"/>
        <w:rPr>
          <w:rFonts w:hint="default"/>
          <w:lang w:val="en-US" w:eastAsia="zh-CN"/>
        </w:rPr>
      </w:pPr>
      <w:r>
        <w:rPr>
          <w:rFonts w:hint="default"/>
          <w:lang w:val="en-US" w:eastAsia="zh-CN"/>
        </w:rPr>
        <w:t>（2）实际经营主体从事的经营活动不得超出本合同约定的租赁用途范围；</w:t>
      </w:r>
    </w:p>
    <w:p w14:paraId="02E378BE">
      <w:pPr>
        <w:widowControl/>
        <w:snapToGrid w:val="0"/>
        <w:spacing w:line="360" w:lineRule="auto"/>
        <w:ind w:firstLine="420" w:firstLineChars="200"/>
        <w:jc w:val="left"/>
        <w:rPr>
          <w:rFonts w:hint="default"/>
          <w:lang w:val="en-US" w:eastAsia="zh-CN"/>
        </w:rPr>
      </w:pPr>
      <w:r>
        <w:rPr>
          <w:rFonts w:hint="default"/>
          <w:lang w:val="en-US" w:eastAsia="zh-CN"/>
        </w:rPr>
        <w:t>（3）实际经营主体不得将租赁房屋的全部或部分转租或分租给任何第三方。</w:t>
      </w:r>
    </w:p>
    <w:p w14:paraId="305CB4DB">
      <w:pPr>
        <w:widowControl/>
        <w:snapToGrid w:val="0"/>
        <w:spacing w:line="360" w:lineRule="auto"/>
        <w:ind w:firstLine="420" w:firstLineChars="200"/>
        <w:jc w:val="left"/>
        <w:rPr>
          <w:rFonts w:hint="default"/>
          <w:lang w:val="en-US" w:eastAsia="zh-CN"/>
        </w:rPr>
      </w:pPr>
      <w:r>
        <w:rPr>
          <w:rFonts w:hint="eastAsia"/>
          <w:lang w:val="en-US" w:eastAsia="zh-CN"/>
        </w:rPr>
        <w:t xml:space="preserve">4.4 </w:t>
      </w:r>
      <w:r>
        <w:rPr>
          <w:rFonts w:hint="default"/>
          <w:lang w:val="en-US" w:eastAsia="zh-CN"/>
        </w:rPr>
        <w:t>在本合同履行期间，无论实际经营主体为何者，乙方均应对本合同项下全部义务（包括但不限于租金支付、保证金缴纳、房屋维护、合同期满返还等）承担全部责任。甲方有权直接向乙方主张本合同项下的任何权利，乙方不得以实际经营主体非乙方本人为由提出任何抗辩。</w:t>
      </w:r>
    </w:p>
    <w:p w14:paraId="705F0527">
      <w:pPr>
        <w:widowControl/>
        <w:snapToGrid w:val="0"/>
        <w:spacing w:line="360" w:lineRule="auto"/>
        <w:ind w:firstLine="420" w:firstLineChars="200"/>
        <w:jc w:val="left"/>
        <w:rPr>
          <w:rFonts w:hint="default"/>
          <w:lang w:val="en-US" w:eastAsia="zh-CN"/>
        </w:rPr>
      </w:pPr>
      <w:r>
        <w:rPr>
          <w:rFonts w:hint="eastAsia"/>
          <w:lang w:val="en-US" w:eastAsia="zh-CN"/>
        </w:rPr>
        <w:t xml:space="preserve">4.5 </w:t>
      </w:r>
      <w:r>
        <w:rPr>
          <w:rFonts w:hint="default"/>
          <w:lang w:val="en-US" w:eastAsia="zh-CN"/>
        </w:rPr>
        <w:t>乙方应在实际经营主体开始使用租赁房屋前【五】个工作日内，将实际经营主体的名称、主体资格证明文件（营业执照复印件）书面告知甲方，并提供实际经营主体出具的确认知悉并接受本合同全部条款约束的书面文件。</w:t>
      </w:r>
    </w:p>
    <w:p w14:paraId="62A7921C">
      <w:pPr>
        <w:widowControl/>
        <w:snapToGrid w:val="0"/>
        <w:spacing w:line="360" w:lineRule="auto"/>
        <w:ind w:firstLine="420" w:firstLineChars="200"/>
        <w:jc w:val="left"/>
        <w:rPr>
          <w:rFonts w:hint="default"/>
          <w:lang w:val="en-US" w:eastAsia="zh-CN"/>
        </w:rPr>
      </w:pPr>
      <w:r>
        <w:rPr>
          <w:rFonts w:hint="eastAsia"/>
          <w:lang w:val="en-US" w:eastAsia="zh-CN"/>
        </w:rPr>
        <w:t xml:space="preserve">4.6 </w:t>
      </w:r>
      <w:r>
        <w:rPr>
          <w:rFonts w:hint="default"/>
          <w:lang w:val="en-US" w:eastAsia="zh-CN"/>
        </w:rPr>
        <w:t>若乙方拟变更实际经营主体，应提前【十五】个工作日书面通知甲方，并提供新的实际经营主体符合本条第</w:t>
      </w:r>
      <w:r>
        <w:rPr>
          <w:rFonts w:hint="eastAsia"/>
          <w:lang w:val="en-US" w:eastAsia="zh-CN"/>
        </w:rPr>
        <w:t>4.3</w:t>
      </w:r>
      <w:r>
        <w:rPr>
          <w:rFonts w:hint="default"/>
          <w:lang w:val="en-US" w:eastAsia="zh-CN"/>
        </w:rPr>
        <w:t>款条件的证明文件。新的实际经营主体开始使用租赁房屋前，应完成本条第</w:t>
      </w:r>
      <w:r>
        <w:rPr>
          <w:rFonts w:hint="eastAsia"/>
          <w:lang w:val="en-US" w:eastAsia="zh-CN"/>
        </w:rPr>
        <w:t>4.5</w:t>
      </w:r>
      <w:r>
        <w:rPr>
          <w:rFonts w:hint="default"/>
          <w:lang w:val="en-US" w:eastAsia="zh-CN"/>
        </w:rPr>
        <w:t>款规定的告知及确认程序。</w:t>
      </w:r>
    </w:p>
    <w:p w14:paraId="368199B1">
      <w:pPr>
        <w:widowControl/>
        <w:snapToGrid w:val="0"/>
        <w:spacing w:line="360" w:lineRule="auto"/>
        <w:ind w:firstLine="420" w:firstLineChars="200"/>
        <w:jc w:val="left"/>
        <w:rPr>
          <w:rFonts w:hint="default"/>
          <w:lang w:val="en-US" w:eastAsia="zh-CN"/>
        </w:rPr>
      </w:pPr>
      <w:r>
        <w:rPr>
          <w:rFonts w:hint="eastAsia"/>
          <w:lang w:val="en-US" w:eastAsia="zh-CN"/>
        </w:rPr>
        <w:t xml:space="preserve">4.7 </w:t>
      </w:r>
      <w:r>
        <w:rPr>
          <w:rFonts w:hint="default"/>
          <w:lang w:val="en-US" w:eastAsia="zh-CN"/>
        </w:rPr>
        <w:t>若实际经营主体为乙方的分支机构，乙方应就其分支机构的全部行为承担最终民事责任；若实际经营主体为乙方的全资子公司，子公司作为独立法人依法独立承担民事责任，但乙方仍应依本条第4款约定承担本合同项下的全部合同义务。</w:t>
      </w:r>
    </w:p>
    <w:p w14:paraId="302E9A6C">
      <w:pPr>
        <w:snapToGrid w:val="0"/>
        <w:spacing w:line="360" w:lineRule="auto"/>
        <w:jc w:val="center"/>
        <w:rPr>
          <w:b/>
          <w:szCs w:val="21"/>
        </w:rPr>
      </w:pPr>
      <w:r>
        <w:rPr>
          <w:rFonts w:hint="eastAsia"/>
          <w:b/>
          <w:szCs w:val="21"/>
          <w:lang w:val="en-US" w:eastAsia="zh-CN"/>
        </w:rPr>
        <w:t>五</w:t>
      </w:r>
      <w:r>
        <w:rPr>
          <w:b/>
          <w:szCs w:val="21"/>
        </w:rPr>
        <w:t>、租金、保证金及支付方式</w:t>
      </w:r>
    </w:p>
    <w:p w14:paraId="06E6FBE7">
      <w:pPr>
        <w:snapToGrid w:val="0"/>
        <w:spacing w:line="360" w:lineRule="auto"/>
        <w:ind w:firstLine="420" w:firstLineChars="200"/>
        <w:rPr>
          <w:szCs w:val="21"/>
        </w:rPr>
      </w:pPr>
      <w:r>
        <w:rPr>
          <w:rFonts w:hint="eastAsia"/>
          <w:szCs w:val="21"/>
          <w:lang w:val="en-US" w:eastAsia="zh-CN"/>
        </w:rPr>
        <w:t>5</w:t>
      </w:r>
      <w:r>
        <w:rPr>
          <w:szCs w:val="21"/>
        </w:rPr>
        <w:t>.1该租赁物业按本合同确定的建筑面积计算租金，第一年度的租金标准为每天每平方米人民币</w:t>
      </w:r>
      <w:r>
        <w:rPr>
          <w:szCs w:val="21"/>
          <w:u w:val="single"/>
        </w:rPr>
        <w:t xml:space="preserve">       </w:t>
      </w:r>
      <w:r>
        <w:rPr>
          <w:szCs w:val="21"/>
        </w:rPr>
        <w:t>元（RMB</w:t>
      </w:r>
      <w:r>
        <w:rPr>
          <w:szCs w:val="21"/>
          <w:u w:val="single"/>
        </w:rPr>
        <w:t xml:space="preserve">       </w:t>
      </w:r>
      <w:r>
        <w:rPr>
          <w:szCs w:val="21"/>
        </w:rPr>
        <w:t>元/天/平方米）。本租金为□税后□税前租金，甲方收取上述租金而应缴纳的相关税收由□乙方□甲方承担，</w:t>
      </w:r>
      <w:r>
        <w:rPr>
          <w:rFonts w:hint="eastAsia"/>
          <w:szCs w:val="21"/>
          <w:lang w:eastAsia="zh-CN"/>
        </w:rPr>
        <w:t>乙方</w:t>
      </w:r>
      <w:r>
        <w:rPr>
          <w:szCs w:val="21"/>
        </w:rPr>
        <w:t>承担的，则乙方应在支付租金的同时向甲方支付相应税款。</w:t>
      </w:r>
    </w:p>
    <w:p w14:paraId="665A7826">
      <w:pPr>
        <w:snapToGrid w:val="0"/>
        <w:spacing w:line="360" w:lineRule="auto"/>
        <w:ind w:firstLine="420" w:firstLineChars="200"/>
        <w:rPr>
          <w:color w:val="auto"/>
          <w:szCs w:val="21"/>
        </w:rPr>
      </w:pPr>
      <w:r>
        <w:rPr>
          <w:szCs w:val="21"/>
        </w:rPr>
        <w:t>自第二租赁年度（即从</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日）起，租金每整年调整一次，即当年租金在上一年度租金的基础上上</w:t>
      </w:r>
      <w:r>
        <w:rPr>
          <w:color w:val="auto"/>
          <w:szCs w:val="21"/>
        </w:rPr>
        <w:t>浮</w:t>
      </w:r>
      <w:r>
        <w:rPr>
          <w:color w:val="auto"/>
          <w:szCs w:val="21"/>
          <w:u w:val="single"/>
        </w:rPr>
        <w:t xml:space="preserve">  </w:t>
      </w:r>
      <w:r>
        <w:rPr>
          <w:rFonts w:hint="eastAsia"/>
          <w:color w:val="auto"/>
          <w:szCs w:val="21"/>
          <w:u w:val="single"/>
          <w:lang w:val="en-US" w:eastAsia="zh-CN"/>
        </w:rPr>
        <w:t>0.5</w:t>
      </w:r>
      <w:r>
        <w:rPr>
          <w:color w:val="auto"/>
          <w:szCs w:val="21"/>
          <w:u w:val="single"/>
        </w:rPr>
        <w:t xml:space="preserve">  </w:t>
      </w:r>
      <w:r>
        <w:rPr>
          <w:color w:val="auto"/>
          <w:szCs w:val="21"/>
        </w:rPr>
        <w:t>%。</w:t>
      </w:r>
    </w:p>
    <w:p w14:paraId="37C04297">
      <w:pPr>
        <w:snapToGrid w:val="0"/>
        <w:spacing w:line="360" w:lineRule="auto"/>
        <w:ind w:firstLine="420" w:firstLineChars="200"/>
        <w:rPr>
          <w:szCs w:val="21"/>
        </w:rPr>
      </w:pPr>
      <w:r>
        <w:rPr>
          <w:rFonts w:hint="eastAsia"/>
          <w:color w:val="auto"/>
          <w:szCs w:val="21"/>
          <w:lang w:val="en-US" w:eastAsia="zh-CN"/>
        </w:rPr>
        <w:t>5</w:t>
      </w:r>
      <w:r>
        <w:rPr>
          <w:color w:val="auto"/>
          <w:szCs w:val="21"/>
        </w:rPr>
        <w:t>.2租金采取“先付后用”方式，以</w:t>
      </w:r>
      <w:r>
        <w:rPr>
          <w:color w:val="auto"/>
          <w:szCs w:val="21"/>
          <w:u w:val="single"/>
        </w:rPr>
        <w:t xml:space="preserve">  </w:t>
      </w:r>
      <w:r>
        <w:rPr>
          <w:rFonts w:hint="eastAsia"/>
          <w:color w:val="auto"/>
          <w:szCs w:val="21"/>
          <w:u w:val="single"/>
          <w:lang w:val="en-US" w:eastAsia="zh-CN"/>
        </w:rPr>
        <w:t>6</w:t>
      </w:r>
      <w:r>
        <w:rPr>
          <w:color w:val="auto"/>
          <w:szCs w:val="21"/>
          <w:u w:val="single"/>
        </w:rPr>
        <w:t xml:space="preserve"> </w:t>
      </w:r>
      <w:r>
        <w:rPr>
          <w:color w:val="auto"/>
          <w:szCs w:val="21"/>
        </w:rPr>
        <w:t>个月为一期，每</w:t>
      </w:r>
      <w:r>
        <w:rPr>
          <w:color w:val="auto"/>
          <w:szCs w:val="21"/>
          <w:u w:val="single"/>
        </w:rPr>
        <w:t xml:space="preserve"> </w:t>
      </w:r>
      <w:r>
        <w:rPr>
          <w:rFonts w:hint="eastAsia"/>
          <w:color w:val="auto"/>
          <w:szCs w:val="21"/>
          <w:u w:val="single"/>
          <w:lang w:val="en-US" w:eastAsia="zh-CN"/>
        </w:rPr>
        <w:t>6</w:t>
      </w:r>
      <w:r>
        <w:rPr>
          <w:color w:val="auto"/>
          <w:szCs w:val="21"/>
        </w:rPr>
        <w:t>个月支付一次。</w:t>
      </w:r>
    </w:p>
    <w:p w14:paraId="65C76D33">
      <w:pPr>
        <w:snapToGrid w:val="0"/>
        <w:spacing w:line="360" w:lineRule="auto"/>
        <w:ind w:firstLine="420" w:firstLineChars="200"/>
        <w:rPr>
          <w:szCs w:val="21"/>
        </w:rPr>
      </w:pPr>
      <w:r>
        <w:rPr>
          <w:szCs w:val="21"/>
        </w:rPr>
        <w:t xml:space="preserve">乙方应按以下标准支付租金：    </w:t>
      </w:r>
    </w:p>
    <w:tbl>
      <w:tblPr>
        <w:tblStyle w:val="8"/>
        <w:tblW w:w="9589" w:type="dxa"/>
        <w:jc w:val="center"/>
        <w:tblLayout w:type="fixed"/>
        <w:tblCellMar>
          <w:top w:w="0" w:type="dxa"/>
          <w:left w:w="108" w:type="dxa"/>
          <w:bottom w:w="0" w:type="dxa"/>
          <w:right w:w="108" w:type="dxa"/>
        </w:tblCellMar>
      </w:tblPr>
      <w:tblGrid>
        <w:gridCol w:w="1344"/>
        <w:gridCol w:w="2155"/>
        <w:gridCol w:w="1322"/>
        <w:gridCol w:w="1273"/>
        <w:gridCol w:w="3495"/>
      </w:tblGrid>
      <w:tr w14:paraId="0F7CFE30">
        <w:tblPrEx>
          <w:tblCellMar>
            <w:top w:w="0" w:type="dxa"/>
            <w:left w:w="108" w:type="dxa"/>
            <w:bottom w:w="0" w:type="dxa"/>
            <w:right w:w="108" w:type="dxa"/>
          </w:tblCellMar>
        </w:tblPrEx>
        <w:trPr>
          <w:trHeight w:val="468" w:hRule="atLeast"/>
          <w:jc w:val="center"/>
        </w:trPr>
        <w:tc>
          <w:tcPr>
            <w:tcW w:w="1344" w:type="dxa"/>
            <w:vMerge w:val="restart"/>
            <w:tcBorders>
              <w:top w:val="single" w:color="auto" w:sz="4" w:space="0"/>
              <w:left w:val="single" w:color="auto" w:sz="4" w:space="0"/>
              <w:bottom w:val="single" w:color="auto" w:sz="4" w:space="0"/>
              <w:right w:val="single" w:color="auto" w:sz="4" w:space="0"/>
            </w:tcBorders>
            <w:vAlign w:val="center"/>
          </w:tcPr>
          <w:p w14:paraId="2EB52F45">
            <w:pPr>
              <w:widowControl/>
              <w:spacing w:line="360" w:lineRule="auto"/>
              <w:jc w:val="center"/>
              <w:rPr>
                <w:b/>
                <w:bCs/>
              </w:rPr>
            </w:pPr>
          </w:p>
        </w:tc>
        <w:tc>
          <w:tcPr>
            <w:tcW w:w="2155" w:type="dxa"/>
            <w:vMerge w:val="restart"/>
            <w:tcBorders>
              <w:top w:val="single" w:color="auto" w:sz="4" w:space="0"/>
              <w:left w:val="single" w:color="auto" w:sz="4" w:space="0"/>
              <w:bottom w:val="single" w:color="auto" w:sz="4" w:space="0"/>
              <w:right w:val="single" w:color="auto" w:sz="4" w:space="0"/>
            </w:tcBorders>
            <w:vAlign w:val="center"/>
          </w:tcPr>
          <w:p w14:paraId="77E33990">
            <w:pPr>
              <w:widowControl/>
              <w:spacing w:line="360" w:lineRule="auto"/>
              <w:jc w:val="center"/>
              <w:rPr>
                <w:b/>
                <w:bCs/>
              </w:rPr>
            </w:pPr>
            <w:r>
              <w:rPr>
                <w:b/>
                <w:bCs/>
              </w:rPr>
              <w:t>租赁期间</w:t>
            </w:r>
          </w:p>
        </w:tc>
        <w:tc>
          <w:tcPr>
            <w:tcW w:w="1322" w:type="dxa"/>
            <w:vMerge w:val="restart"/>
            <w:tcBorders>
              <w:top w:val="single" w:color="auto" w:sz="4" w:space="0"/>
              <w:left w:val="single" w:color="auto" w:sz="4" w:space="0"/>
              <w:bottom w:val="single" w:color="auto" w:sz="4" w:space="0"/>
              <w:right w:val="single" w:color="auto" w:sz="4" w:space="0"/>
            </w:tcBorders>
            <w:vAlign w:val="center"/>
          </w:tcPr>
          <w:p w14:paraId="63243ECC">
            <w:pPr>
              <w:widowControl/>
              <w:spacing w:line="360" w:lineRule="auto"/>
              <w:jc w:val="center"/>
              <w:rPr>
                <w:b/>
                <w:bCs/>
              </w:rPr>
            </w:pPr>
            <w:r>
              <w:rPr>
                <w:b/>
                <w:bCs/>
              </w:rPr>
              <w:t>租金单价</w:t>
            </w:r>
          </w:p>
        </w:tc>
        <w:tc>
          <w:tcPr>
            <w:tcW w:w="1273" w:type="dxa"/>
            <w:vMerge w:val="restart"/>
            <w:tcBorders>
              <w:top w:val="single" w:color="auto" w:sz="4" w:space="0"/>
              <w:left w:val="single" w:color="auto" w:sz="4" w:space="0"/>
              <w:bottom w:val="single" w:color="auto" w:sz="4" w:space="0"/>
              <w:right w:val="single" w:color="auto" w:sz="4" w:space="0"/>
            </w:tcBorders>
            <w:vAlign w:val="center"/>
          </w:tcPr>
          <w:p w14:paraId="008A111F">
            <w:pPr>
              <w:widowControl/>
              <w:spacing w:line="360" w:lineRule="auto"/>
              <w:jc w:val="center"/>
              <w:rPr>
                <w:b/>
                <w:bCs/>
              </w:rPr>
            </w:pPr>
            <w:r>
              <w:rPr>
                <w:b/>
                <w:bCs/>
              </w:rPr>
              <w:t>金额</w:t>
            </w:r>
          </w:p>
        </w:tc>
        <w:tc>
          <w:tcPr>
            <w:tcW w:w="3495" w:type="dxa"/>
            <w:vMerge w:val="restart"/>
            <w:tcBorders>
              <w:top w:val="single" w:color="auto" w:sz="4" w:space="0"/>
              <w:left w:val="single" w:color="auto" w:sz="4" w:space="0"/>
              <w:bottom w:val="single" w:color="auto" w:sz="4" w:space="0"/>
              <w:right w:val="single" w:color="auto" w:sz="4" w:space="0"/>
            </w:tcBorders>
            <w:vAlign w:val="center"/>
          </w:tcPr>
          <w:p w14:paraId="4BBF9326">
            <w:pPr>
              <w:widowControl/>
              <w:spacing w:line="360" w:lineRule="auto"/>
              <w:jc w:val="center"/>
              <w:rPr>
                <w:b/>
                <w:bCs/>
              </w:rPr>
            </w:pPr>
            <w:r>
              <w:rPr>
                <w:b/>
                <w:bCs/>
              </w:rPr>
              <w:t>支付日期</w:t>
            </w:r>
          </w:p>
        </w:tc>
      </w:tr>
      <w:tr w14:paraId="0F7F5ED5">
        <w:tblPrEx>
          <w:tblCellMar>
            <w:top w:w="0" w:type="dxa"/>
            <w:left w:w="108" w:type="dxa"/>
            <w:bottom w:w="0" w:type="dxa"/>
            <w:right w:w="108" w:type="dxa"/>
          </w:tblCellMar>
        </w:tblPrEx>
        <w:trPr>
          <w:trHeight w:val="468" w:hRule="atLeast"/>
          <w:jc w:val="center"/>
        </w:trPr>
        <w:tc>
          <w:tcPr>
            <w:tcW w:w="1344" w:type="dxa"/>
            <w:vMerge w:val="continue"/>
            <w:tcBorders>
              <w:top w:val="single" w:color="auto" w:sz="4" w:space="0"/>
              <w:left w:val="single" w:color="auto" w:sz="4" w:space="0"/>
              <w:bottom w:val="single" w:color="auto" w:sz="4" w:space="0"/>
              <w:right w:val="single" w:color="auto" w:sz="4" w:space="0"/>
            </w:tcBorders>
            <w:vAlign w:val="center"/>
          </w:tcPr>
          <w:p w14:paraId="49302D29">
            <w:pPr>
              <w:widowControl/>
              <w:spacing w:line="360" w:lineRule="auto"/>
              <w:jc w:val="left"/>
            </w:pPr>
          </w:p>
        </w:tc>
        <w:tc>
          <w:tcPr>
            <w:tcW w:w="2155" w:type="dxa"/>
            <w:vMerge w:val="continue"/>
            <w:tcBorders>
              <w:top w:val="single" w:color="auto" w:sz="4" w:space="0"/>
              <w:left w:val="single" w:color="auto" w:sz="4" w:space="0"/>
              <w:bottom w:val="single" w:color="auto" w:sz="4" w:space="0"/>
              <w:right w:val="single" w:color="auto" w:sz="4" w:space="0"/>
            </w:tcBorders>
            <w:vAlign w:val="center"/>
          </w:tcPr>
          <w:p w14:paraId="584160CC">
            <w:pPr>
              <w:widowControl/>
              <w:spacing w:line="360" w:lineRule="auto"/>
              <w:jc w:val="left"/>
            </w:pPr>
          </w:p>
        </w:tc>
        <w:tc>
          <w:tcPr>
            <w:tcW w:w="1322" w:type="dxa"/>
            <w:vMerge w:val="continue"/>
            <w:tcBorders>
              <w:top w:val="single" w:color="auto" w:sz="4" w:space="0"/>
              <w:left w:val="single" w:color="auto" w:sz="4" w:space="0"/>
              <w:bottom w:val="single" w:color="auto" w:sz="4" w:space="0"/>
              <w:right w:val="single" w:color="auto" w:sz="4" w:space="0"/>
            </w:tcBorders>
            <w:vAlign w:val="center"/>
          </w:tcPr>
          <w:p w14:paraId="5F2B6952">
            <w:pPr>
              <w:widowControl/>
              <w:spacing w:line="360" w:lineRule="auto"/>
              <w:jc w:val="left"/>
            </w:pPr>
          </w:p>
        </w:tc>
        <w:tc>
          <w:tcPr>
            <w:tcW w:w="1273" w:type="dxa"/>
            <w:vMerge w:val="continue"/>
            <w:tcBorders>
              <w:top w:val="single" w:color="auto" w:sz="4" w:space="0"/>
              <w:left w:val="single" w:color="auto" w:sz="4" w:space="0"/>
              <w:bottom w:val="single" w:color="auto" w:sz="4" w:space="0"/>
              <w:right w:val="single" w:color="auto" w:sz="4" w:space="0"/>
            </w:tcBorders>
            <w:vAlign w:val="center"/>
          </w:tcPr>
          <w:p w14:paraId="1F744841">
            <w:pPr>
              <w:widowControl/>
              <w:spacing w:line="360" w:lineRule="auto"/>
              <w:jc w:val="left"/>
            </w:pPr>
          </w:p>
        </w:tc>
        <w:tc>
          <w:tcPr>
            <w:tcW w:w="3495" w:type="dxa"/>
            <w:vMerge w:val="continue"/>
            <w:tcBorders>
              <w:top w:val="single" w:color="auto" w:sz="4" w:space="0"/>
              <w:left w:val="single" w:color="auto" w:sz="4" w:space="0"/>
              <w:bottom w:val="single" w:color="auto" w:sz="4" w:space="0"/>
              <w:right w:val="single" w:color="auto" w:sz="4" w:space="0"/>
            </w:tcBorders>
            <w:vAlign w:val="center"/>
          </w:tcPr>
          <w:p w14:paraId="4B04BACE">
            <w:pPr>
              <w:widowControl/>
              <w:spacing w:line="360" w:lineRule="auto"/>
              <w:jc w:val="left"/>
            </w:pPr>
          </w:p>
        </w:tc>
      </w:tr>
      <w:tr w14:paraId="06E33695">
        <w:tblPrEx>
          <w:tblCellMar>
            <w:top w:w="0" w:type="dxa"/>
            <w:left w:w="108" w:type="dxa"/>
            <w:bottom w:w="0" w:type="dxa"/>
            <w:right w:w="108" w:type="dxa"/>
          </w:tblCellMar>
        </w:tblPrEx>
        <w:trPr>
          <w:trHeight w:val="437" w:hRule="atLeast"/>
          <w:jc w:val="center"/>
        </w:trPr>
        <w:tc>
          <w:tcPr>
            <w:tcW w:w="1344" w:type="dxa"/>
            <w:tcBorders>
              <w:top w:val="nil"/>
              <w:left w:val="single" w:color="auto" w:sz="4" w:space="0"/>
              <w:bottom w:val="single" w:color="auto" w:sz="4" w:space="0"/>
              <w:right w:val="single" w:color="auto" w:sz="4" w:space="0"/>
            </w:tcBorders>
            <w:vAlign w:val="center"/>
          </w:tcPr>
          <w:p w14:paraId="2465DDBC">
            <w:pPr>
              <w:widowControl/>
              <w:spacing w:line="360" w:lineRule="auto"/>
              <w:jc w:val="center"/>
            </w:pPr>
            <w:r>
              <w:t>履约保证金</w:t>
            </w:r>
          </w:p>
        </w:tc>
        <w:tc>
          <w:tcPr>
            <w:tcW w:w="2155" w:type="dxa"/>
            <w:tcBorders>
              <w:top w:val="nil"/>
              <w:left w:val="nil"/>
              <w:bottom w:val="single" w:color="auto" w:sz="4" w:space="0"/>
              <w:right w:val="single" w:color="auto" w:sz="4" w:space="0"/>
            </w:tcBorders>
            <w:vAlign w:val="center"/>
          </w:tcPr>
          <w:p w14:paraId="72F82C4B">
            <w:pPr>
              <w:widowControl/>
              <w:spacing w:line="360" w:lineRule="auto"/>
              <w:jc w:val="center"/>
            </w:pPr>
            <w:r>
              <w:t>　/</w:t>
            </w:r>
          </w:p>
        </w:tc>
        <w:tc>
          <w:tcPr>
            <w:tcW w:w="1322" w:type="dxa"/>
            <w:tcBorders>
              <w:top w:val="nil"/>
              <w:left w:val="nil"/>
              <w:bottom w:val="single" w:color="auto" w:sz="4" w:space="0"/>
              <w:right w:val="single" w:color="auto" w:sz="4" w:space="0"/>
            </w:tcBorders>
            <w:vAlign w:val="center"/>
          </w:tcPr>
          <w:p w14:paraId="35C81F86">
            <w:pPr>
              <w:widowControl/>
              <w:spacing w:line="360" w:lineRule="auto"/>
              <w:jc w:val="center"/>
            </w:pPr>
            <w:r>
              <w:t>/</w:t>
            </w:r>
          </w:p>
        </w:tc>
        <w:tc>
          <w:tcPr>
            <w:tcW w:w="1273" w:type="dxa"/>
            <w:tcBorders>
              <w:top w:val="nil"/>
              <w:left w:val="nil"/>
              <w:bottom w:val="single" w:color="auto" w:sz="4" w:space="0"/>
              <w:right w:val="single" w:color="auto" w:sz="4" w:space="0"/>
            </w:tcBorders>
            <w:vAlign w:val="center"/>
          </w:tcPr>
          <w:p w14:paraId="596E2F45">
            <w:pPr>
              <w:spacing w:line="360" w:lineRule="auto"/>
              <w:jc w:val="center"/>
            </w:pPr>
            <w:r>
              <w:t xml:space="preserve">       元 　</w:t>
            </w:r>
          </w:p>
        </w:tc>
        <w:tc>
          <w:tcPr>
            <w:tcW w:w="3495" w:type="dxa"/>
            <w:tcBorders>
              <w:top w:val="nil"/>
              <w:left w:val="nil"/>
              <w:bottom w:val="single" w:color="auto" w:sz="4" w:space="0"/>
              <w:right w:val="single" w:color="auto" w:sz="4" w:space="0"/>
            </w:tcBorders>
            <w:vAlign w:val="center"/>
          </w:tcPr>
          <w:p w14:paraId="731850DD">
            <w:pPr>
              <w:widowControl/>
              <w:spacing w:line="360" w:lineRule="auto"/>
            </w:pPr>
            <w:r>
              <w:t xml:space="preserve">     年  月  日</w:t>
            </w:r>
          </w:p>
        </w:tc>
      </w:tr>
      <w:tr w14:paraId="36693CC9">
        <w:tblPrEx>
          <w:tblCellMar>
            <w:top w:w="0" w:type="dxa"/>
            <w:left w:w="108" w:type="dxa"/>
            <w:bottom w:w="0" w:type="dxa"/>
            <w:right w:w="108" w:type="dxa"/>
          </w:tblCellMar>
        </w:tblPrEx>
        <w:trPr>
          <w:trHeight w:val="468" w:hRule="atLeast"/>
          <w:jc w:val="center"/>
        </w:trPr>
        <w:tc>
          <w:tcPr>
            <w:tcW w:w="1344" w:type="dxa"/>
            <w:vMerge w:val="restart"/>
            <w:tcBorders>
              <w:top w:val="nil"/>
              <w:left w:val="single" w:color="auto" w:sz="4" w:space="0"/>
              <w:bottom w:val="single" w:color="auto" w:sz="4" w:space="0"/>
              <w:right w:val="single" w:color="auto" w:sz="4" w:space="0"/>
            </w:tcBorders>
            <w:vAlign w:val="center"/>
          </w:tcPr>
          <w:p w14:paraId="55B1B530">
            <w:pPr>
              <w:widowControl/>
              <w:spacing w:line="360" w:lineRule="auto"/>
              <w:jc w:val="center"/>
            </w:pPr>
            <w:r>
              <w:t>第一年</w:t>
            </w:r>
          </w:p>
        </w:tc>
        <w:tc>
          <w:tcPr>
            <w:tcW w:w="2155" w:type="dxa"/>
            <w:vMerge w:val="restart"/>
            <w:tcBorders>
              <w:top w:val="nil"/>
              <w:left w:val="single" w:color="auto" w:sz="4" w:space="0"/>
              <w:bottom w:val="single" w:color="auto" w:sz="4" w:space="0"/>
              <w:right w:val="single" w:color="auto" w:sz="4" w:space="0"/>
            </w:tcBorders>
            <w:vAlign w:val="center"/>
          </w:tcPr>
          <w:p w14:paraId="1D80E215">
            <w:pPr>
              <w:widowControl/>
              <w:spacing w:line="360" w:lineRule="auto"/>
              <w:ind w:firstLine="420" w:firstLineChars="200"/>
              <w:jc w:val="center"/>
            </w:pPr>
            <w:r>
              <w:t xml:space="preserve"> 年  月  日</w:t>
            </w:r>
          </w:p>
          <w:p w14:paraId="746E0BD4">
            <w:pPr>
              <w:widowControl/>
              <w:spacing w:line="360" w:lineRule="auto"/>
            </w:pPr>
            <w:r>
              <w:t>至    年  月  日</w:t>
            </w:r>
          </w:p>
        </w:tc>
        <w:tc>
          <w:tcPr>
            <w:tcW w:w="1322" w:type="dxa"/>
            <w:vMerge w:val="restart"/>
            <w:tcBorders>
              <w:top w:val="nil"/>
              <w:left w:val="single" w:color="auto" w:sz="4" w:space="0"/>
              <w:bottom w:val="single" w:color="auto" w:sz="4" w:space="0"/>
              <w:right w:val="single" w:color="auto" w:sz="4" w:space="0"/>
            </w:tcBorders>
            <w:vAlign w:val="center"/>
          </w:tcPr>
          <w:p w14:paraId="3CC8B9CE">
            <w:pPr>
              <w:widowControl/>
              <w:spacing w:line="360" w:lineRule="auto"/>
              <w:jc w:val="center"/>
            </w:pPr>
            <w:r>
              <w:t xml:space="preserve"> </w:t>
            </w:r>
          </w:p>
          <w:p w14:paraId="7B8CDBFD">
            <w:pPr>
              <w:widowControl/>
              <w:spacing w:line="360" w:lineRule="auto"/>
              <w:jc w:val="center"/>
            </w:pPr>
            <w:r>
              <w:t xml:space="preserve"> 元/㎡/天</w:t>
            </w:r>
          </w:p>
        </w:tc>
        <w:tc>
          <w:tcPr>
            <w:tcW w:w="1273" w:type="dxa"/>
            <w:vMerge w:val="restart"/>
            <w:tcBorders>
              <w:top w:val="nil"/>
              <w:left w:val="single" w:color="auto" w:sz="4" w:space="0"/>
              <w:bottom w:val="single" w:color="auto" w:sz="4" w:space="0"/>
              <w:right w:val="single" w:color="auto" w:sz="4" w:space="0"/>
            </w:tcBorders>
            <w:vAlign w:val="center"/>
          </w:tcPr>
          <w:p w14:paraId="65E0760A">
            <w:pPr>
              <w:spacing w:line="360" w:lineRule="auto"/>
              <w:jc w:val="center"/>
            </w:pPr>
            <w:r>
              <w:t xml:space="preserve">       元</w:t>
            </w:r>
          </w:p>
        </w:tc>
        <w:tc>
          <w:tcPr>
            <w:tcW w:w="3495" w:type="dxa"/>
            <w:vMerge w:val="restart"/>
            <w:tcBorders>
              <w:top w:val="nil"/>
              <w:left w:val="single" w:color="auto" w:sz="4" w:space="0"/>
              <w:bottom w:val="single" w:color="auto" w:sz="4" w:space="0"/>
              <w:right w:val="single" w:color="auto" w:sz="4" w:space="0"/>
            </w:tcBorders>
            <w:vAlign w:val="center"/>
          </w:tcPr>
          <w:p w14:paraId="6F1D44A8">
            <w:pPr>
              <w:widowControl/>
              <w:spacing w:line="360" w:lineRule="auto"/>
            </w:pPr>
            <w:r>
              <w:t xml:space="preserve">     年 月  日前支付     元；</w:t>
            </w:r>
          </w:p>
          <w:p w14:paraId="50DFD7DE">
            <w:pPr>
              <w:widowControl/>
              <w:spacing w:line="360" w:lineRule="auto"/>
            </w:pPr>
            <w:r>
              <w:t xml:space="preserve">     年 月  日前支付     元。</w:t>
            </w:r>
          </w:p>
        </w:tc>
      </w:tr>
      <w:tr w14:paraId="1F9D8C74">
        <w:tblPrEx>
          <w:tblCellMar>
            <w:top w:w="0" w:type="dxa"/>
            <w:left w:w="108" w:type="dxa"/>
            <w:bottom w:w="0" w:type="dxa"/>
            <w:right w:w="108" w:type="dxa"/>
          </w:tblCellMar>
        </w:tblPrEx>
        <w:trPr>
          <w:trHeight w:val="468" w:hRule="atLeast"/>
          <w:jc w:val="center"/>
        </w:trPr>
        <w:tc>
          <w:tcPr>
            <w:tcW w:w="1344" w:type="dxa"/>
            <w:vMerge w:val="continue"/>
            <w:tcBorders>
              <w:top w:val="nil"/>
              <w:left w:val="single" w:color="auto" w:sz="4" w:space="0"/>
              <w:bottom w:val="single" w:color="auto" w:sz="4" w:space="0"/>
              <w:right w:val="single" w:color="auto" w:sz="4" w:space="0"/>
            </w:tcBorders>
            <w:vAlign w:val="center"/>
          </w:tcPr>
          <w:p w14:paraId="7E4DBC63">
            <w:pPr>
              <w:widowControl/>
              <w:spacing w:line="360" w:lineRule="auto"/>
              <w:jc w:val="left"/>
            </w:pPr>
          </w:p>
        </w:tc>
        <w:tc>
          <w:tcPr>
            <w:tcW w:w="2155" w:type="dxa"/>
            <w:vMerge w:val="continue"/>
            <w:tcBorders>
              <w:top w:val="nil"/>
              <w:left w:val="single" w:color="auto" w:sz="4" w:space="0"/>
              <w:bottom w:val="single" w:color="auto" w:sz="4" w:space="0"/>
              <w:right w:val="single" w:color="auto" w:sz="4" w:space="0"/>
            </w:tcBorders>
            <w:vAlign w:val="center"/>
          </w:tcPr>
          <w:p w14:paraId="07412C36">
            <w:pPr>
              <w:widowControl/>
              <w:spacing w:line="360" w:lineRule="auto"/>
              <w:jc w:val="left"/>
            </w:pPr>
          </w:p>
        </w:tc>
        <w:tc>
          <w:tcPr>
            <w:tcW w:w="1322" w:type="dxa"/>
            <w:vMerge w:val="continue"/>
            <w:tcBorders>
              <w:top w:val="nil"/>
              <w:left w:val="single" w:color="auto" w:sz="4" w:space="0"/>
              <w:bottom w:val="single" w:color="auto" w:sz="4" w:space="0"/>
              <w:right w:val="single" w:color="auto" w:sz="4" w:space="0"/>
            </w:tcBorders>
            <w:vAlign w:val="center"/>
          </w:tcPr>
          <w:p w14:paraId="6A49CC09">
            <w:pPr>
              <w:widowControl/>
              <w:spacing w:line="360" w:lineRule="auto"/>
              <w:jc w:val="left"/>
            </w:pPr>
          </w:p>
        </w:tc>
        <w:tc>
          <w:tcPr>
            <w:tcW w:w="1273" w:type="dxa"/>
            <w:vMerge w:val="continue"/>
            <w:tcBorders>
              <w:top w:val="nil"/>
              <w:left w:val="single" w:color="auto" w:sz="4" w:space="0"/>
              <w:bottom w:val="single" w:color="auto" w:sz="4" w:space="0"/>
              <w:right w:val="single" w:color="auto" w:sz="4" w:space="0"/>
            </w:tcBorders>
            <w:vAlign w:val="center"/>
          </w:tcPr>
          <w:p w14:paraId="2C256CDB">
            <w:pPr>
              <w:widowControl/>
              <w:spacing w:line="360" w:lineRule="auto"/>
              <w:jc w:val="left"/>
            </w:pPr>
          </w:p>
        </w:tc>
        <w:tc>
          <w:tcPr>
            <w:tcW w:w="3495" w:type="dxa"/>
            <w:vMerge w:val="continue"/>
            <w:tcBorders>
              <w:top w:val="nil"/>
              <w:left w:val="single" w:color="auto" w:sz="4" w:space="0"/>
              <w:bottom w:val="single" w:color="auto" w:sz="4" w:space="0"/>
              <w:right w:val="single" w:color="auto" w:sz="4" w:space="0"/>
            </w:tcBorders>
            <w:vAlign w:val="center"/>
          </w:tcPr>
          <w:p w14:paraId="32CDE381">
            <w:pPr>
              <w:widowControl/>
              <w:spacing w:line="360" w:lineRule="auto"/>
              <w:jc w:val="left"/>
            </w:pPr>
          </w:p>
        </w:tc>
      </w:tr>
      <w:tr w14:paraId="590D82C5">
        <w:tblPrEx>
          <w:tblCellMar>
            <w:top w:w="0" w:type="dxa"/>
            <w:left w:w="108" w:type="dxa"/>
            <w:bottom w:w="0" w:type="dxa"/>
            <w:right w:w="108" w:type="dxa"/>
          </w:tblCellMar>
        </w:tblPrEx>
        <w:trPr>
          <w:trHeight w:val="468" w:hRule="atLeast"/>
          <w:jc w:val="center"/>
        </w:trPr>
        <w:tc>
          <w:tcPr>
            <w:tcW w:w="1344" w:type="dxa"/>
            <w:vMerge w:val="continue"/>
            <w:tcBorders>
              <w:top w:val="nil"/>
              <w:left w:val="single" w:color="auto" w:sz="4" w:space="0"/>
              <w:bottom w:val="single" w:color="auto" w:sz="4" w:space="0"/>
              <w:right w:val="single" w:color="auto" w:sz="4" w:space="0"/>
            </w:tcBorders>
            <w:vAlign w:val="center"/>
          </w:tcPr>
          <w:p w14:paraId="7A2207A4">
            <w:pPr>
              <w:widowControl/>
              <w:spacing w:line="360" w:lineRule="auto"/>
              <w:jc w:val="left"/>
            </w:pPr>
          </w:p>
        </w:tc>
        <w:tc>
          <w:tcPr>
            <w:tcW w:w="2155" w:type="dxa"/>
            <w:vMerge w:val="continue"/>
            <w:tcBorders>
              <w:top w:val="nil"/>
              <w:left w:val="single" w:color="auto" w:sz="4" w:space="0"/>
              <w:bottom w:val="single" w:color="auto" w:sz="4" w:space="0"/>
              <w:right w:val="single" w:color="auto" w:sz="4" w:space="0"/>
            </w:tcBorders>
            <w:vAlign w:val="center"/>
          </w:tcPr>
          <w:p w14:paraId="068C260D">
            <w:pPr>
              <w:widowControl/>
              <w:spacing w:line="360" w:lineRule="auto"/>
              <w:jc w:val="left"/>
            </w:pPr>
          </w:p>
        </w:tc>
        <w:tc>
          <w:tcPr>
            <w:tcW w:w="1322" w:type="dxa"/>
            <w:vMerge w:val="continue"/>
            <w:tcBorders>
              <w:top w:val="nil"/>
              <w:left w:val="single" w:color="auto" w:sz="4" w:space="0"/>
              <w:bottom w:val="single" w:color="auto" w:sz="4" w:space="0"/>
              <w:right w:val="single" w:color="auto" w:sz="4" w:space="0"/>
            </w:tcBorders>
            <w:vAlign w:val="center"/>
          </w:tcPr>
          <w:p w14:paraId="499C83C9">
            <w:pPr>
              <w:widowControl/>
              <w:spacing w:line="360" w:lineRule="auto"/>
              <w:jc w:val="left"/>
            </w:pPr>
          </w:p>
        </w:tc>
        <w:tc>
          <w:tcPr>
            <w:tcW w:w="1273" w:type="dxa"/>
            <w:vMerge w:val="continue"/>
            <w:tcBorders>
              <w:top w:val="nil"/>
              <w:left w:val="single" w:color="auto" w:sz="4" w:space="0"/>
              <w:bottom w:val="single" w:color="auto" w:sz="4" w:space="0"/>
              <w:right w:val="single" w:color="auto" w:sz="4" w:space="0"/>
            </w:tcBorders>
            <w:vAlign w:val="center"/>
          </w:tcPr>
          <w:p w14:paraId="14787F4D">
            <w:pPr>
              <w:widowControl/>
              <w:spacing w:line="360" w:lineRule="auto"/>
              <w:jc w:val="left"/>
            </w:pPr>
          </w:p>
        </w:tc>
        <w:tc>
          <w:tcPr>
            <w:tcW w:w="3495" w:type="dxa"/>
            <w:vMerge w:val="continue"/>
            <w:tcBorders>
              <w:top w:val="nil"/>
              <w:left w:val="single" w:color="auto" w:sz="4" w:space="0"/>
              <w:bottom w:val="single" w:color="auto" w:sz="4" w:space="0"/>
              <w:right w:val="single" w:color="auto" w:sz="4" w:space="0"/>
            </w:tcBorders>
            <w:vAlign w:val="center"/>
          </w:tcPr>
          <w:p w14:paraId="6DB8792C">
            <w:pPr>
              <w:widowControl/>
              <w:spacing w:line="360" w:lineRule="auto"/>
              <w:jc w:val="left"/>
            </w:pPr>
          </w:p>
        </w:tc>
      </w:tr>
      <w:tr w14:paraId="5746A82C">
        <w:tblPrEx>
          <w:tblCellMar>
            <w:top w:w="0" w:type="dxa"/>
            <w:left w:w="108" w:type="dxa"/>
            <w:bottom w:w="0" w:type="dxa"/>
            <w:right w:w="108" w:type="dxa"/>
          </w:tblCellMar>
        </w:tblPrEx>
        <w:trPr>
          <w:trHeight w:val="468" w:hRule="atLeast"/>
          <w:jc w:val="center"/>
        </w:trPr>
        <w:tc>
          <w:tcPr>
            <w:tcW w:w="1344" w:type="dxa"/>
            <w:vMerge w:val="restart"/>
            <w:tcBorders>
              <w:top w:val="nil"/>
              <w:left w:val="single" w:color="auto" w:sz="4" w:space="0"/>
              <w:bottom w:val="single" w:color="auto" w:sz="4" w:space="0"/>
              <w:right w:val="single" w:color="auto" w:sz="4" w:space="0"/>
            </w:tcBorders>
            <w:vAlign w:val="center"/>
          </w:tcPr>
          <w:p w14:paraId="765EAE15">
            <w:pPr>
              <w:widowControl/>
              <w:spacing w:line="360" w:lineRule="auto"/>
              <w:jc w:val="center"/>
            </w:pPr>
            <w:r>
              <w:t>第二年</w:t>
            </w:r>
          </w:p>
        </w:tc>
        <w:tc>
          <w:tcPr>
            <w:tcW w:w="2155" w:type="dxa"/>
            <w:vMerge w:val="restart"/>
            <w:tcBorders>
              <w:top w:val="nil"/>
              <w:left w:val="single" w:color="auto" w:sz="4" w:space="0"/>
              <w:bottom w:val="single" w:color="auto" w:sz="4" w:space="0"/>
              <w:right w:val="single" w:color="auto" w:sz="4" w:space="0"/>
            </w:tcBorders>
            <w:vAlign w:val="center"/>
          </w:tcPr>
          <w:p w14:paraId="294958C3">
            <w:pPr>
              <w:widowControl/>
              <w:spacing w:line="360" w:lineRule="auto"/>
              <w:ind w:firstLine="420" w:firstLineChars="200"/>
              <w:jc w:val="center"/>
            </w:pPr>
            <w:r>
              <w:t xml:space="preserve"> 年  月  日</w:t>
            </w:r>
          </w:p>
          <w:p w14:paraId="7DDEF180">
            <w:pPr>
              <w:widowControl/>
              <w:spacing w:line="360" w:lineRule="auto"/>
              <w:jc w:val="center"/>
            </w:pPr>
            <w:r>
              <w:t>至   年  月  日</w:t>
            </w:r>
          </w:p>
        </w:tc>
        <w:tc>
          <w:tcPr>
            <w:tcW w:w="1322" w:type="dxa"/>
            <w:vMerge w:val="restart"/>
            <w:tcBorders>
              <w:top w:val="nil"/>
              <w:left w:val="single" w:color="auto" w:sz="4" w:space="0"/>
              <w:bottom w:val="single" w:color="auto" w:sz="4" w:space="0"/>
              <w:right w:val="single" w:color="auto" w:sz="4" w:space="0"/>
            </w:tcBorders>
            <w:vAlign w:val="center"/>
          </w:tcPr>
          <w:p w14:paraId="6CE3B255">
            <w:pPr>
              <w:widowControl/>
              <w:spacing w:line="360" w:lineRule="auto"/>
              <w:jc w:val="center"/>
            </w:pPr>
            <w:r>
              <w:t xml:space="preserve">  </w:t>
            </w:r>
          </w:p>
          <w:p w14:paraId="763D6A60">
            <w:pPr>
              <w:widowControl/>
              <w:spacing w:line="360" w:lineRule="auto"/>
              <w:jc w:val="center"/>
            </w:pPr>
            <w:r>
              <w:t>元/㎡/天</w:t>
            </w:r>
          </w:p>
        </w:tc>
        <w:tc>
          <w:tcPr>
            <w:tcW w:w="1273" w:type="dxa"/>
            <w:vMerge w:val="restart"/>
            <w:tcBorders>
              <w:top w:val="nil"/>
              <w:left w:val="single" w:color="auto" w:sz="4" w:space="0"/>
              <w:bottom w:val="single" w:color="auto" w:sz="4" w:space="0"/>
              <w:right w:val="single" w:color="auto" w:sz="4" w:space="0"/>
            </w:tcBorders>
            <w:vAlign w:val="center"/>
          </w:tcPr>
          <w:p w14:paraId="2D26DCB0">
            <w:pPr>
              <w:spacing w:line="360" w:lineRule="auto"/>
              <w:jc w:val="center"/>
            </w:pPr>
            <w:r>
              <w:t xml:space="preserve">       元</w:t>
            </w:r>
          </w:p>
        </w:tc>
        <w:tc>
          <w:tcPr>
            <w:tcW w:w="3495" w:type="dxa"/>
            <w:vMerge w:val="restart"/>
            <w:tcBorders>
              <w:top w:val="nil"/>
              <w:left w:val="single" w:color="auto" w:sz="4" w:space="0"/>
              <w:bottom w:val="single" w:color="auto" w:sz="4" w:space="0"/>
              <w:right w:val="single" w:color="auto" w:sz="4" w:space="0"/>
            </w:tcBorders>
            <w:vAlign w:val="center"/>
          </w:tcPr>
          <w:p w14:paraId="46ED107F">
            <w:pPr>
              <w:widowControl/>
              <w:spacing w:line="360" w:lineRule="auto"/>
            </w:pPr>
            <w:r>
              <w:t xml:space="preserve">     年 月  日前支付     元；</w:t>
            </w:r>
          </w:p>
          <w:p w14:paraId="0F9EB9B2">
            <w:pPr>
              <w:widowControl/>
              <w:spacing w:line="360" w:lineRule="auto"/>
            </w:pPr>
            <w:r>
              <w:t xml:space="preserve">     年 月  日前支付     元。</w:t>
            </w:r>
          </w:p>
        </w:tc>
      </w:tr>
      <w:tr w14:paraId="552F7FFE">
        <w:tblPrEx>
          <w:tblCellMar>
            <w:top w:w="0" w:type="dxa"/>
            <w:left w:w="108" w:type="dxa"/>
            <w:bottom w:w="0" w:type="dxa"/>
            <w:right w:w="108" w:type="dxa"/>
          </w:tblCellMar>
        </w:tblPrEx>
        <w:trPr>
          <w:trHeight w:val="468" w:hRule="atLeast"/>
          <w:jc w:val="center"/>
        </w:trPr>
        <w:tc>
          <w:tcPr>
            <w:tcW w:w="1344" w:type="dxa"/>
            <w:vMerge w:val="continue"/>
            <w:tcBorders>
              <w:top w:val="nil"/>
              <w:left w:val="single" w:color="auto" w:sz="4" w:space="0"/>
              <w:bottom w:val="single" w:color="auto" w:sz="4" w:space="0"/>
              <w:right w:val="single" w:color="auto" w:sz="4" w:space="0"/>
            </w:tcBorders>
            <w:vAlign w:val="center"/>
          </w:tcPr>
          <w:p w14:paraId="4CAE76E7">
            <w:pPr>
              <w:widowControl/>
              <w:spacing w:line="360" w:lineRule="auto"/>
              <w:jc w:val="left"/>
            </w:pPr>
          </w:p>
        </w:tc>
        <w:tc>
          <w:tcPr>
            <w:tcW w:w="2155" w:type="dxa"/>
            <w:vMerge w:val="continue"/>
            <w:tcBorders>
              <w:top w:val="nil"/>
              <w:left w:val="single" w:color="auto" w:sz="4" w:space="0"/>
              <w:bottom w:val="single" w:color="auto" w:sz="4" w:space="0"/>
              <w:right w:val="single" w:color="auto" w:sz="4" w:space="0"/>
            </w:tcBorders>
            <w:vAlign w:val="center"/>
          </w:tcPr>
          <w:p w14:paraId="5C144A5E">
            <w:pPr>
              <w:widowControl/>
              <w:spacing w:line="360" w:lineRule="auto"/>
              <w:jc w:val="left"/>
            </w:pPr>
          </w:p>
        </w:tc>
        <w:tc>
          <w:tcPr>
            <w:tcW w:w="1322" w:type="dxa"/>
            <w:vMerge w:val="continue"/>
            <w:tcBorders>
              <w:top w:val="nil"/>
              <w:left w:val="single" w:color="auto" w:sz="4" w:space="0"/>
              <w:bottom w:val="single" w:color="auto" w:sz="4" w:space="0"/>
              <w:right w:val="single" w:color="auto" w:sz="4" w:space="0"/>
            </w:tcBorders>
            <w:vAlign w:val="center"/>
          </w:tcPr>
          <w:p w14:paraId="1175D8CF">
            <w:pPr>
              <w:widowControl/>
              <w:spacing w:line="360" w:lineRule="auto"/>
              <w:jc w:val="left"/>
            </w:pPr>
          </w:p>
        </w:tc>
        <w:tc>
          <w:tcPr>
            <w:tcW w:w="1273" w:type="dxa"/>
            <w:vMerge w:val="continue"/>
            <w:tcBorders>
              <w:top w:val="nil"/>
              <w:left w:val="single" w:color="auto" w:sz="4" w:space="0"/>
              <w:bottom w:val="single" w:color="auto" w:sz="4" w:space="0"/>
              <w:right w:val="single" w:color="auto" w:sz="4" w:space="0"/>
            </w:tcBorders>
            <w:vAlign w:val="center"/>
          </w:tcPr>
          <w:p w14:paraId="710B3CD0">
            <w:pPr>
              <w:widowControl/>
              <w:spacing w:line="360" w:lineRule="auto"/>
              <w:jc w:val="left"/>
            </w:pPr>
          </w:p>
        </w:tc>
        <w:tc>
          <w:tcPr>
            <w:tcW w:w="3495" w:type="dxa"/>
            <w:vMerge w:val="continue"/>
            <w:tcBorders>
              <w:top w:val="nil"/>
              <w:left w:val="single" w:color="auto" w:sz="4" w:space="0"/>
              <w:bottom w:val="single" w:color="auto" w:sz="4" w:space="0"/>
              <w:right w:val="single" w:color="auto" w:sz="4" w:space="0"/>
            </w:tcBorders>
            <w:vAlign w:val="center"/>
          </w:tcPr>
          <w:p w14:paraId="5728D991">
            <w:pPr>
              <w:widowControl/>
              <w:spacing w:line="360" w:lineRule="auto"/>
              <w:jc w:val="left"/>
            </w:pPr>
          </w:p>
        </w:tc>
      </w:tr>
      <w:tr w14:paraId="4114C479">
        <w:tblPrEx>
          <w:tblCellMar>
            <w:top w:w="0" w:type="dxa"/>
            <w:left w:w="108" w:type="dxa"/>
            <w:bottom w:w="0" w:type="dxa"/>
            <w:right w:w="108" w:type="dxa"/>
          </w:tblCellMar>
        </w:tblPrEx>
        <w:trPr>
          <w:trHeight w:val="468" w:hRule="atLeast"/>
          <w:jc w:val="center"/>
        </w:trPr>
        <w:tc>
          <w:tcPr>
            <w:tcW w:w="1344" w:type="dxa"/>
            <w:vMerge w:val="continue"/>
            <w:tcBorders>
              <w:top w:val="nil"/>
              <w:left w:val="single" w:color="auto" w:sz="4" w:space="0"/>
              <w:bottom w:val="single" w:color="auto" w:sz="4" w:space="0"/>
              <w:right w:val="single" w:color="auto" w:sz="4" w:space="0"/>
            </w:tcBorders>
            <w:vAlign w:val="center"/>
          </w:tcPr>
          <w:p w14:paraId="1A4E17D4">
            <w:pPr>
              <w:widowControl/>
              <w:spacing w:line="360" w:lineRule="auto"/>
              <w:jc w:val="left"/>
            </w:pPr>
          </w:p>
        </w:tc>
        <w:tc>
          <w:tcPr>
            <w:tcW w:w="2155" w:type="dxa"/>
            <w:vMerge w:val="continue"/>
            <w:tcBorders>
              <w:top w:val="nil"/>
              <w:left w:val="single" w:color="auto" w:sz="4" w:space="0"/>
              <w:bottom w:val="single" w:color="auto" w:sz="4" w:space="0"/>
              <w:right w:val="single" w:color="auto" w:sz="4" w:space="0"/>
            </w:tcBorders>
            <w:vAlign w:val="center"/>
          </w:tcPr>
          <w:p w14:paraId="40F4F0B7">
            <w:pPr>
              <w:widowControl/>
              <w:spacing w:line="360" w:lineRule="auto"/>
              <w:jc w:val="left"/>
            </w:pPr>
          </w:p>
        </w:tc>
        <w:tc>
          <w:tcPr>
            <w:tcW w:w="1322" w:type="dxa"/>
            <w:vMerge w:val="continue"/>
            <w:tcBorders>
              <w:top w:val="nil"/>
              <w:left w:val="single" w:color="auto" w:sz="4" w:space="0"/>
              <w:bottom w:val="single" w:color="auto" w:sz="4" w:space="0"/>
              <w:right w:val="single" w:color="auto" w:sz="4" w:space="0"/>
            </w:tcBorders>
            <w:vAlign w:val="center"/>
          </w:tcPr>
          <w:p w14:paraId="0FC36803">
            <w:pPr>
              <w:widowControl/>
              <w:spacing w:line="360" w:lineRule="auto"/>
              <w:jc w:val="left"/>
            </w:pPr>
          </w:p>
        </w:tc>
        <w:tc>
          <w:tcPr>
            <w:tcW w:w="1273" w:type="dxa"/>
            <w:vMerge w:val="continue"/>
            <w:tcBorders>
              <w:top w:val="nil"/>
              <w:left w:val="single" w:color="auto" w:sz="4" w:space="0"/>
              <w:bottom w:val="single" w:color="auto" w:sz="4" w:space="0"/>
              <w:right w:val="single" w:color="auto" w:sz="4" w:space="0"/>
            </w:tcBorders>
            <w:vAlign w:val="center"/>
          </w:tcPr>
          <w:p w14:paraId="5679F229">
            <w:pPr>
              <w:widowControl/>
              <w:spacing w:line="360" w:lineRule="auto"/>
              <w:jc w:val="left"/>
            </w:pPr>
          </w:p>
        </w:tc>
        <w:tc>
          <w:tcPr>
            <w:tcW w:w="3495" w:type="dxa"/>
            <w:vMerge w:val="continue"/>
            <w:tcBorders>
              <w:top w:val="nil"/>
              <w:left w:val="single" w:color="auto" w:sz="4" w:space="0"/>
              <w:bottom w:val="single" w:color="auto" w:sz="4" w:space="0"/>
              <w:right w:val="single" w:color="auto" w:sz="4" w:space="0"/>
            </w:tcBorders>
            <w:vAlign w:val="center"/>
          </w:tcPr>
          <w:p w14:paraId="1F4BFC24">
            <w:pPr>
              <w:widowControl/>
              <w:spacing w:line="360" w:lineRule="auto"/>
              <w:jc w:val="left"/>
            </w:pPr>
          </w:p>
        </w:tc>
      </w:tr>
      <w:tr w14:paraId="71C76EC8">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vAlign w:val="center"/>
          </w:tcPr>
          <w:p w14:paraId="54C2362A">
            <w:pPr>
              <w:widowControl/>
              <w:spacing w:line="360" w:lineRule="auto"/>
              <w:jc w:val="center"/>
            </w:pPr>
            <w:r>
              <w:t>第</w:t>
            </w:r>
            <w:r>
              <w:rPr>
                <w:rFonts w:hint="eastAsia"/>
                <w:lang w:val="en-US" w:eastAsia="zh-CN"/>
              </w:rPr>
              <w:t>三</w:t>
            </w:r>
            <w:r>
              <w:t>年</w:t>
            </w:r>
          </w:p>
        </w:tc>
        <w:tc>
          <w:tcPr>
            <w:tcW w:w="2155" w:type="dxa"/>
            <w:tcBorders>
              <w:top w:val="nil"/>
              <w:left w:val="single" w:color="auto" w:sz="4" w:space="0"/>
              <w:bottom w:val="nil"/>
              <w:right w:val="single" w:color="auto" w:sz="4" w:space="0"/>
            </w:tcBorders>
            <w:vAlign w:val="center"/>
          </w:tcPr>
          <w:p w14:paraId="39A4CBCA">
            <w:pPr>
              <w:widowControl/>
              <w:spacing w:line="360" w:lineRule="auto"/>
              <w:ind w:firstLine="420" w:firstLineChars="200"/>
              <w:jc w:val="center"/>
            </w:pPr>
            <w:r>
              <w:t xml:space="preserve">  年  月  日</w:t>
            </w:r>
          </w:p>
          <w:p w14:paraId="022AD8C2">
            <w:pPr>
              <w:widowControl/>
              <w:spacing w:line="360" w:lineRule="auto"/>
              <w:jc w:val="center"/>
            </w:pPr>
            <w:r>
              <w:t>至    年  月  日</w:t>
            </w:r>
          </w:p>
        </w:tc>
        <w:tc>
          <w:tcPr>
            <w:tcW w:w="1322" w:type="dxa"/>
            <w:tcBorders>
              <w:top w:val="nil"/>
              <w:left w:val="single" w:color="auto" w:sz="4" w:space="0"/>
              <w:bottom w:val="nil"/>
              <w:right w:val="single" w:color="auto" w:sz="4" w:space="0"/>
            </w:tcBorders>
            <w:vAlign w:val="center"/>
          </w:tcPr>
          <w:p w14:paraId="40CA2BD2">
            <w:pPr>
              <w:widowControl/>
              <w:spacing w:line="360" w:lineRule="auto"/>
              <w:jc w:val="center"/>
            </w:pPr>
            <w:r>
              <w:t xml:space="preserve">  </w:t>
            </w:r>
          </w:p>
          <w:p w14:paraId="26FFEA9D">
            <w:pPr>
              <w:widowControl/>
              <w:spacing w:line="360" w:lineRule="auto"/>
              <w:jc w:val="center"/>
            </w:pPr>
            <w:r>
              <w:t>元/㎡/天</w:t>
            </w:r>
          </w:p>
        </w:tc>
        <w:tc>
          <w:tcPr>
            <w:tcW w:w="1273" w:type="dxa"/>
            <w:tcBorders>
              <w:top w:val="nil"/>
              <w:left w:val="single" w:color="auto" w:sz="4" w:space="0"/>
              <w:bottom w:val="nil"/>
              <w:right w:val="single" w:color="auto" w:sz="4" w:space="0"/>
            </w:tcBorders>
            <w:vAlign w:val="center"/>
          </w:tcPr>
          <w:p w14:paraId="42D852EA">
            <w:pPr>
              <w:widowControl/>
              <w:spacing w:line="360" w:lineRule="auto"/>
              <w:jc w:val="center"/>
            </w:pPr>
            <w:r>
              <w:t xml:space="preserve">       元</w:t>
            </w:r>
          </w:p>
        </w:tc>
        <w:tc>
          <w:tcPr>
            <w:tcW w:w="3495" w:type="dxa"/>
            <w:tcBorders>
              <w:top w:val="nil"/>
              <w:left w:val="single" w:color="auto" w:sz="4" w:space="0"/>
              <w:bottom w:val="nil"/>
              <w:right w:val="single" w:color="auto" w:sz="4" w:space="0"/>
            </w:tcBorders>
            <w:vAlign w:val="center"/>
          </w:tcPr>
          <w:p w14:paraId="7FF1B897">
            <w:pPr>
              <w:widowControl/>
              <w:spacing w:line="360" w:lineRule="auto"/>
            </w:pPr>
            <w:r>
              <w:t xml:space="preserve">     年 月  日前支付     元；</w:t>
            </w:r>
          </w:p>
          <w:p w14:paraId="77437409">
            <w:pPr>
              <w:widowControl/>
              <w:spacing w:line="360" w:lineRule="auto"/>
            </w:pPr>
            <w:r>
              <w:t xml:space="preserve">     年 月  日前支付     元。</w:t>
            </w:r>
          </w:p>
        </w:tc>
      </w:tr>
      <w:tr w14:paraId="66E7D0D1">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77559FB2">
            <w:pPr>
              <w:widowControl/>
              <w:spacing w:line="360" w:lineRule="auto"/>
              <w:jc w:val="center"/>
              <w:rPr>
                <w:rFonts w:hint="eastAsia" w:ascii="Times New Roman" w:hAnsi="Times New Roman" w:eastAsia="宋体" w:cs="Times New Roman"/>
                <w:kern w:val="2"/>
                <w:sz w:val="21"/>
                <w:szCs w:val="24"/>
                <w:lang w:val="en-US" w:eastAsia="zh-CN" w:bidi="ar-SA"/>
              </w:rPr>
            </w:pPr>
            <w:r>
              <w:t>第</w:t>
            </w:r>
            <w:r>
              <w:rPr>
                <w:rFonts w:hint="eastAsia"/>
                <w:lang w:val="en-US" w:eastAsia="zh-CN"/>
              </w:rPr>
              <w:t>四</w:t>
            </w:r>
            <w:r>
              <w:t>年</w:t>
            </w:r>
          </w:p>
        </w:tc>
        <w:tc>
          <w:tcPr>
            <w:tcW w:w="2155" w:type="dxa"/>
            <w:tcBorders>
              <w:top w:val="nil"/>
              <w:left w:val="single" w:color="auto" w:sz="4" w:space="0"/>
              <w:bottom w:val="nil"/>
              <w:right w:val="single" w:color="auto" w:sz="4" w:space="0"/>
            </w:tcBorders>
            <w:shd w:val="clear" w:color="auto" w:fill="auto"/>
            <w:vAlign w:val="center"/>
          </w:tcPr>
          <w:p w14:paraId="1D5EE312">
            <w:pPr>
              <w:widowControl/>
              <w:spacing w:line="360" w:lineRule="auto"/>
              <w:ind w:firstLine="420" w:firstLineChars="200"/>
              <w:jc w:val="center"/>
            </w:pPr>
            <w:r>
              <w:t xml:space="preserve">  年  月  日</w:t>
            </w:r>
          </w:p>
          <w:p w14:paraId="31817024">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70706528">
            <w:pPr>
              <w:widowControl/>
              <w:spacing w:line="360" w:lineRule="auto"/>
              <w:jc w:val="center"/>
            </w:pPr>
            <w:r>
              <w:t xml:space="preserve">  </w:t>
            </w:r>
          </w:p>
          <w:p w14:paraId="7CB9DEFC">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40217E09">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7490F901">
            <w:pPr>
              <w:widowControl/>
              <w:spacing w:line="360" w:lineRule="auto"/>
            </w:pPr>
            <w:r>
              <w:t xml:space="preserve">     年 月  日前支付     元；</w:t>
            </w:r>
          </w:p>
          <w:p w14:paraId="3C04837B">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207F0472">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2761A552">
            <w:pPr>
              <w:widowControl/>
              <w:spacing w:line="360" w:lineRule="auto"/>
              <w:jc w:val="center"/>
              <w:rPr>
                <w:rFonts w:ascii="Times New Roman" w:hAnsi="Times New Roman" w:eastAsia="宋体" w:cs="Times New Roman"/>
                <w:kern w:val="2"/>
                <w:sz w:val="21"/>
                <w:szCs w:val="24"/>
                <w:lang w:val="en-US" w:eastAsia="zh-CN" w:bidi="ar-SA"/>
              </w:rPr>
            </w:pPr>
            <w:r>
              <w:t>第</w:t>
            </w:r>
            <w:r>
              <w:rPr>
                <w:rFonts w:hint="eastAsia"/>
                <w:lang w:val="en-US" w:eastAsia="zh-CN"/>
              </w:rPr>
              <w:t>五</w:t>
            </w:r>
            <w:r>
              <w:t>年</w:t>
            </w:r>
          </w:p>
        </w:tc>
        <w:tc>
          <w:tcPr>
            <w:tcW w:w="2155" w:type="dxa"/>
            <w:tcBorders>
              <w:top w:val="nil"/>
              <w:left w:val="single" w:color="auto" w:sz="4" w:space="0"/>
              <w:bottom w:val="nil"/>
              <w:right w:val="single" w:color="auto" w:sz="4" w:space="0"/>
            </w:tcBorders>
            <w:shd w:val="clear" w:color="auto" w:fill="auto"/>
            <w:vAlign w:val="center"/>
          </w:tcPr>
          <w:p w14:paraId="322BD670">
            <w:pPr>
              <w:widowControl/>
              <w:spacing w:line="360" w:lineRule="auto"/>
              <w:ind w:firstLine="420" w:firstLineChars="200"/>
              <w:jc w:val="center"/>
            </w:pPr>
            <w:r>
              <w:t xml:space="preserve">  年  月  日</w:t>
            </w:r>
          </w:p>
          <w:p w14:paraId="5852CA02">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379C2463">
            <w:pPr>
              <w:widowControl/>
              <w:spacing w:line="360" w:lineRule="auto"/>
              <w:jc w:val="center"/>
            </w:pPr>
            <w:r>
              <w:t xml:space="preserve">  </w:t>
            </w:r>
          </w:p>
          <w:p w14:paraId="78FCDA93">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3EDBFD88">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7BC90FE0">
            <w:pPr>
              <w:widowControl/>
              <w:spacing w:line="360" w:lineRule="auto"/>
            </w:pPr>
            <w:r>
              <w:t xml:space="preserve">     年 月  日前支付     元；</w:t>
            </w:r>
          </w:p>
          <w:p w14:paraId="6A564D1D">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15E052F7">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42B1AED8">
            <w:pPr>
              <w:widowControl/>
              <w:spacing w:line="360" w:lineRule="auto"/>
              <w:jc w:val="center"/>
              <w:rPr>
                <w:rFonts w:ascii="Times New Roman" w:hAnsi="Times New Roman" w:eastAsia="宋体" w:cs="Times New Roman"/>
                <w:kern w:val="2"/>
                <w:sz w:val="21"/>
                <w:szCs w:val="24"/>
                <w:lang w:val="en-US" w:eastAsia="zh-CN" w:bidi="ar-SA"/>
              </w:rPr>
            </w:pPr>
            <w:r>
              <w:t>第</w:t>
            </w:r>
            <w:r>
              <w:rPr>
                <w:rFonts w:hint="eastAsia"/>
                <w:lang w:val="en-US" w:eastAsia="zh-CN"/>
              </w:rPr>
              <w:t>六</w:t>
            </w:r>
            <w:r>
              <w:t>年</w:t>
            </w:r>
          </w:p>
        </w:tc>
        <w:tc>
          <w:tcPr>
            <w:tcW w:w="2155" w:type="dxa"/>
            <w:tcBorders>
              <w:top w:val="nil"/>
              <w:left w:val="single" w:color="auto" w:sz="4" w:space="0"/>
              <w:bottom w:val="nil"/>
              <w:right w:val="single" w:color="auto" w:sz="4" w:space="0"/>
            </w:tcBorders>
            <w:shd w:val="clear" w:color="auto" w:fill="auto"/>
            <w:vAlign w:val="center"/>
          </w:tcPr>
          <w:p w14:paraId="5CFA0ABB">
            <w:pPr>
              <w:widowControl/>
              <w:spacing w:line="360" w:lineRule="auto"/>
              <w:ind w:firstLine="420" w:firstLineChars="200"/>
              <w:jc w:val="center"/>
            </w:pPr>
            <w:r>
              <w:t xml:space="preserve">  年  月  日</w:t>
            </w:r>
          </w:p>
          <w:p w14:paraId="4B038987">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28907C66">
            <w:pPr>
              <w:widowControl/>
              <w:spacing w:line="360" w:lineRule="auto"/>
              <w:jc w:val="center"/>
            </w:pPr>
            <w:r>
              <w:t xml:space="preserve">  </w:t>
            </w:r>
          </w:p>
          <w:p w14:paraId="501C980D">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11A88C5B">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1D23AC01">
            <w:pPr>
              <w:widowControl/>
              <w:spacing w:line="360" w:lineRule="auto"/>
            </w:pPr>
            <w:r>
              <w:t xml:space="preserve">     年 月  日前支付     元；</w:t>
            </w:r>
          </w:p>
          <w:p w14:paraId="2933FB76">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1A7E95D9">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5929F981">
            <w:pPr>
              <w:widowControl/>
              <w:spacing w:line="360" w:lineRule="auto"/>
              <w:jc w:val="center"/>
              <w:rPr>
                <w:rFonts w:ascii="Times New Roman" w:hAnsi="Times New Roman" w:eastAsia="宋体" w:cs="Times New Roman"/>
                <w:kern w:val="2"/>
                <w:sz w:val="21"/>
                <w:szCs w:val="24"/>
                <w:lang w:val="en-US" w:eastAsia="zh-CN" w:bidi="ar-SA"/>
              </w:rPr>
            </w:pPr>
            <w:r>
              <w:t>第</w:t>
            </w:r>
            <w:r>
              <w:rPr>
                <w:rFonts w:hint="eastAsia"/>
                <w:lang w:val="en-US" w:eastAsia="zh-CN"/>
              </w:rPr>
              <w:t>七</w:t>
            </w:r>
            <w:r>
              <w:t>年</w:t>
            </w:r>
          </w:p>
        </w:tc>
        <w:tc>
          <w:tcPr>
            <w:tcW w:w="2155" w:type="dxa"/>
            <w:tcBorders>
              <w:top w:val="nil"/>
              <w:left w:val="single" w:color="auto" w:sz="4" w:space="0"/>
              <w:bottom w:val="nil"/>
              <w:right w:val="single" w:color="auto" w:sz="4" w:space="0"/>
            </w:tcBorders>
            <w:shd w:val="clear" w:color="auto" w:fill="auto"/>
            <w:vAlign w:val="center"/>
          </w:tcPr>
          <w:p w14:paraId="7E1A5ACA">
            <w:pPr>
              <w:widowControl/>
              <w:spacing w:line="360" w:lineRule="auto"/>
              <w:ind w:firstLine="420" w:firstLineChars="200"/>
              <w:jc w:val="center"/>
            </w:pPr>
            <w:r>
              <w:t xml:space="preserve">  年  月  日</w:t>
            </w:r>
          </w:p>
          <w:p w14:paraId="6DC11B8C">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45DA74F7">
            <w:pPr>
              <w:widowControl/>
              <w:spacing w:line="360" w:lineRule="auto"/>
              <w:jc w:val="center"/>
            </w:pPr>
            <w:r>
              <w:t xml:space="preserve">  </w:t>
            </w:r>
          </w:p>
          <w:p w14:paraId="5805CD95">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5F7FC6F0">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58A972B5">
            <w:pPr>
              <w:widowControl/>
              <w:spacing w:line="360" w:lineRule="auto"/>
            </w:pPr>
            <w:r>
              <w:t xml:space="preserve">     年 月  日前支付     元；</w:t>
            </w:r>
          </w:p>
          <w:p w14:paraId="69A9FE63">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52AD38BA">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41C8DAC1">
            <w:pPr>
              <w:widowControl/>
              <w:spacing w:line="360" w:lineRule="auto"/>
              <w:jc w:val="center"/>
              <w:rPr>
                <w:rFonts w:hint="default" w:ascii="Times New Roman" w:hAnsi="Times New Roman" w:eastAsia="宋体" w:cs="Times New Roman"/>
                <w:kern w:val="2"/>
                <w:sz w:val="21"/>
                <w:szCs w:val="24"/>
                <w:lang w:val="en-US" w:eastAsia="zh-CN" w:bidi="ar-SA"/>
              </w:rPr>
            </w:pPr>
            <w:r>
              <w:t>第</w:t>
            </w:r>
            <w:r>
              <w:rPr>
                <w:rFonts w:hint="eastAsia"/>
                <w:lang w:val="en-US" w:eastAsia="zh-CN"/>
              </w:rPr>
              <w:t>八年</w:t>
            </w:r>
          </w:p>
        </w:tc>
        <w:tc>
          <w:tcPr>
            <w:tcW w:w="2155" w:type="dxa"/>
            <w:tcBorders>
              <w:top w:val="nil"/>
              <w:left w:val="single" w:color="auto" w:sz="4" w:space="0"/>
              <w:bottom w:val="nil"/>
              <w:right w:val="single" w:color="auto" w:sz="4" w:space="0"/>
            </w:tcBorders>
            <w:shd w:val="clear" w:color="auto" w:fill="auto"/>
            <w:vAlign w:val="center"/>
          </w:tcPr>
          <w:p w14:paraId="6C0AE339">
            <w:pPr>
              <w:widowControl/>
              <w:spacing w:line="360" w:lineRule="auto"/>
              <w:ind w:firstLine="420" w:firstLineChars="200"/>
              <w:jc w:val="center"/>
            </w:pPr>
            <w:r>
              <w:t xml:space="preserve">  年  月  日</w:t>
            </w:r>
          </w:p>
          <w:p w14:paraId="4200771B">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041A1072">
            <w:pPr>
              <w:widowControl/>
              <w:spacing w:line="360" w:lineRule="auto"/>
              <w:jc w:val="center"/>
            </w:pPr>
            <w:r>
              <w:t xml:space="preserve">  </w:t>
            </w:r>
          </w:p>
          <w:p w14:paraId="1872182A">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17FE47B9">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3882CA0B">
            <w:pPr>
              <w:widowControl/>
              <w:spacing w:line="360" w:lineRule="auto"/>
            </w:pPr>
            <w:r>
              <w:t xml:space="preserve">     年 月  日前支付     元；</w:t>
            </w:r>
          </w:p>
          <w:p w14:paraId="55D65971">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61BF6853">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nil"/>
              <w:right w:val="single" w:color="auto" w:sz="4" w:space="0"/>
            </w:tcBorders>
            <w:shd w:val="clear" w:color="auto" w:fill="auto"/>
            <w:vAlign w:val="center"/>
          </w:tcPr>
          <w:p w14:paraId="003C9BDF">
            <w:pPr>
              <w:widowControl/>
              <w:spacing w:line="360" w:lineRule="auto"/>
              <w:jc w:val="center"/>
              <w:rPr>
                <w:rFonts w:hint="eastAsia" w:ascii="Times New Roman" w:hAnsi="Times New Roman" w:eastAsia="宋体" w:cs="Times New Roman"/>
                <w:kern w:val="2"/>
                <w:sz w:val="21"/>
                <w:szCs w:val="24"/>
                <w:lang w:val="en-US" w:eastAsia="zh-CN" w:bidi="ar-SA"/>
              </w:rPr>
            </w:pPr>
            <w:r>
              <w:t>第</w:t>
            </w:r>
            <w:r>
              <w:rPr>
                <w:rFonts w:hint="eastAsia"/>
                <w:lang w:val="en-US" w:eastAsia="zh-CN"/>
              </w:rPr>
              <w:t>九年</w:t>
            </w:r>
          </w:p>
        </w:tc>
        <w:tc>
          <w:tcPr>
            <w:tcW w:w="2155" w:type="dxa"/>
            <w:tcBorders>
              <w:top w:val="nil"/>
              <w:left w:val="single" w:color="auto" w:sz="4" w:space="0"/>
              <w:bottom w:val="nil"/>
              <w:right w:val="single" w:color="auto" w:sz="4" w:space="0"/>
            </w:tcBorders>
            <w:shd w:val="clear" w:color="auto" w:fill="auto"/>
            <w:vAlign w:val="center"/>
          </w:tcPr>
          <w:p w14:paraId="667E15F9">
            <w:pPr>
              <w:widowControl/>
              <w:spacing w:line="360" w:lineRule="auto"/>
              <w:ind w:firstLine="420" w:firstLineChars="200"/>
              <w:jc w:val="center"/>
            </w:pPr>
            <w:r>
              <w:t xml:space="preserve">  年  月  日</w:t>
            </w:r>
          </w:p>
          <w:p w14:paraId="49747E35">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nil"/>
              <w:right w:val="single" w:color="auto" w:sz="4" w:space="0"/>
            </w:tcBorders>
            <w:shd w:val="clear" w:color="auto" w:fill="auto"/>
            <w:vAlign w:val="center"/>
          </w:tcPr>
          <w:p w14:paraId="0217A338">
            <w:pPr>
              <w:widowControl/>
              <w:spacing w:line="360" w:lineRule="auto"/>
              <w:jc w:val="center"/>
            </w:pPr>
            <w:r>
              <w:t xml:space="preserve">  </w:t>
            </w:r>
          </w:p>
          <w:p w14:paraId="2D79F0D1">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nil"/>
              <w:right w:val="single" w:color="auto" w:sz="4" w:space="0"/>
            </w:tcBorders>
            <w:shd w:val="clear" w:color="auto" w:fill="auto"/>
            <w:vAlign w:val="center"/>
          </w:tcPr>
          <w:p w14:paraId="38C26717">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nil"/>
              <w:right w:val="single" w:color="auto" w:sz="4" w:space="0"/>
            </w:tcBorders>
            <w:shd w:val="clear" w:color="auto" w:fill="auto"/>
            <w:vAlign w:val="center"/>
          </w:tcPr>
          <w:p w14:paraId="12C8E633">
            <w:pPr>
              <w:widowControl/>
              <w:spacing w:line="360" w:lineRule="auto"/>
            </w:pPr>
            <w:r>
              <w:t xml:space="preserve">     年 月  日前支付     元；</w:t>
            </w:r>
          </w:p>
          <w:p w14:paraId="28F3AB5C">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r w14:paraId="49219674">
        <w:tblPrEx>
          <w:tblCellMar>
            <w:top w:w="0" w:type="dxa"/>
            <w:left w:w="108" w:type="dxa"/>
            <w:bottom w:w="0" w:type="dxa"/>
            <w:right w:w="108" w:type="dxa"/>
          </w:tblCellMar>
        </w:tblPrEx>
        <w:trPr>
          <w:trHeight w:val="1012" w:hRule="atLeast"/>
          <w:jc w:val="center"/>
        </w:trPr>
        <w:tc>
          <w:tcPr>
            <w:tcW w:w="1344" w:type="dxa"/>
            <w:tcBorders>
              <w:top w:val="nil"/>
              <w:left w:val="single" w:color="auto" w:sz="4" w:space="0"/>
              <w:bottom w:val="single" w:color="auto" w:sz="4" w:space="0"/>
              <w:right w:val="single" w:color="auto" w:sz="4" w:space="0"/>
            </w:tcBorders>
            <w:shd w:val="clear" w:color="auto" w:fill="auto"/>
            <w:vAlign w:val="center"/>
          </w:tcPr>
          <w:p w14:paraId="76CEE049">
            <w:pPr>
              <w:widowControl/>
              <w:spacing w:line="360" w:lineRule="auto"/>
              <w:jc w:val="center"/>
              <w:rPr>
                <w:rFonts w:hint="default" w:ascii="Times New Roman" w:hAnsi="Times New Roman" w:eastAsia="宋体" w:cs="Times New Roman"/>
                <w:kern w:val="2"/>
                <w:sz w:val="21"/>
                <w:szCs w:val="24"/>
                <w:lang w:val="en-US" w:eastAsia="zh-CN" w:bidi="ar-SA"/>
              </w:rPr>
            </w:pPr>
            <w:r>
              <w:t>第</w:t>
            </w:r>
            <w:r>
              <w:rPr>
                <w:rFonts w:hint="eastAsia"/>
                <w:lang w:val="en-US" w:eastAsia="zh-CN"/>
              </w:rPr>
              <w:t>十年</w:t>
            </w:r>
          </w:p>
        </w:tc>
        <w:tc>
          <w:tcPr>
            <w:tcW w:w="2155" w:type="dxa"/>
            <w:tcBorders>
              <w:top w:val="nil"/>
              <w:left w:val="single" w:color="auto" w:sz="4" w:space="0"/>
              <w:bottom w:val="single" w:color="auto" w:sz="4" w:space="0"/>
              <w:right w:val="single" w:color="auto" w:sz="4" w:space="0"/>
            </w:tcBorders>
            <w:shd w:val="clear" w:color="auto" w:fill="auto"/>
            <w:vAlign w:val="center"/>
          </w:tcPr>
          <w:p w14:paraId="3766DEBC">
            <w:pPr>
              <w:widowControl/>
              <w:spacing w:line="360" w:lineRule="auto"/>
              <w:ind w:firstLine="420" w:firstLineChars="200"/>
              <w:jc w:val="center"/>
            </w:pPr>
            <w:r>
              <w:t xml:space="preserve">  年  月  日</w:t>
            </w:r>
          </w:p>
          <w:p w14:paraId="37DACE49">
            <w:pPr>
              <w:widowControl/>
              <w:spacing w:line="360" w:lineRule="auto"/>
              <w:jc w:val="center"/>
              <w:rPr>
                <w:rFonts w:ascii="Times New Roman" w:hAnsi="Times New Roman" w:eastAsia="宋体" w:cs="Times New Roman"/>
                <w:kern w:val="2"/>
                <w:sz w:val="21"/>
                <w:szCs w:val="24"/>
                <w:lang w:val="en-US" w:eastAsia="zh-CN" w:bidi="ar-SA"/>
              </w:rPr>
            </w:pPr>
            <w:r>
              <w:t>至    年  月  日</w:t>
            </w:r>
          </w:p>
        </w:tc>
        <w:tc>
          <w:tcPr>
            <w:tcW w:w="1322" w:type="dxa"/>
            <w:tcBorders>
              <w:top w:val="nil"/>
              <w:left w:val="single" w:color="auto" w:sz="4" w:space="0"/>
              <w:bottom w:val="single" w:color="auto" w:sz="4" w:space="0"/>
              <w:right w:val="single" w:color="auto" w:sz="4" w:space="0"/>
            </w:tcBorders>
            <w:shd w:val="clear" w:color="auto" w:fill="auto"/>
            <w:vAlign w:val="center"/>
          </w:tcPr>
          <w:p w14:paraId="35C0E74C">
            <w:pPr>
              <w:widowControl/>
              <w:spacing w:line="360" w:lineRule="auto"/>
              <w:jc w:val="center"/>
            </w:pPr>
            <w:r>
              <w:t xml:space="preserve">  </w:t>
            </w:r>
          </w:p>
          <w:p w14:paraId="576A32CF">
            <w:pPr>
              <w:widowControl/>
              <w:spacing w:line="360" w:lineRule="auto"/>
              <w:jc w:val="center"/>
              <w:rPr>
                <w:rFonts w:ascii="Times New Roman" w:hAnsi="Times New Roman" w:eastAsia="宋体" w:cs="Times New Roman"/>
                <w:kern w:val="2"/>
                <w:sz w:val="21"/>
                <w:szCs w:val="24"/>
                <w:lang w:val="en-US" w:eastAsia="zh-CN" w:bidi="ar-SA"/>
              </w:rPr>
            </w:pPr>
            <w:r>
              <w:t>元/㎡/天</w:t>
            </w:r>
          </w:p>
        </w:tc>
        <w:tc>
          <w:tcPr>
            <w:tcW w:w="1273" w:type="dxa"/>
            <w:tcBorders>
              <w:top w:val="nil"/>
              <w:left w:val="single" w:color="auto" w:sz="4" w:space="0"/>
              <w:bottom w:val="single" w:color="auto" w:sz="4" w:space="0"/>
              <w:right w:val="single" w:color="auto" w:sz="4" w:space="0"/>
            </w:tcBorders>
            <w:shd w:val="clear" w:color="auto" w:fill="auto"/>
            <w:vAlign w:val="center"/>
          </w:tcPr>
          <w:p w14:paraId="2C738219">
            <w:pPr>
              <w:widowControl/>
              <w:spacing w:line="360" w:lineRule="auto"/>
              <w:jc w:val="center"/>
              <w:rPr>
                <w:rFonts w:ascii="Times New Roman" w:hAnsi="Times New Roman" w:eastAsia="宋体" w:cs="Times New Roman"/>
                <w:kern w:val="2"/>
                <w:sz w:val="21"/>
                <w:szCs w:val="24"/>
                <w:lang w:val="en-US" w:eastAsia="zh-CN" w:bidi="ar-SA"/>
              </w:rPr>
            </w:pPr>
            <w:r>
              <w:t xml:space="preserve">       元</w:t>
            </w:r>
          </w:p>
        </w:tc>
        <w:tc>
          <w:tcPr>
            <w:tcW w:w="3495" w:type="dxa"/>
            <w:tcBorders>
              <w:top w:val="nil"/>
              <w:left w:val="single" w:color="auto" w:sz="4" w:space="0"/>
              <w:bottom w:val="single" w:color="auto" w:sz="4" w:space="0"/>
              <w:right w:val="single" w:color="auto" w:sz="4" w:space="0"/>
            </w:tcBorders>
            <w:shd w:val="clear" w:color="auto" w:fill="auto"/>
            <w:vAlign w:val="center"/>
          </w:tcPr>
          <w:p w14:paraId="7B523514">
            <w:pPr>
              <w:widowControl/>
              <w:spacing w:line="360" w:lineRule="auto"/>
            </w:pPr>
            <w:r>
              <w:t xml:space="preserve">     年 月  日前支付     元；</w:t>
            </w:r>
          </w:p>
          <w:p w14:paraId="65AECCC9">
            <w:pPr>
              <w:widowControl/>
              <w:spacing w:line="360" w:lineRule="auto"/>
              <w:rPr>
                <w:rFonts w:ascii="Times New Roman" w:hAnsi="Times New Roman" w:eastAsia="宋体" w:cs="Times New Roman"/>
                <w:kern w:val="2"/>
                <w:sz w:val="21"/>
                <w:szCs w:val="24"/>
                <w:lang w:val="en-US" w:eastAsia="zh-CN" w:bidi="ar-SA"/>
              </w:rPr>
            </w:pPr>
            <w:r>
              <w:t xml:space="preserve">     年 月  日前支付     元。</w:t>
            </w:r>
          </w:p>
        </w:tc>
      </w:tr>
    </w:tbl>
    <w:p w14:paraId="0AF1F60E">
      <w:pPr>
        <w:snapToGrid w:val="0"/>
        <w:spacing w:line="360" w:lineRule="auto"/>
      </w:pPr>
      <w:r>
        <w:t>备注：第一期租金在</w:t>
      </w:r>
      <w:r>
        <w:rPr>
          <w:rFonts w:hint="eastAsia"/>
          <w:highlight w:val="yellow"/>
        </w:rPr>
        <w:t>本合同签订后</w:t>
      </w:r>
      <w:r>
        <w:rPr>
          <w:rFonts w:hint="eastAsia"/>
          <w:highlight w:val="yellow"/>
          <w:lang w:val="en-US" w:eastAsia="zh-CN"/>
        </w:rPr>
        <w:t>5个工作日</w:t>
      </w:r>
      <w:r>
        <w:rPr>
          <w:rFonts w:hint="eastAsia"/>
          <w:highlight w:val="yellow"/>
        </w:rPr>
        <w:t>内支付</w:t>
      </w:r>
      <w:r>
        <w:t>，此后各期租金应在上个付费周期届满前10天由</w:t>
      </w:r>
      <w:r>
        <w:rPr>
          <w:rFonts w:hint="eastAsia"/>
        </w:rPr>
        <w:t>乙方支付</w:t>
      </w:r>
      <w:r>
        <w:t>给甲方。</w:t>
      </w:r>
    </w:p>
    <w:p w14:paraId="7F793340">
      <w:pPr>
        <w:snapToGrid w:val="0"/>
        <w:spacing w:line="360" w:lineRule="auto"/>
        <w:ind w:firstLine="480"/>
      </w:pPr>
      <w:r>
        <w:rPr>
          <w:rFonts w:hint="eastAsia"/>
          <w:lang w:val="en-US" w:eastAsia="zh-CN"/>
        </w:rPr>
        <w:t>5</w:t>
      </w:r>
      <w:r>
        <w:t>.3租金应以人民币支票或以银行转账的形式转入甲方指定</w:t>
      </w:r>
      <w:r>
        <w:rPr>
          <w:rFonts w:hint="eastAsia"/>
          <w:lang w:eastAsia="zh-CN"/>
        </w:rPr>
        <w:t>的银行账户</w:t>
      </w:r>
      <w:r>
        <w:t>。甲方账户信息如下：</w:t>
      </w:r>
    </w:p>
    <w:p w14:paraId="67B018FB">
      <w:pPr>
        <w:spacing w:line="360" w:lineRule="auto"/>
        <w:ind w:left="479" w:leftChars="228"/>
      </w:pPr>
      <w:r>
        <w:t>开户银行：</w:t>
      </w:r>
      <w:r>
        <w:rPr>
          <w:u w:val="single"/>
        </w:rPr>
        <w:t xml:space="preserve">   </w:t>
      </w:r>
      <w:r>
        <w:rPr>
          <w:rFonts w:hint="eastAsia"/>
          <w:u w:val="single"/>
        </w:rPr>
        <w:t>中国农业银行股份有限公司杭州钱江新城支行</w:t>
      </w:r>
    </w:p>
    <w:p w14:paraId="69BB4367">
      <w:pPr>
        <w:spacing w:line="360" w:lineRule="auto"/>
        <w:ind w:left="420" w:hanging="420" w:hangingChars="200"/>
        <w:rPr>
          <w:u w:val="single"/>
        </w:rPr>
      </w:pPr>
      <w:r>
        <w:t xml:space="preserve">    收款人名称：</w:t>
      </w:r>
      <w:r>
        <w:rPr>
          <w:u w:val="single"/>
        </w:rPr>
        <w:t xml:space="preserve">  </w:t>
      </w:r>
      <w:r>
        <w:rPr>
          <w:rFonts w:hint="eastAsia"/>
          <w:u w:val="single"/>
        </w:rPr>
        <w:t>杭州市城投服务集团有限公司</w:t>
      </w:r>
      <w:r>
        <w:rPr>
          <w:u w:val="single"/>
        </w:rPr>
        <w:t xml:space="preserve">              </w:t>
      </w:r>
    </w:p>
    <w:p w14:paraId="5015A7AD">
      <w:pPr>
        <w:spacing w:line="360" w:lineRule="auto"/>
        <w:ind w:left="420" w:hanging="420" w:hangingChars="200"/>
      </w:pPr>
      <w:r>
        <w:t xml:space="preserve">    银行账号：</w:t>
      </w:r>
      <w:r>
        <w:rPr>
          <w:u w:val="single"/>
        </w:rPr>
        <w:t xml:space="preserve">  </w:t>
      </w:r>
      <w:r>
        <w:rPr>
          <w:rFonts w:hint="eastAsia"/>
          <w:u w:val="single"/>
          <w:lang w:val="en-US" w:eastAsia="zh-CN"/>
        </w:rPr>
        <w:t xml:space="preserve"> </w:t>
      </w:r>
      <w:r>
        <w:rPr>
          <w:u w:val="single"/>
        </w:rPr>
        <w:t xml:space="preserve"> </w:t>
      </w:r>
      <w:r>
        <w:rPr>
          <w:rFonts w:hint="eastAsia"/>
          <w:u w:val="single"/>
        </w:rPr>
        <w:t>19025901040007635</w:t>
      </w:r>
      <w:r>
        <w:rPr>
          <w:u w:val="single"/>
        </w:rPr>
        <w:t xml:space="preserve">                       </w:t>
      </w:r>
    </w:p>
    <w:p w14:paraId="69CE68D8">
      <w:pPr>
        <w:snapToGrid w:val="0"/>
        <w:spacing w:line="360" w:lineRule="auto"/>
        <w:ind w:firstLine="420" w:firstLineChars="200"/>
        <w:rPr>
          <w:szCs w:val="21"/>
        </w:rPr>
      </w:pPr>
      <w:r>
        <w:rPr>
          <w:rFonts w:hint="eastAsia"/>
          <w:szCs w:val="21"/>
          <w:lang w:val="en-US" w:eastAsia="zh-CN"/>
        </w:rPr>
        <w:t>5</w:t>
      </w:r>
      <w:r>
        <w:rPr>
          <w:szCs w:val="21"/>
        </w:rPr>
        <w:t>.4上述租金不包含乙方应另行自行承担的水、电、电话、电视、网络、停车位、物业服务、空调使用、垃圾清运及其他营运等费用，该些费用根据相应收费主体的要求和标准由乙方直接支付，若乙方未能按期足额支付的，则甲方有权代付后向乙方追偿或从保证金中抵扣，乙方应在收到甲方或甲方委托的物业服务公司书面通知之日起三日内支付。</w:t>
      </w:r>
    </w:p>
    <w:p w14:paraId="2E990DDF">
      <w:pPr>
        <w:ind w:firstLine="420" w:firstLineChars="200"/>
      </w:pPr>
      <w:r>
        <w:t>水费按</w:t>
      </w:r>
      <w:r>
        <w:rPr>
          <w:u w:val="single"/>
        </w:rPr>
        <w:t xml:space="preserve">     </w:t>
      </w:r>
      <w:r>
        <w:t>元/吨（含税），电费按</w:t>
      </w:r>
      <w:r>
        <w:rPr>
          <w:u w:val="single"/>
        </w:rPr>
        <w:t xml:space="preserve">      </w:t>
      </w:r>
      <w:r>
        <w:t>元/度（含税）。</w:t>
      </w:r>
    </w:p>
    <w:p w14:paraId="40B5F0F7">
      <w:pPr>
        <w:snapToGrid w:val="0"/>
        <w:spacing w:line="360" w:lineRule="auto"/>
        <w:ind w:firstLine="420" w:firstLineChars="200"/>
        <w:rPr>
          <w:szCs w:val="21"/>
        </w:rPr>
      </w:pPr>
      <w:r>
        <w:rPr>
          <w:rFonts w:hint="eastAsia"/>
          <w:szCs w:val="21"/>
          <w:lang w:val="en-US" w:eastAsia="zh-CN"/>
        </w:rPr>
        <w:t>5</w:t>
      </w:r>
      <w:r>
        <w:rPr>
          <w:szCs w:val="21"/>
        </w:rPr>
        <w:t>.5乙方应</w:t>
      </w:r>
      <w:r>
        <w:rPr>
          <w:rFonts w:hint="eastAsia"/>
          <w:szCs w:val="21"/>
        </w:rPr>
        <w:t>向甲方</w:t>
      </w:r>
      <w:r>
        <w:rPr>
          <w:szCs w:val="21"/>
        </w:rPr>
        <w:t>支付履约保证金人民币</w:t>
      </w:r>
      <w:r>
        <w:rPr>
          <w:szCs w:val="21"/>
          <w:u w:val="single"/>
        </w:rPr>
        <w:t xml:space="preserve">       </w:t>
      </w:r>
      <w:r>
        <w:rPr>
          <w:szCs w:val="21"/>
        </w:rPr>
        <w:t>万元（保证金标准</w:t>
      </w:r>
      <w:r>
        <w:rPr>
          <w:rFonts w:hint="eastAsia"/>
          <w:szCs w:val="21"/>
          <w:lang w:val="en-US" w:eastAsia="zh-CN"/>
        </w:rPr>
        <w:t>为</w:t>
      </w:r>
      <w:r>
        <w:rPr>
          <w:szCs w:val="21"/>
        </w:rPr>
        <w:t>：以首年租金标准计算的</w:t>
      </w:r>
      <w:r>
        <w:rPr>
          <w:szCs w:val="21"/>
          <w:u w:val="single"/>
        </w:rPr>
        <w:t xml:space="preserve">  </w:t>
      </w:r>
      <w:r>
        <w:rPr>
          <w:rFonts w:hint="eastAsia"/>
          <w:szCs w:val="21"/>
          <w:u w:val="single"/>
          <w:lang w:val="en-US" w:eastAsia="zh-CN"/>
        </w:rPr>
        <w:t>3</w:t>
      </w:r>
      <w:r>
        <w:rPr>
          <w:szCs w:val="21"/>
          <w:u w:val="single"/>
        </w:rPr>
        <w:t xml:space="preserve">  </w:t>
      </w:r>
      <w:r>
        <w:rPr>
          <w:szCs w:val="21"/>
        </w:rPr>
        <w:t>个</w:t>
      </w:r>
      <w:r>
        <w:rPr>
          <w:rFonts w:hint="eastAsia"/>
          <w:szCs w:val="21"/>
          <w:lang w:eastAsia="zh-CN"/>
        </w:rPr>
        <w:t>月租金</w:t>
      </w:r>
      <w:r>
        <w:rPr>
          <w:szCs w:val="21"/>
        </w:rPr>
        <w:t>）。租赁关系终止，在乙方没有违约的情况下，并且乙方按本合同要求交回租赁物业及相关设施</w:t>
      </w:r>
      <w:r>
        <w:rPr>
          <w:rFonts w:hint="eastAsia"/>
          <w:szCs w:val="21"/>
          <w:lang w:eastAsia="zh-CN"/>
        </w:rPr>
        <w:t>，</w:t>
      </w:r>
      <w:r>
        <w:rPr>
          <w:szCs w:val="21"/>
        </w:rPr>
        <w:t xml:space="preserve">甲方验收合格后，甲方收取的保证金除用以抵充合同约定由乙方承担的费用外，剩余部分无息归还乙方。 </w:t>
      </w:r>
    </w:p>
    <w:p w14:paraId="1EE9FC1D">
      <w:pPr>
        <w:snapToGrid w:val="0"/>
        <w:spacing w:line="360" w:lineRule="auto"/>
        <w:ind w:firstLine="420" w:firstLineChars="200"/>
        <w:rPr>
          <w:szCs w:val="21"/>
        </w:rPr>
      </w:pPr>
      <w:r>
        <w:rPr>
          <w:rFonts w:hint="eastAsia"/>
          <w:szCs w:val="21"/>
          <w:lang w:val="en-US" w:eastAsia="zh-CN"/>
        </w:rPr>
        <w:t xml:space="preserve">5.6 </w:t>
      </w:r>
      <w:r>
        <w:rPr>
          <w:szCs w:val="21"/>
        </w:rPr>
        <w:t>该物业区域由乙方自行管理并与甲方签订涉及消防、治安、卫生、食品安全、装修管理、商户文明公约等相关物业管理规约并承担相应的费用。</w:t>
      </w:r>
    </w:p>
    <w:p w14:paraId="03759DFC">
      <w:pPr>
        <w:snapToGrid w:val="0"/>
        <w:spacing w:line="360" w:lineRule="auto"/>
        <w:ind w:firstLine="422" w:firstLineChars="200"/>
        <w:jc w:val="center"/>
        <w:rPr>
          <w:b/>
        </w:rPr>
      </w:pPr>
      <w:r>
        <w:rPr>
          <w:rFonts w:hint="eastAsia"/>
          <w:b/>
          <w:lang w:val="en-US" w:eastAsia="zh-CN"/>
        </w:rPr>
        <w:t>六</w:t>
      </w:r>
      <w:r>
        <w:rPr>
          <w:b/>
        </w:rPr>
        <w:t>、交付条件、交接手续</w:t>
      </w:r>
    </w:p>
    <w:p w14:paraId="523A9035">
      <w:pPr>
        <w:shd w:val="clear" w:color="auto" w:fill="FFFFFF"/>
        <w:spacing w:line="360" w:lineRule="auto"/>
        <w:ind w:firstLine="420" w:firstLineChars="200"/>
        <w:jc w:val="left"/>
        <w:rPr>
          <w:bCs/>
        </w:rPr>
      </w:pPr>
      <w:r>
        <w:rPr>
          <w:rFonts w:hint="eastAsia"/>
          <w:bCs/>
          <w:lang w:val="en-US" w:eastAsia="zh-CN"/>
        </w:rPr>
        <w:t>6</w:t>
      </w:r>
      <w:r>
        <w:rPr>
          <w:bCs/>
        </w:rPr>
        <w:t>.1</w:t>
      </w:r>
      <w:r>
        <w:rPr>
          <w:rFonts w:hint="eastAsia"/>
          <w:bCs/>
        </w:rPr>
        <w:t>乙方已实地踏勘租赁物业本体及周边区域，充分知悉物业邻近垃圾站的环境现状，对物业现有装修、附属设施、设备状况及周边环境均无异议，认可物业已满足本合同约定的交付条件。</w:t>
      </w:r>
      <w:r>
        <w:rPr>
          <w:bCs/>
        </w:rPr>
        <w:t>该物业的现有装修及设施情况即为交付状态，由双方在此列</w:t>
      </w:r>
      <w:r>
        <w:rPr>
          <w:rFonts w:hint="eastAsia"/>
          <w:bCs/>
          <w:lang w:val="en-US" w:eastAsia="zh-CN"/>
        </w:rPr>
        <w:t>明</w:t>
      </w:r>
      <w:r>
        <w:rPr>
          <w:bCs/>
        </w:rPr>
        <w:t>：</w:t>
      </w:r>
      <w:r>
        <w:rPr>
          <w:bCs/>
          <w:u w:val="single"/>
        </w:rPr>
        <w:t xml:space="preserve">                                                                     </w:t>
      </w:r>
      <w:r>
        <w:rPr>
          <w:bCs/>
        </w:rPr>
        <w:t>。</w:t>
      </w:r>
    </w:p>
    <w:p w14:paraId="707950FA">
      <w:pPr>
        <w:shd w:val="clear" w:color="auto" w:fill="FFFFFF"/>
        <w:spacing w:line="360" w:lineRule="auto"/>
        <w:ind w:firstLine="420" w:firstLineChars="200"/>
        <w:jc w:val="left"/>
        <w:rPr>
          <w:bCs/>
        </w:rPr>
      </w:pPr>
      <w:r>
        <w:rPr>
          <w:rFonts w:hint="eastAsia" w:ascii="Times New Roman" w:hAnsi="Times New Roman" w:eastAsia="宋体" w:cs="Times New Roman"/>
          <w:bCs/>
          <w:sz w:val="21"/>
          <w:szCs w:val="24"/>
        </w:rPr>
        <w:t>乙方确认自愿按现状承租，后续不得就周边环境事宜向甲方提出减免租金、解除合同、赔偿损失等任何主张。</w:t>
      </w:r>
    </w:p>
    <w:p w14:paraId="3AAC1784">
      <w:pPr>
        <w:snapToGrid w:val="0"/>
        <w:spacing w:line="360" w:lineRule="auto"/>
        <w:ind w:firstLine="420" w:firstLineChars="200"/>
        <w:rPr>
          <w:szCs w:val="21"/>
        </w:rPr>
      </w:pPr>
      <w:r>
        <w:rPr>
          <w:rFonts w:hint="eastAsia"/>
          <w:szCs w:val="21"/>
          <w:highlight w:val="yellow"/>
          <w:lang w:val="en-US" w:eastAsia="zh-CN"/>
        </w:rPr>
        <w:t>6</w:t>
      </w:r>
      <w:r>
        <w:rPr>
          <w:rFonts w:hint="eastAsia"/>
          <w:szCs w:val="21"/>
          <w:highlight w:val="yellow"/>
        </w:rPr>
        <w:t>.2双方约定租赁物业交付日</w:t>
      </w:r>
      <w:r>
        <w:rPr>
          <w:rFonts w:hint="eastAsia"/>
          <w:szCs w:val="21"/>
          <w:highlight w:val="yellow"/>
          <w:lang w:eastAsia="zh-CN"/>
        </w:rPr>
        <w:t>，在</w:t>
      </w:r>
      <w:r>
        <w:rPr>
          <w:rFonts w:hint="eastAsia"/>
          <w:color w:val="000000" w:themeColor="text1"/>
          <w:highlight w:val="yellow"/>
          <w14:textFill>
            <w14:solidFill>
              <w14:schemeClr w14:val="tx1"/>
            </w14:solidFill>
          </w14:textFill>
        </w:rPr>
        <w:t>临时改变房屋用途批准之日明确后确定</w:t>
      </w:r>
      <w:r>
        <w:rPr>
          <w:rFonts w:hint="eastAsia"/>
          <w:szCs w:val="21"/>
          <w:highlight w:val="yellow"/>
        </w:rPr>
        <w:t>。</w:t>
      </w:r>
      <w:r>
        <w:rPr>
          <w:szCs w:val="21"/>
        </w:rPr>
        <w:t>乙方接到甲方通知后，须在七天内办理交接手续，签署一份交接凭据（附件4），交接凭据应当载明交接日期及该物业状况；签署了交接凭据或乙方已实际取得该物业使用权（或取得物业钥匙），则甲乙双方的交付、接收义务已经完成。超过七天未办理手续视同接受，甲方有权要求乙方按正常交付情况下乙方应当支付的费用支付相关费用。超过三十天仍未办理交付手续的，则甲方有权解除本合同，乙方缴纳的履约保证金不予返还，并有权追索因乙方的该等行为所造成的一切损失。</w:t>
      </w:r>
    </w:p>
    <w:p w14:paraId="770EF54C">
      <w:pPr>
        <w:snapToGrid w:val="0"/>
        <w:spacing w:line="360" w:lineRule="auto"/>
        <w:ind w:firstLine="420" w:firstLineChars="200"/>
        <w:rPr>
          <w:szCs w:val="21"/>
          <w:highlight w:val="none"/>
        </w:rPr>
      </w:pPr>
      <w:r>
        <w:rPr>
          <w:rFonts w:hint="eastAsia"/>
          <w:bCs/>
          <w:szCs w:val="21"/>
          <w:lang w:val="en-US" w:eastAsia="zh-CN"/>
        </w:rPr>
        <w:t>6</w:t>
      </w:r>
      <w:r>
        <w:rPr>
          <w:bCs/>
          <w:szCs w:val="21"/>
        </w:rPr>
        <w:t>.3</w:t>
      </w:r>
      <w:r>
        <w:rPr>
          <w:szCs w:val="21"/>
        </w:rPr>
        <w:t>合同期满</w:t>
      </w:r>
      <w:r>
        <w:rPr>
          <w:bCs/>
          <w:szCs w:val="21"/>
        </w:rPr>
        <w:t>或提前解除时</w:t>
      </w:r>
      <w:r>
        <w:rPr>
          <w:szCs w:val="21"/>
        </w:rPr>
        <w:t>，乙方可搬离可移动的设备、装饰品，但拆除设备、装饰品的过程中不得对该租赁物业造成损坏，如造成损坏的，由乙方赔偿。如果该等拆除可能影响该物业安全或正常使用的，</w:t>
      </w:r>
      <w:r>
        <w:rPr>
          <w:bCs/>
          <w:szCs w:val="21"/>
        </w:rPr>
        <w:t>乙方不得拆除，未搬离或拆除的设备、装饰品以及形成附合的</w:t>
      </w:r>
      <w:r>
        <w:rPr>
          <w:szCs w:val="21"/>
        </w:rPr>
        <w:t>装修、改善</w:t>
      </w:r>
      <w:r>
        <w:rPr>
          <w:szCs w:val="21"/>
          <w:highlight w:val="none"/>
        </w:rPr>
        <w:t>或增设，无偿归甲方所有。</w:t>
      </w:r>
    </w:p>
    <w:p w14:paraId="13E5565B">
      <w:pPr>
        <w:snapToGrid w:val="0"/>
        <w:spacing w:line="360" w:lineRule="auto"/>
        <w:ind w:firstLine="420" w:firstLineChars="200"/>
        <w:rPr>
          <w:szCs w:val="21"/>
          <w:highlight w:val="none"/>
        </w:rPr>
      </w:pPr>
      <w:r>
        <w:rPr>
          <w:rFonts w:hint="eastAsia"/>
          <w:szCs w:val="21"/>
          <w:highlight w:val="none"/>
          <w:lang w:val="en-US" w:eastAsia="zh-CN"/>
        </w:rPr>
        <w:t>6</w:t>
      </w:r>
      <w:r>
        <w:rPr>
          <w:szCs w:val="21"/>
          <w:highlight w:val="none"/>
        </w:rPr>
        <w:t>.4合同期满</w:t>
      </w:r>
      <w:r>
        <w:rPr>
          <w:bCs/>
          <w:szCs w:val="21"/>
          <w:highlight w:val="none"/>
        </w:rPr>
        <w:t>或因其他原因而提前解除时</w:t>
      </w:r>
      <w:r>
        <w:rPr>
          <w:szCs w:val="21"/>
          <w:highlight w:val="none"/>
        </w:rPr>
        <w:t>，乙方</w:t>
      </w:r>
      <w:r>
        <w:rPr>
          <w:bCs/>
          <w:szCs w:val="21"/>
          <w:highlight w:val="none"/>
        </w:rPr>
        <w:t>应在</w:t>
      </w:r>
      <w:r>
        <w:rPr>
          <w:bCs/>
          <w:szCs w:val="21"/>
          <w:highlight w:val="none"/>
          <w:u w:val="single"/>
        </w:rPr>
        <w:t xml:space="preserve"> </w:t>
      </w:r>
      <w:r>
        <w:rPr>
          <w:rFonts w:hint="eastAsia"/>
          <w:bCs/>
          <w:szCs w:val="21"/>
          <w:highlight w:val="none"/>
          <w:u w:val="single"/>
          <w:lang w:val="en-US" w:eastAsia="zh-CN"/>
        </w:rPr>
        <w:t>20</w:t>
      </w:r>
      <w:r>
        <w:rPr>
          <w:bCs/>
          <w:szCs w:val="21"/>
          <w:highlight w:val="none"/>
          <w:u w:val="single"/>
        </w:rPr>
        <w:t xml:space="preserve"> </w:t>
      </w:r>
      <w:r>
        <w:rPr>
          <w:szCs w:val="21"/>
          <w:highlight w:val="none"/>
        </w:rPr>
        <w:t>天内清理相关物品，</w:t>
      </w:r>
      <w:r>
        <w:rPr>
          <w:bCs/>
          <w:szCs w:val="21"/>
          <w:highlight w:val="none"/>
        </w:rPr>
        <w:t>办理相应交接手续，结清费用，交还</w:t>
      </w:r>
      <w:r>
        <w:rPr>
          <w:szCs w:val="21"/>
          <w:highlight w:val="none"/>
        </w:rPr>
        <w:t>进入租赁物业的所有钥匙</w:t>
      </w:r>
      <w:r>
        <w:rPr>
          <w:rFonts w:hint="eastAsia"/>
          <w:szCs w:val="21"/>
          <w:highlight w:val="none"/>
          <w:lang w:eastAsia="zh-CN"/>
        </w:rPr>
        <w:t>，</w:t>
      </w:r>
      <w:r>
        <w:rPr>
          <w:szCs w:val="21"/>
          <w:highlight w:val="none"/>
        </w:rPr>
        <w:t>保持该租赁物业及其内部的设施设备处于正常可使用的状态（合理损耗除外，但须经甲方验收认可）</w:t>
      </w:r>
      <w:r>
        <w:rPr>
          <w:bCs/>
          <w:szCs w:val="21"/>
          <w:highlight w:val="none"/>
        </w:rPr>
        <w:t>。如甲方要求恢复交付时原样的，</w:t>
      </w:r>
      <w:r>
        <w:rPr>
          <w:rFonts w:hint="eastAsia"/>
          <w:bCs/>
          <w:szCs w:val="21"/>
          <w:highlight w:val="none"/>
        </w:rPr>
        <w:t>乙方应在甲方书面通知后</w:t>
      </w:r>
      <w:r>
        <w:rPr>
          <w:bCs/>
          <w:szCs w:val="21"/>
          <w:highlight w:val="none"/>
          <w:u w:val="single"/>
        </w:rPr>
        <w:t xml:space="preserve"> </w:t>
      </w:r>
      <w:r>
        <w:rPr>
          <w:rFonts w:hint="eastAsia"/>
          <w:bCs/>
          <w:szCs w:val="21"/>
          <w:highlight w:val="none"/>
          <w:u w:val="single"/>
          <w:lang w:val="en-US" w:eastAsia="zh-CN"/>
        </w:rPr>
        <w:t>20</w:t>
      </w:r>
      <w:r>
        <w:rPr>
          <w:bCs/>
          <w:szCs w:val="21"/>
          <w:highlight w:val="none"/>
          <w:u w:val="single"/>
        </w:rPr>
        <w:t xml:space="preserve"> </w:t>
      </w:r>
      <w:r>
        <w:rPr>
          <w:rFonts w:hint="eastAsia"/>
          <w:bCs/>
          <w:szCs w:val="21"/>
          <w:highlight w:val="none"/>
          <w:u w:val="single"/>
          <w:lang w:val="en-US" w:eastAsia="zh-CN"/>
        </w:rPr>
        <w:t>天</w:t>
      </w:r>
      <w:r>
        <w:rPr>
          <w:rFonts w:hint="eastAsia"/>
          <w:bCs/>
          <w:szCs w:val="21"/>
          <w:highlight w:val="none"/>
        </w:rPr>
        <w:t>内完成恢复</w:t>
      </w:r>
      <w:r>
        <w:rPr>
          <w:bCs/>
          <w:szCs w:val="21"/>
          <w:highlight w:val="none"/>
        </w:rPr>
        <w:t>。乙方未在</w:t>
      </w:r>
      <w:r>
        <w:rPr>
          <w:bCs/>
          <w:szCs w:val="21"/>
          <w:highlight w:val="none"/>
          <w:u w:val="single"/>
        </w:rPr>
        <w:t xml:space="preserve"> </w:t>
      </w:r>
      <w:r>
        <w:rPr>
          <w:rFonts w:hint="eastAsia"/>
          <w:bCs/>
          <w:szCs w:val="21"/>
          <w:highlight w:val="none"/>
          <w:u w:val="single"/>
          <w:lang w:val="en-US" w:eastAsia="zh-CN"/>
        </w:rPr>
        <w:t>20</w:t>
      </w:r>
      <w:r>
        <w:rPr>
          <w:bCs/>
          <w:szCs w:val="21"/>
          <w:highlight w:val="none"/>
          <w:u w:val="single"/>
        </w:rPr>
        <w:t xml:space="preserve"> </w:t>
      </w:r>
      <w:r>
        <w:rPr>
          <w:bCs/>
          <w:szCs w:val="21"/>
          <w:highlight w:val="none"/>
        </w:rPr>
        <w:t>天内清理的相关物品，</w:t>
      </w:r>
      <w:r>
        <w:rPr>
          <w:szCs w:val="21"/>
          <w:highlight w:val="none"/>
        </w:rPr>
        <w:t>视为乙方弃物，甲方有权自行或聘请他人将乙方财物搬出或处置，由此产生的费用由乙方承担，甲方不承担任何补偿或赔偿责任。</w:t>
      </w:r>
    </w:p>
    <w:p w14:paraId="602E8A58">
      <w:pPr>
        <w:snapToGrid w:val="0"/>
        <w:spacing w:line="360" w:lineRule="auto"/>
        <w:ind w:firstLine="420" w:firstLineChars="200"/>
        <w:rPr>
          <w:szCs w:val="21"/>
          <w:highlight w:val="none"/>
        </w:rPr>
      </w:pPr>
      <w:r>
        <w:rPr>
          <w:rFonts w:hint="eastAsia"/>
          <w:szCs w:val="21"/>
          <w:highlight w:val="none"/>
          <w:lang w:val="en-US" w:eastAsia="zh-CN"/>
        </w:rPr>
        <w:t>6</w:t>
      </w:r>
      <w:r>
        <w:rPr>
          <w:szCs w:val="21"/>
          <w:highlight w:val="none"/>
        </w:rPr>
        <w:t>.5乙方应在租赁合同终止或解除之日起，</w:t>
      </w:r>
      <w:r>
        <w:rPr>
          <w:szCs w:val="21"/>
          <w:highlight w:val="none"/>
          <w:u w:val="single"/>
        </w:rPr>
        <w:t xml:space="preserve">  </w:t>
      </w:r>
      <w:r>
        <w:rPr>
          <w:rFonts w:hint="eastAsia"/>
          <w:szCs w:val="21"/>
          <w:highlight w:val="none"/>
          <w:u w:val="single"/>
          <w:lang w:val="en-US" w:eastAsia="zh-CN"/>
        </w:rPr>
        <w:t>15</w:t>
      </w:r>
      <w:r>
        <w:rPr>
          <w:szCs w:val="21"/>
          <w:highlight w:val="none"/>
          <w:u w:val="single"/>
        </w:rPr>
        <w:t xml:space="preserve">  </w:t>
      </w:r>
      <w:r>
        <w:rPr>
          <w:szCs w:val="21"/>
          <w:highlight w:val="none"/>
        </w:rPr>
        <w:t>天内负责将以该租赁物业为住所或经营地址的全部法人、非法人机构的住所或经营地址进行变更，确保上述法人、非法人机构的注册地址迁出该租赁物业。</w:t>
      </w:r>
    </w:p>
    <w:p w14:paraId="747E2F07">
      <w:pPr>
        <w:snapToGrid w:val="0"/>
        <w:spacing w:line="360" w:lineRule="auto"/>
        <w:ind w:firstLine="420" w:firstLineChars="200"/>
        <w:rPr>
          <w:szCs w:val="21"/>
        </w:rPr>
      </w:pPr>
      <w:r>
        <w:rPr>
          <w:rFonts w:hint="eastAsia"/>
          <w:szCs w:val="21"/>
          <w:lang w:val="en-US" w:eastAsia="zh-CN"/>
        </w:rPr>
        <w:t>6</w:t>
      </w:r>
      <w:r>
        <w:rPr>
          <w:szCs w:val="21"/>
        </w:rPr>
        <w:t>.6 在符合本合同规定的情形下，甲乙双方应当签署一份交还凭据（附件5）。</w:t>
      </w:r>
    </w:p>
    <w:p w14:paraId="3760E4AB">
      <w:pPr>
        <w:snapToGrid w:val="0"/>
        <w:spacing w:line="360" w:lineRule="auto"/>
        <w:ind w:firstLine="420" w:firstLineChars="200"/>
        <w:rPr>
          <w:b/>
          <w:bCs/>
          <w:color w:val="000000" w:themeColor="text1"/>
          <w:szCs w:val="21"/>
          <w:highlight w:val="none"/>
          <w14:textFill>
            <w14:solidFill>
              <w14:schemeClr w14:val="tx1"/>
            </w14:solidFill>
          </w14:textFill>
        </w:rPr>
      </w:pPr>
      <w:r>
        <w:rPr>
          <w:rFonts w:hint="eastAsia"/>
          <w:color w:val="000000" w:themeColor="text1"/>
          <w:szCs w:val="21"/>
          <w:highlight w:val="yellow"/>
          <w:lang w:val="en-US" w:eastAsia="zh-CN"/>
          <w14:textFill>
            <w14:solidFill>
              <w14:schemeClr w14:val="tx1"/>
            </w14:solidFill>
          </w14:textFill>
        </w:rPr>
        <w:t>6</w:t>
      </w:r>
      <w:r>
        <w:rPr>
          <w:color w:val="000000" w:themeColor="text1"/>
          <w:szCs w:val="21"/>
          <w:highlight w:val="yellow"/>
          <w14:textFill>
            <w14:solidFill>
              <w14:schemeClr w14:val="tx1"/>
            </w14:solidFill>
          </w14:textFill>
        </w:rPr>
        <w:t xml:space="preserve">.7 </w:t>
      </w:r>
      <w:r>
        <w:rPr>
          <w:rFonts w:hint="eastAsia"/>
          <w:color w:val="000000" w:themeColor="text1"/>
          <w:szCs w:val="21"/>
          <w:highlight w:val="yellow"/>
          <w14:textFill>
            <w14:solidFill>
              <w14:schemeClr w14:val="tx1"/>
            </w14:solidFill>
          </w14:textFill>
        </w:rPr>
        <w:t>在该房屋符合经营商用业态的前提下，</w:t>
      </w:r>
      <w:r>
        <w:rPr>
          <w:rFonts w:hint="eastAsia"/>
          <w:color w:val="000000" w:themeColor="text1"/>
          <w:szCs w:val="21"/>
          <w:highlight w:val="yellow"/>
          <w:lang w:val="en-US" w:eastAsia="zh-CN"/>
          <w14:textFill>
            <w14:solidFill>
              <w14:schemeClr w14:val="tx1"/>
            </w14:solidFill>
          </w14:textFill>
        </w:rPr>
        <w:t>乙方</w:t>
      </w:r>
      <w:r>
        <w:rPr>
          <w:rFonts w:hint="eastAsia"/>
          <w:color w:val="000000" w:themeColor="text1"/>
          <w:szCs w:val="21"/>
          <w:highlight w:val="yellow"/>
          <w14:textFill>
            <w14:solidFill>
              <w14:schemeClr w14:val="tx1"/>
            </w14:solidFill>
          </w14:textFill>
        </w:rPr>
        <w:t>需自行承担前述改造、装修、增扩设备及各项审批的全部责任与费用，并需要根据</w:t>
      </w:r>
      <w:r>
        <w:rPr>
          <w:rFonts w:hint="eastAsia"/>
          <w:color w:val="000000" w:themeColor="text1"/>
          <w:szCs w:val="21"/>
          <w:highlight w:val="yellow"/>
          <w:lang w:val="en-US" w:eastAsia="zh-CN"/>
          <w14:textFill>
            <w14:solidFill>
              <w14:schemeClr w14:val="tx1"/>
            </w14:solidFill>
          </w14:textFill>
        </w:rPr>
        <w:t>甲方</w:t>
      </w:r>
      <w:r>
        <w:rPr>
          <w:rFonts w:hint="eastAsia"/>
          <w:color w:val="000000" w:themeColor="text1"/>
          <w:szCs w:val="21"/>
          <w:highlight w:val="yellow"/>
          <w14:textFill>
            <w14:solidFill>
              <w14:schemeClr w14:val="tx1"/>
            </w14:solidFill>
          </w14:textFill>
        </w:rPr>
        <w:t>要求于1个月内配合提供临时改变房屋用途相关报告（不限于具有相应资质的设计单位设计的建筑改造、装修的设计图，既有建筑改造消防技术可行性研究报告等相关文件）。</w:t>
      </w:r>
      <w:r>
        <w:rPr>
          <w:rFonts w:hint="eastAsia"/>
          <w:b/>
          <w:bCs/>
          <w:color w:val="000000" w:themeColor="text1"/>
          <w:szCs w:val="21"/>
          <w:highlight w:val="none"/>
          <w14:textFill>
            <w14:solidFill>
              <w14:schemeClr w14:val="tx1"/>
            </w14:solidFill>
          </w14:textFill>
        </w:rPr>
        <w:t>逾期提供的，每逾期一日应向甲方支付【】元违约金；逾期超过【】日的，甲方有权解除合同并没收履约保证金。</w:t>
      </w:r>
    </w:p>
    <w:p w14:paraId="17D7D23C">
      <w:pPr>
        <w:snapToGrid w:val="0"/>
        <w:spacing w:line="360" w:lineRule="auto"/>
        <w:ind w:firstLine="420" w:firstLineChars="200"/>
        <w:rPr>
          <w:rFonts w:hint="eastAsia"/>
          <w:color w:val="000000" w:themeColor="text1"/>
          <w:szCs w:val="21"/>
          <w:highlight w:val="yellow"/>
          <w14:textFill>
            <w14:solidFill>
              <w14:schemeClr w14:val="tx1"/>
            </w14:solidFill>
          </w14:textFill>
        </w:rPr>
      </w:pPr>
      <w:r>
        <w:rPr>
          <w:rFonts w:hint="eastAsia"/>
          <w:color w:val="000000" w:themeColor="text1"/>
          <w:szCs w:val="21"/>
          <w:highlight w:val="yellow"/>
          <w:lang w:val="en-US" w:eastAsia="zh-CN"/>
          <w14:textFill>
            <w14:solidFill>
              <w14:schemeClr w14:val="tx1"/>
            </w14:solidFill>
          </w14:textFill>
        </w:rPr>
        <w:t>6</w:t>
      </w:r>
      <w:r>
        <w:rPr>
          <w:color w:val="000000" w:themeColor="text1"/>
          <w:szCs w:val="21"/>
          <w:highlight w:val="yellow"/>
          <w14:textFill>
            <w14:solidFill>
              <w14:schemeClr w14:val="tx1"/>
            </w14:solidFill>
          </w14:textFill>
        </w:rPr>
        <w:t xml:space="preserve">.8 </w:t>
      </w:r>
      <w:r>
        <w:rPr>
          <w:rFonts w:hint="eastAsia"/>
          <w:color w:val="000000" w:themeColor="text1"/>
          <w:szCs w:val="21"/>
          <w:highlight w:val="yellow"/>
          <w14:textFill>
            <w14:solidFill>
              <w14:schemeClr w14:val="tx1"/>
            </w14:solidFill>
          </w14:textFill>
        </w:rPr>
        <w:t>本租赁标的为带现有租约现状整体出租，物业部分区域由第三方承租商户实际使用（当前涉及 4 处房屋，合计面积约 150 平方米），全部承租商户基础信息详见本合同附件九《戒坛寺巷21号在租租户清单》。承租商户情况可能发生动态变化，最终以房屋实际交付当日现场现状为准。</w:t>
      </w:r>
    </w:p>
    <w:p w14:paraId="5614EFBF">
      <w:pPr>
        <w:snapToGrid w:val="0"/>
        <w:spacing w:line="360" w:lineRule="auto"/>
        <w:ind w:firstLine="420" w:firstLineChars="200"/>
        <w:rPr>
          <w:rFonts w:hint="eastAsia"/>
          <w:color w:val="000000" w:themeColor="text1"/>
          <w:szCs w:val="21"/>
          <w:highlight w:val="yellow"/>
          <w14:textFill>
            <w14:solidFill>
              <w14:schemeClr w14:val="tx1"/>
            </w14:solidFill>
          </w14:textFill>
        </w:rPr>
      </w:pPr>
      <w:r>
        <w:rPr>
          <w:rFonts w:hint="eastAsia"/>
          <w:color w:val="000000" w:themeColor="text1"/>
          <w:szCs w:val="21"/>
          <w:highlight w:val="yellow"/>
          <w14:textFill>
            <w14:solidFill>
              <w14:schemeClr w14:val="tx1"/>
            </w14:solidFill>
          </w14:textFill>
        </w:rPr>
        <w:t>乙方确认已完成现场踏勘与尽职调查，自行对各商户租赁情况进行了必要核实，充分知悉标的带租约出租的全部现状与风险，自愿按现状承租，不得以存在既有租约、商户不配合办理手续、无法清场等任何理由拒付租金、申请减免租金或单方解除本合同。</w:t>
      </w:r>
    </w:p>
    <w:p w14:paraId="01A4B815">
      <w:pPr>
        <w:snapToGrid w:val="0"/>
        <w:spacing w:line="360" w:lineRule="auto"/>
        <w:ind w:firstLine="420" w:firstLineChars="200"/>
        <w:rPr>
          <w:rFonts w:hint="eastAsia"/>
          <w:color w:val="000000" w:themeColor="text1"/>
          <w:szCs w:val="21"/>
          <w:highlight w:val="yellow"/>
          <w14:textFill>
            <w14:solidFill>
              <w14:schemeClr w14:val="tx1"/>
            </w14:solidFill>
          </w14:textFill>
        </w:rPr>
      </w:pPr>
      <w:r>
        <w:rPr>
          <w:rFonts w:hint="eastAsia"/>
          <w:color w:val="000000" w:themeColor="text1"/>
          <w:szCs w:val="21"/>
          <w:highlight w:val="yellow"/>
          <w14:textFill>
            <w14:solidFill>
              <w14:schemeClr w14:val="tx1"/>
            </w14:solidFill>
          </w14:textFill>
        </w:rPr>
        <w:t>自物业实际交付日起，乙方承接全部商户原租赁关系项下出租方权利义务。甲方协助乙方与各商户签署出租主体变更三方协议，协议仅变更出租主体为乙方，原租赁合同其余条款保持不变继续履行；乙方知晓三方协议签署需以商户自愿同意为前提，甲方不保证全部商户均完成签署，未签署三方协议的商户由乙方自行承接协调，相关风险由乙方自行承担。</w:t>
      </w:r>
    </w:p>
    <w:p w14:paraId="54FF562A">
      <w:pPr>
        <w:snapToGrid w:val="0"/>
        <w:spacing w:line="360" w:lineRule="auto"/>
        <w:ind w:firstLine="420" w:firstLineChars="200"/>
        <w:rPr>
          <w:rFonts w:hint="eastAsia"/>
          <w:color w:val="000000" w:themeColor="text1"/>
          <w:szCs w:val="21"/>
          <w:highlight w:val="yellow"/>
          <w:lang w:eastAsia="zh-CN"/>
          <w14:textFill>
            <w14:solidFill>
              <w14:schemeClr w14:val="tx1"/>
            </w14:solidFill>
          </w14:textFill>
        </w:rPr>
      </w:pPr>
      <w:r>
        <w:rPr>
          <w:rFonts w:hint="eastAsia"/>
          <w:color w:val="000000" w:themeColor="text1"/>
          <w:szCs w:val="21"/>
          <w:highlight w:val="yellow"/>
          <w14:textFill>
            <w14:solidFill>
              <w14:schemeClr w14:val="tx1"/>
            </w14:solidFill>
          </w14:textFill>
        </w:rPr>
        <w:t>自物业实际交付日起，各承租商户产生的租金归乙方所有，由乙方负责收取；商户相关的安全维稳、消防整改、合规经营及租赁纠纷处置等全部责任，同步由乙方承担。</w:t>
      </w:r>
    </w:p>
    <w:p w14:paraId="27DF1050">
      <w:pPr>
        <w:snapToGrid w:val="0"/>
        <w:spacing w:line="360" w:lineRule="auto"/>
        <w:ind w:firstLine="422" w:firstLineChars="200"/>
        <w:jc w:val="center"/>
        <w:rPr>
          <w:b/>
          <w:szCs w:val="21"/>
        </w:rPr>
      </w:pPr>
      <w:r>
        <w:rPr>
          <w:rFonts w:hint="eastAsia"/>
          <w:b/>
          <w:szCs w:val="21"/>
          <w:lang w:val="en-US" w:eastAsia="zh-CN"/>
        </w:rPr>
        <w:t>七</w:t>
      </w:r>
      <w:r>
        <w:rPr>
          <w:b/>
          <w:szCs w:val="21"/>
        </w:rPr>
        <w:t>、装修及租赁物业的管理</w:t>
      </w:r>
    </w:p>
    <w:p w14:paraId="33818EC7">
      <w:pPr>
        <w:snapToGrid w:val="0"/>
        <w:spacing w:line="360" w:lineRule="auto"/>
        <w:ind w:firstLine="420" w:firstLineChars="200"/>
      </w:pPr>
      <w:r>
        <w:rPr>
          <w:rFonts w:hint="eastAsia"/>
          <w:lang w:val="en-US" w:eastAsia="zh-CN"/>
        </w:rPr>
        <w:t>7</w:t>
      </w:r>
      <w:r>
        <w:t>.1甲方□同意 □不同意乙方对租赁物业内部进行必要的装修。甲方同意装修的，乙方装修不得损害租赁物业的原有结构及安全，乙方的装修方案及施工图纸应</w:t>
      </w:r>
      <w:r>
        <w:rPr>
          <w:bCs/>
        </w:rPr>
        <w:t>符合有关法律法规、规章制度的规定，并且</w:t>
      </w:r>
      <w:r>
        <w:t>应事先报送甲方及物业服务公司，经甲方及物业服务公司书面同意后方可实施。乙方应确保选购的装修材料、设备符合国家相关标准。</w:t>
      </w:r>
    </w:p>
    <w:p w14:paraId="0C4F273C">
      <w:pPr>
        <w:snapToGrid w:val="0"/>
        <w:spacing w:line="360" w:lineRule="auto"/>
        <w:ind w:firstLine="420" w:firstLineChars="200"/>
      </w:pPr>
      <w:r>
        <w:t>乙方若确需变动或改造该租赁物业的建筑结构，除事先取得甲方以及物业服务公司的书面批准外，还应当提供相关有资质的单位出具的同意变动</w:t>
      </w:r>
      <w:r>
        <w:rPr>
          <w:rFonts w:hint="eastAsia"/>
          <w:lang w:eastAsia="zh-CN"/>
        </w:rPr>
        <w:t>且</w:t>
      </w:r>
      <w:r>
        <w:t>变动不影响结构安全的证明文件以及相关政府部门的同意</w:t>
      </w:r>
      <w:r>
        <w:rPr>
          <w:rFonts w:hint="eastAsia"/>
          <w:lang w:eastAsia="zh-CN"/>
        </w:rPr>
        <w:t>文件。</w:t>
      </w:r>
    </w:p>
    <w:p w14:paraId="53A0F273">
      <w:pPr>
        <w:snapToGrid w:val="0"/>
        <w:spacing w:line="360" w:lineRule="auto"/>
        <w:ind w:firstLine="420" w:firstLineChars="200"/>
      </w:pPr>
      <w:r>
        <w:t>甲方对上述方案的认可不视为减轻或免除乙方责任，因装修（包括变动、改造）而引起的一切责任均由乙方承担。</w:t>
      </w:r>
    </w:p>
    <w:p w14:paraId="608214D2">
      <w:pPr>
        <w:snapToGrid w:val="0"/>
        <w:spacing w:line="360" w:lineRule="auto"/>
        <w:ind w:firstLine="420" w:firstLineChars="200"/>
      </w:pPr>
      <w:r>
        <w:rPr>
          <w:bCs/>
        </w:rPr>
        <w:t>甲方或物业管理公司授权人员有权在装修期间随时进入该物业检查乙方的装修工程是否符合国家有关法规、本合同及物业服务公司的规章制度的规定。</w:t>
      </w:r>
    </w:p>
    <w:p w14:paraId="77630162">
      <w:pPr>
        <w:snapToGrid w:val="0"/>
        <w:spacing w:line="360" w:lineRule="auto"/>
        <w:ind w:firstLine="420" w:firstLineChars="200"/>
        <w:rPr>
          <w:rFonts w:hint="eastAsia" w:eastAsia="宋体"/>
          <w:highlight w:val="yellow"/>
          <w:lang w:val="en-US" w:eastAsia="zh-CN"/>
        </w:rPr>
      </w:pPr>
      <w:r>
        <w:rPr>
          <w:rFonts w:hint="eastAsia"/>
          <w:highlight w:val="yellow"/>
          <w:lang w:val="en-US" w:eastAsia="zh-CN"/>
        </w:rPr>
        <w:t>7</w:t>
      </w:r>
      <w:r>
        <w:rPr>
          <w:highlight w:val="yellow"/>
        </w:rPr>
        <w:t>.2</w:t>
      </w:r>
      <w:r>
        <w:rPr>
          <w:rFonts w:hint="eastAsia"/>
          <w:highlight w:val="yellow"/>
          <w:lang w:val="en-US" w:eastAsia="zh-CN"/>
        </w:rPr>
        <w:t xml:space="preserve"> </w:t>
      </w:r>
      <w:r>
        <w:rPr>
          <w:szCs w:val="21"/>
          <w:highlight w:val="yellow"/>
        </w:rPr>
        <w:t>乙方应</w:t>
      </w:r>
      <w:r>
        <w:rPr>
          <w:rFonts w:hint="eastAsia"/>
          <w:szCs w:val="21"/>
          <w:highlight w:val="yellow"/>
        </w:rPr>
        <w:t>向甲方</w:t>
      </w:r>
      <w:r>
        <w:rPr>
          <w:szCs w:val="21"/>
          <w:highlight w:val="yellow"/>
        </w:rPr>
        <w:t>支付</w:t>
      </w:r>
      <w:r>
        <w:rPr>
          <w:rFonts w:hint="eastAsia"/>
          <w:szCs w:val="21"/>
          <w:highlight w:val="yellow"/>
          <w:lang w:val="en-US" w:eastAsia="zh-CN"/>
        </w:rPr>
        <w:t>装修保证金</w:t>
      </w:r>
      <w:r>
        <w:rPr>
          <w:szCs w:val="21"/>
          <w:highlight w:val="yellow"/>
        </w:rPr>
        <w:t>人民币</w:t>
      </w:r>
      <w:r>
        <w:rPr>
          <w:szCs w:val="21"/>
          <w:highlight w:val="yellow"/>
          <w:u w:val="single"/>
        </w:rPr>
        <w:t xml:space="preserve">    </w:t>
      </w:r>
      <w:r>
        <w:rPr>
          <w:szCs w:val="21"/>
          <w:highlight w:val="yellow"/>
        </w:rPr>
        <w:t>万元（保证金标准</w:t>
      </w:r>
      <w:r>
        <w:rPr>
          <w:rFonts w:hint="eastAsia"/>
          <w:szCs w:val="21"/>
          <w:highlight w:val="yellow"/>
          <w:lang w:val="en-US" w:eastAsia="zh-CN"/>
        </w:rPr>
        <w:t>为</w:t>
      </w:r>
      <w:r>
        <w:rPr>
          <w:szCs w:val="21"/>
          <w:highlight w:val="yellow"/>
        </w:rPr>
        <w:t>：以首年租金标准计算的</w:t>
      </w:r>
      <w:r>
        <w:rPr>
          <w:szCs w:val="21"/>
          <w:highlight w:val="yellow"/>
          <w:u w:val="single"/>
        </w:rPr>
        <w:t xml:space="preserve">    </w:t>
      </w:r>
      <w:r>
        <w:rPr>
          <w:rFonts w:hint="eastAsia"/>
          <w:szCs w:val="21"/>
          <w:highlight w:val="yellow"/>
          <w:u w:val="single"/>
          <w:lang w:eastAsia="zh-CN"/>
        </w:rPr>
        <w:t>【</w:t>
      </w:r>
      <w:r>
        <w:rPr>
          <w:rFonts w:hint="eastAsia"/>
          <w:szCs w:val="21"/>
          <w:highlight w:val="yellow"/>
          <w:u w:val="single"/>
          <w:lang w:val="en-US" w:eastAsia="zh-CN"/>
        </w:rPr>
        <w:t>1</w:t>
      </w:r>
      <w:r>
        <w:rPr>
          <w:rFonts w:hint="eastAsia"/>
          <w:szCs w:val="21"/>
          <w:highlight w:val="yellow"/>
          <w:u w:val="single"/>
          <w:lang w:eastAsia="zh-CN"/>
        </w:rPr>
        <w:t>】</w:t>
      </w:r>
      <w:r>
        <w:rPr>
          <w:szCs w:val="21"/>
          <w:highlight w:val="yellow"/>
        </w:rPr>
        <w:t>个月租金）。</w:t>
      </w:r>
      <w:r>
        <w:rPr>
          <w:rFonts w:hint="eastAsia"/>
          <w:highlight w:val="yellow"/>
        </w:rPr>
        <w:t>装修保证金将于装修工程竣工且经</w:t>
      </w:r>
      <w:r>
        <w:rPr>
          <w:rFonts w:hint="eastAsia"/>
          <w:highlight w:val="yellow"/>
          <w:lang w:val="en-US" w:eastAsia="zh-CN"/>
        </w:rPr>
        <w:t>甲方</w:t>
      </w:r>
      <w:r>
        <w:rPr>
          <w:rFonts w:hint="eastAsia"/>
          <w:highlight w:val="yellow"/>
        </w:rPr>
        <w:t>验收合格后，按原缴费渠道全额无息退还。</w:t>
      </w:r>
    </w:p>
    <w:p w14:paraId="79659D78">
      <w:pPr>
        <w:snapToGrid w:val="0"/>
        <w:spacing w:line="360" w:lineRule="auto"/>
        <w:ind w:firstLine="420" w:firstLineChars="200"/>
      </w:pPr>
      <w:r>
        <w:rPr>
          <w:rFonts w:hint="eastAsia"/>
          <w:lang w:val="en-US" w:eastAsia="zh-CN"/>
        </w:rPr>
        <w:t xml:space="preserve">7.3 </w:t>
      </w:r>
      <w:r>
        <w:t>租赁期间，甲方应对该租赁物业的主体结构质量负责</w:t>
      </w:r>
      <w:r>
        <w:rPr>
          <w:rFonts w:hint="eastAsia"/>
          <w:lang w:eastAsia="zh-CN"/>
        </w:rPr>
        <w:t>，</w:t>
      </w:r>
      <w:r>
        <w:t xml:space="preserve">如主体结构出现质量问题影响该物业或相邻建筑物安全或使用的，由甲方负责维修并承担责任，但乙方不得以此拒付租金。 </w:t>
      </w:r>
    </w:p>
    <w:p w14:paraId="4A56F4FC">
      <w:pPr>
        <w:snapToGrid w:val="0"/>
        <w:spacing w:line="360" w:lineRule="auto"/>
        <w:ind w:firstLine="420" w:firstLineChars="200"/>
      </w:pPr>
      <w:r>
        <w:rPr>
          <w:rFonts w:hint="eastAsia"/>
          <w:lang w:val="en-US" w:eastAsia="zh-CN"/>
        </w:rPr>
        <w:t>7</w:t>
      </w:r>
      <w:r>
        <w:t>.</w:t>
      </w:r>
      <w:r>
        <w:rPr>
          <w:rFonts w:hint="eastAsia"/>
          <w:lang w:val="en-US" w:eastAsia="zh-CN"/>
        </w:rPr>
        <w:t xml:space="preserve">4 </w:t>
      </w:r>
      <w:r>
        <w:t xml:space="preserve">租赁期间，除主体结构外的部位及设施、设备、管线等，由乙方负责维修、保养并承担相关费用。 </w:t>
      </w:r>
    </w:p>
    <w:p w14:paraId="05015313">
      <w:pPr>
        <w:snapToGrid w:val="0"/>
        <w:spacing w:line="360" w:lineRule="auto"/>
        <w:ind w:firstLine="420" w:firstLineChars="200"/>
        <w:rPr>
          <w:bCs/>
        </w:rPr>
      </w:pPr>
      <w:r>
        <w:rPr>
          <w:rFonts w:hint="eastAsia"/>
          <w:bCs/>
          <w:lang w:val="en-US" w:eastAsia="zh-CN"/>
        </w:rPr>
        <w:t>7.5</w:t>
      </w:r>
      <w:r>
        <w:rPr>
          <w:bCs/>
        </w:rPr>
        <w:t xml:space="preserve"> 乙方负责该物业的综合治理、消防安全、内部保安、内部保洁等工作，如在该物业内发生火灾、治安事件或其他事件，造成甲方或第三方</w:t>
      </w:r>
      <w:r>
        <w:rPr>
          <w:rFonts w:hint="eastAsia"/>
          <w:bCs/>
          <w:lang w:eastAsia="zh-CN"/>
        </w:rPr>
        <w:t>损害</w:t>
      </w:r>
      <w:r>
        <w:rPr>
          <w:bCs/>
        </w:rPr>
        <w:t>的，由乙方承担全部赔偿责任。</w:t>
      </w:r>
    </w:p>
    <w:p w14:paraId="1EDCA61E">
      <w:pPr>
        <w:snapToGrid w:val="0"/>
        <w:spacing w:line="360" w:lineRule="auto"/>
        <w:ind w:firstLine="420" w:firstLineChars="200"/>
        <w:rPr>
          <w:bCs/>
        </w:rPr>
      </w:pPr>
      <w:r>
        <w:rPr>
          <w:rFonts w:hint="eastAsia"/>
          <w:bCs/>
          <w:lang w:val="en-US" w:eastAsia="zh-CN"/>
        </w:rPr>
        <w:t xml:space="preserve">7.6 </w:t>
      </w:r>
      <w:r>
        <w:t xml:space="preserve">在本合同约定的租赁期限内，乙方应就其自有财产及其它应投保项目投保全面综合责任保险，以及投保乙方及其职工和甲方职工在该物业中进行办公、管理或维护、使用或占用场地时的一切财产责任的保险，有关保险费用由乙方承担。如乙方未投保的，则由此而引起的损失由乙方承担。  </w:t>
      </w:r>
    </w:p>
    <w:p w14:paraId="7D3BCA62">
      <w:pPr>
        <w:snapToGrid w:val="0"/>
        <w:spacing w:line="360" w:lineRule="auto"/>
        <w:ind w:firstLine="422" w:firstLineChars="200"/>
        <w:jc w:val="center"/>
        <w:rPr>
          <w:b/>
          <w:bCs/>
        </w:rPr>
      </w:pPr>
      <w:r>
        <w:rPr>
          <w:rFonts w:hint="eastAsia"/>
          <w:b/>
          <w:bCs/>
          <w:lang w:val="en-US" w:eastAsia="zh-CN"/>
        </w:rPr>
        <w:t>八</w:t>
      </w:r>
      <w:r>
        <w:rPr>
          <w:b/>
          <w:bCs/>
        </w:rPr>
        <w:t>、转让、转租、抵押</w:t>
      </w:r>
    </w:p>
    <w:p w14:paraId="79D0109A">
      <w:pPr>
        <w:snapToGrid w:val="0"/>
        <w:spacing w:line="360" w:lineRule="auto"/>
        <w:ind w:firstLine="420" w:firstLineChars="200"/>
        <w:rPr>
          <w:bCs/>
        </w:rPr>
      </w:pPr>
      <w:r>
        <w:rPr>
          <w:rFonts w:hint="eastAsia"/>
          <w:lang w:val="en-US" w:eastAsia="zh-CN"/>
        </w:rPr>
        <w:t xml:space="preserve">8.1 </w:t>
      </w:r>
      <w:r>
        <w:rPr>
          <w:bCs/>
        </w:rPr>
        <w:t>未经甲方书面同意，乙方不得单方面改变经营业态，</w:t>
      </w:r>
      <w:r>
        <w:rPr>
          <w:rFonts w:hint="eastAsia"/>
          <w:bCs/>
        </w:rPr>
        <w:t>其中租赁物业主楼区域不得进行任何形式的转让、转包、分租、转租（未经甲方书面认可的联营、合伙、合股等均视为擅自转租行为），也不得以互换、借用等形式允许任何第三方使用</w:t>
      </w:r>
      <w:r>
        <w:rPr>
          <w:rFonts w:hint="eastAsia"/>
          <w:bCs/>
          <w:lang w:eastAsia="zh-CN"/>
        </w:rPr>
        <w:t>，</w:t>
      </w:r>
      <w:r>
        <w:rPr>
          <w:rFonts w:hint="eastAsia"/>
          <w:bCs/>
        </w:rPr>
        <w:t>仅可交由其全资控股子公司用于本项目经营。将房屋交由全资控股子公司使用的，承租方应提前向我方书面告知，且承租方仍须承担本项目租赁有关全部责任，保证房屋由承租方自身主体或其全资控股子公司直接经营。现有商铺区域如需转租、分租的，须事先征得甲方书面同意，且转租期限不得超出本合同剩余租赁期限。乙方违反本条约定的</w:t>
      </w:r>
      <w:r>
        <w:rPr>
          <w:rFonts w:hint="eastAsia"/>
          <w:bCs/>
          <w:lang w:eastAsia="zh-CN"/>
        </w:rPr>
        <w:t>，</w:t>
      </w:r>
      <w:r>
        <w:rPr>
          <w:bCs/>
        </w:rPr>
        <w:t>甲方有权解除本合同，乙方应当按当年年租金标准的50%向甲方支付违约金，甲方还有权没收乙方的租赁保证金及装修保证金。如因此给甲方</w:t>
      </w:r>
      <w:r>
        <w:rPr>
          <w:rFonts w:hint="eastAsia"/>
          <w:bCs/>
          <w:lang w:eastAsia="zh-CN"/>
        </w:rPr>
        <w:t>造成损失的，由乙方</w:t>
      </w:r>
      <w:r>
        <w:rPr>
          <w:bCs/>
        </w:rPr>
        <w:t>还应承担全部赔偿责任。</w:t>
      </w:r>
    </w:p>
    <w:p w14:paraId="3E19DFA7">
      <w:pPr>
        <w:snapToGrid w:val="0"/>
        <w:spacing w:line="360" w:lineRule="auto"/>
        <w:ind w:firstLine="420" w:firstLineChars="200"/>
        <w:rPr>
          <w:bCs/>
        </w:rPr>
      </w:pPr>
      <w:r>
        <w:rPr>
          <w:rFonts w:hint="eastAsia"/>
          <w:bCs/>
          <w:lang w:val="en-US" w:eastAsia="zh-CN"/>
        </w:rPr>
        <w:t xml:space="preserve">8.2 </w:t>
      </w:r>
      <w:r>
        <w:rPr>
          <w:bCs/>
        </w:rPr>
        <w:t>甲方有权</w:t>
      </w:r>
      <w:r>
        <w:rPr>
          <w:rFonts w:hint="eastAsia"/>
          <w:bCs/>
          <w:lang w:eastAsia="zh-CN"/>
        </w:rPr>
        <w:t>协同</w:t>
      </w:r>
      <w:r>
        <w:rPr>
          <w:bCs/>
        </w:rPr>
        <w:t>该物业未来的任何意向租户或有关人士在租赁期结束前或提前结束前的4个月内的所有合理时间内，预先通知乙方后勘察该物业，乙方不得</w:t>
      </w:r>
      <w:r>
        <w:rPr>
          <w:rFonts w:hint="eastAsia"/>
          <w:bCs/>
          <w:lang w:eastAsia="zh-CN"/>
        </w:rPr>
        <w:t>阻挠，</w:t>
      </w:r>
      <w:r>
        <w:rPr>
          <w:bCs/>
        </w:rPr>
        <w:t>应予以配合，但甲方的该等行为不得干扰乙方的正常经营活动。</w:t>
      </w:r>
    </w:p>
    <w:p w14:paraId="01A5DF51">
      <w:pPr>
        <w:snapToGrid w:val="0"/>
        <w:spacing w:line="360" w:lineRule="auto"/>
        <w:ind w:firstLine="420" w:firstLineChars="200"/>
        <w:rPr>
          <w:bCs/>
        </w:rPr>
      </w:pPr>
      <w:r>
        <w:rPr>
          <w:rFonts w:hint="eastAsia"/>
          <w:bCs/>
          <w:lang w:val="en-US" w:eastAsia="zh-CN"/>
        </w:rPr>
        <w:t>8</w:t>
      </w:r>
      <w:r>
        <w:rPr>
          <w:bCs/>
        </w:rPr>
        <w:t>.3该租赁物业</w:t>
      </w:r>
      <w:r>
        <w:t>□</w:t>
      </w:r>
      <w:r>
        <w:rPr>
          <w:bCs/>
        </w:rPr>
        <w:t xml:space="preserve">已经 </w:t>
      </w:r>
      <w:r>
        <w:t>□</w:t>
      </w:r>
      <w:r>
        <w:rPr>
          <w:bCs/>
        </w:rPr>
        <w:t>没有设定抵押权，在租赁期限内，如甲方将租赁物业抵押给金融机构或其他债权人的，乙方同意按金融机构或其他债权人的要求出具相关承诺，以便于甲方办理抵押登记手续。如因业主抵押而给乙方造成损失的，由业主赔偿。如乙方不同意出具相关承诺而导致不能办理抵押手续的，甲方有权提前解除本合同，没收乙方全部保证金。</w:t>
      </w:r>
    </w:p>
    <w:p w14:paraId="5374CB24">
      <w:pPr>
        <w:snapToGrid w:val="0"/>
        <w:spacing w:line="360" w:lineRule="auto"/>
        <w:jc w:val="center"/>
        <w:rPr>
          <w:b/>
          <w:bCs/>
        </w:rPr>
      </w:pPr>
      <w:r>
        <w:rPr>
          <w:rFonts w:hint="eastAsia"/>
          <w:b/>
          <w:bCs/>
          <w:lang w:val="en-US" w:eastAsia="zh-CN"/>
        </w:rPr>
        <w:t>九</w:t>
      </w:r>
      <w:r>
        <w:rPr>
          <w:b/>
          <w:bCs/>
        </w:rPr>
        <w:t>、合同变更、解除或终止</w:t>
      </w:r>
    </w:p>
    <w:p w14:paraId="42A1FE11">
      <w:pPr>
        <w:snapToGrid w:val="0"/>
        <w:spacing w:line="360" w:lineRule="auto"/>
        <w:ind w:firstLine="420" w:firstLineChars="200"/>
      </w:pPr>
      <w:r>
        <w:rPr>
          <w:rFonts w:hint="eastAsia"/>
          <w:lang w:val="en-US" w:eastAsia="zh-CN"/>
        </w:rPr>
        <w:t>9</w:t>
      </w:r>
      <w:r>
        <w:t>.1 本合同签订后，若乙方以该租赁物业为住所办理或变更新的营业执照，则甲方、乙方及乙方注册变更后的新经营方三方应该及时签署相应的变更协议，本合同项下的所有乙方权利及义务应全部转由乙方注册新成立的经营方承担。乙方应就本合同项下的义务为新的经营方承担连带责任保证。</w:t>
      </w:r>
    </w:p>
    <w:p w14:paraId="5B9CBD3F">
      <w:pPr>
        <w:snapToGrid w:val="0"/>
        <w:spacing w:line="360" w:lineRule="auto"/>
        <w:ind w:firstLine="420" w:firstLineChars="200"/>
      </w:pPr>
      <w:r>
        <w:rPr>
          <w:rFonts w:hint="eastAsia"/>
          <w:lang w:val="en-US" w:eastAsia="zh-CN"/>
        </w:rPr>
        <w:t>9</w:t>
      </w:r>
      <w:r>
        <w:t>.2 有下列情形之一的，甲方有权提前解除本合同（乙方收到甲方的解除函后如有异议应在5日内提出），收回租赁物业：</w:t>
      </w:r>
    </w:p>
    <w:p w14:paraId="27150962">
      <w:pPr>
        <w:snapToGrid w:val="0"/>
        <w:spacing w:line="360" w:lineRule="auto"/>
        <w:ind w:firstLine="420" w:firstLineChars="200"/>
      </w:pPr>
      <w:r>
        <w:t>（1）乙方逾期支付租金、保证金或其他应缴费用的时间超过</w:t>
      </w:r>
      <w:r>
        <w:rPr>
          <w:u w:val="single"/>
        </w:rPr>
        <w:t xml:space="preserve">  </w:t>
      </w:r>
      <w:r>
        <w:rPr>
          <w:rFonts w:hint="eastAsia"/>
          <w:u w:val="single"/>
          <w:lang w:val="en-US" w:eastAsia="zh-CN"/>
        </w:rPr>
        <w:t>30</w:t>
      </w:r>
      <w:r>
        <w:rPr>
          <w:u w:val="single"/>
        </w:rPr>
        <w:t xml:space="preserve">  </w:t>
      </w:r>
      <w:r>
        <w:t>天的；</w:t>
      </w:r>
    </w:p>
    <w:p w14:paraId="6D15B2DD">
      <w:pPr>
        <w:snapToGrid w:val="0"/>
        <w:spacing w:line="360" w:lineRule="auto"/>
        <w:ind w:firstLine="420" w:firstLineChars="200"/>
      </w:pPr>
      <w:r>
        <w:t>（2）乙方未经甲方书面同意</w:t>
      </w:r>
      <w:r>
        <w:rPr>
          <w:bCs/>
        </w:rPr>
        <w:t>将租赁物业</w:t>
      </w:r>
      <w:r>
        <w:t>转租、转借他人或调换使用的；</w:t>
      </w:r>
    </w:p>
    <w:p w14:paraId="747BC650">
      <w:pPr>
        <w:snapToGrid w:val="0"/>
        <w:spacing w:line="360" w:lineRule="auto"/>
        <w:ind w:firstLine="420" w:firstLineChars="200"/>
      </w:pPr>
      <w:r>
        <w:t>（3）乙方未经甲方书面同意擅自改变租赁物业用途的或营业范围的；</w:t>
      </w:r>
    </w:p>
    <w:p w14:paraId="4B73D8FB">
      <w:pPr>
        <w:snapToGrid w:val="0"/>
        <w:spacing w:line="360" w:lineRule="auto"/>
        <w:ind w:left="15" w:leftChars="7" w:firstLine="420" w:firstLineChars="200"/>
        <w:rPr>
          <w:bCs/>
        </w:rPr>
      </w:pPr>
      <w:r>
        <w:t>（4）</w:t>
      </w:r>
      <w:r>
        <w:rPr>
          <w:bCs/>
        </w:rPr>
        <w:t>乙方不按</w:t>
      </w:r>
      <w:r>
        <w:rPr>
          <w:rFonts w:hint="eastAsia"/>
          <w:bCs/>
          <w:lang w:val="en-US" w:eastAsia="zh-CN"/>
        </w:rPr>
        <w:t>8</w:t>
      </w:r>
      <w:r>
        <w:rPr>
          <w:bCs/>
        </w:rPr>
        <w:t>.3条约定出具相关承诺而导致甲方不能办理抵押手续的；</w:t>
      </w:r>
    </w:p>
    <w:p w14:paraId="36580102">
      <w:pPr>
        <w:snapToGrid w:val="0"/>
        <w:spacing w:line="360" w:lineRule="auto"/>
        <w:ind w:firstLine="420" w:firstLineChars="200"/>
        <w:rPr>
          <w:bCs/>
        </w:rPr>
      </w:pPr>
      <w:r>
        <w:rPr>
          <w:bCs/>
        </w:rPr>
        <w:t>（5）乙方经营的商品或服务侵犯他人商标、著作权、服务标识、代理权及专利权被有关部门查处的，或乙方在租赁物业内从事其他违法违规活动的；</w:t>
      </w:r>
    </w:p>
    <w:p w14:paraId="692B6BD0">
      <w:pPr>
        <w:snapToGrid w:val="0"/>
        <w:spacing w:line="360" w:lineRule="auto"/>
        <w:ind w:left="15" w:leftChars="7" w:firstLine="420" w:firstLineChars="200"/>
      </w:pPr>
      <w:r>
        <w:rPr>
          <w:bCs/>
        </w:rPr>
        <w:t xml:space="preserve">（6）乙方未履行本合同中其他条款约定的任一责任或义务，且在甲方发出整改通知后的7天内对该违约行为仍未予以纠正的。 </w:t>
      </w:r>
    </w:p>
    <w:p w14:paraId="41D3EC58">
      <w:pPr>
        <w:snapToGrid w:val="0"/>
        <w:spacing w:line="360" w:lineRule="auto"/>
        <w:ind w:left="15" w:leftChars="7" w:firstLine="420" w:firstLineChars="200"/>
      </w:pPr>
      <w:r>
        <w:rPr>
          <w:rFonts w:hint="eastAsia"/>
          <w:lang w:val="en-US" w:eastAsia="zh-CN"/>
        </w:rPr>
        <w:t>9</w:t>
      </w:r>
      <w:r>
        <w:t>.3有下列情形之一导致乙方不能正常经营的，乙方有权提前解除本合同：</w:t>
      </w:r>
    </w:p>
    <w:p w14:paraId="7A1EC761">
      <w:pPr>
        <w:snapToGrid w:val="0"/>
        <w:spacing w:line="360" w:lineRule="auto"/>
        <w:ind w:firstLine="420" w:firstLineChars="200"/>
      </w:pPr>
      <w:r>
        <w:t>（1）该物业主体结构存在质量问题，而甲方拒绝维修的；</w:t>
      </w:r>
    </w:p>
    <w:p w14:paraId="09D3C529">
      <w:pPr>
        <w:snapToGrid w:val="0"/>
        <w:spacing w:line="360" w:lineRule="auto"/>
        <w:ind w:firstLine="420" w:firstLineChars="200"/>
      </w:pPr>
      <w:r>
        <w:t>（2）该物业存在所有权纠纷；</w:t>
      </w:r>
    </w:p>
    <w:p w14:paraId="1C3F5F2F">
      <w:pPr>
        <w:snapToGrid w:val="0"/>
        <w:spacing w:line="360" w:lineRule="auto"/>
        <w:ind w:firstLine="420" w:firstLineChars="200"/>
      </w:pPr>
      <w:r>
        <w:t>（3）甲方一房两租的。</w:t>
      </w:r>
    </w:p>
    <w:p w14:paraId="463344C6">
      <w:pPr>
        <w:snapToGrid w:val="0"/>
        <w:spacing w:line="360" w:lineRule="auto"/>
        <w:ind w:firstLine="420" w:firstLineChars="200"/>
      </w:pPr>
      <w:r>
        <w:rPr>
          <w:rFonts w:hint="eastAsia"/>
          <w:lang w:val="en-US" w:eastAsia="zh-CN"/>
        </w:rPr>
        <w:t>9</w:t>
      </w:r>
      <w:r>
        <w:t>.4在租赁期内，有下列情形之一的，本合同终止，双方互不承担违约责任：</w:t>
      </w:r>
    </w:p>
    <w:p w14:paraId="37E22A56">
      <w:pPr>
        <w:snapToGrid w:val="0"/>
        <w:spacing w:line="360" w:lineRule="auto"/>
        <w:ind w:firstLine="315" w:firstLineChars="150"/>
        <w:rPr>
          <w:szCs w:val="21"/>
        </w:rPr>
      </w:pPr>
      <w:r>
        <w:rPr>
          <w:szCs w:val="21"/>
        </w:rPr>
        <w:t>（1）租赁物业占用范围内的土地使用权依法提前收回的；</w:t>
      </w:r>
    </w:p>
    <w:p w14:paraId="7A7EE6E0">
      <w:pPr>
        <w:snapToGrid w:val="0"/>
        <w:spacing w:line="360" w:lineRule="auto"/>
        <w:ind w:firstLine="210" w:firstLineChars="100"/>
        <w:rPr>
          <w:szCs w:val="21"/>
        </w:rPr>
      </w:pPr>
      <w:r>
        <w:rPr>
          <w:szCs w:val="21"/>
        </w:rPr>
        <w:t xml:space="preserve"> （2）租赁物业因社会公共利益被依法征收或征用的；</w:t>
      </w:r>
    </w:p>
    <w:p w14:paraId="716C2412">
      <w:pPr>
        <w:snapToGrid w:val="0"/>
        <w:spacing w:line="360" w:lineRule="auto"/>
        <w:ind w:firstLine="315" w:firstLineChars="150"/>
        <w:rPr>
          <w:szCs w:val="21"/>
        </w:rPr>
      </w:pPr>
      <w:r>
        <w:rPr>
          <w:szCs w:val="21"/>
        </w:rPr>
        <w:t>（3）租赁物业因城市建设需要被依法列入房屋拆迁许可范围的；</w:t>
      </w:r>
    </w:p>
    <w:p w14:paraId="5CB0BAC0">
      <w:pPr>
        <w:snapToGrid w:val="0"/>
        <w:spacing w:line="360" w:lineRule="auto"/>
        <w:ind w:firstLine="315" w:firstLineChars="150"/>
        <w:rPr>
          <w:szCs w:val="21"/>
        </w:rPr>
      </w:pPr>
      <w:r>
        <w:rPr>
          <w:szCs w:val="21"/>
        </w:rPr>
        <w:t>（4）地震、战争等法律法规规定的不可抗力原因导致的无法履约。</w:t>
      </w:r>
    </w:p>
    <w:p w14:paraId="02F94D77">
      <w:pPr>
        <w:snapToGrid w:val="0"/>
        <w:spacing w:line="360" w:lineRule="auto"/>
        <w:ind w:firstLine="420" w:firstLineChars="200"/>
      </w:pPr>
      <w:r>
        <w:t>出现本款规定情形之一，如有政府给予赔偿</w:t>
      </w:r>
      <w:r>
        <w:rPr>
          <w:rFonts w:hint="eastAsia"/>
          <w:lang w:eastAsia="zh-CN"/>
        </w:rPr>
        <w:t>，除</w:t>
      </w:r>
      <w:r>
        <w:t>乙方享有自行装修部分的补偿外，其他补偿均归甲方享有。</w:t>
      </w:r>
    </w:p>
    <w:p w14:paraId="1C193375">
      <w:pPr>
        <w:snapToGrid w:val="0"/>
        <w:spacing w:line="360" w:lineRule="auto"/>
        <w:ind w:firstLine="422" w:firstLineChars="200"/>
        <w:rPr>
          <w:rFonts w:hint="eastAsia"/>
          <w:b/>
          <w:bCs/>
          <w:highlight w:val="yellow"/>
        </w:rPr>
      </w:pPr>
      <w:r>
        <w:rPr>
          <w:rFonts w:hint="eastAsia"/>
          <w:b/>
          <w:bCs/>
          <w:highlight w:val="yellow"/>
          <w:lang w:val="en-US" w:eastAsia="zh-CN"/>
        </w:rPr>
        <w:t>9</w:t>
      </w:r>
      <w:r>
        <w:rPr>
          <w:rFonts w:hint="eastAsia"/>
          <w:b/>
          <w:bCs/>
          <w:highlight w:val="yellow"/>
        </w:rPr>
        <w:t>.5 .若临时改变房屋用途审批未获批准，双方互不承担违约责任</w:t>
      </w:r>
      <w:r>
        <w:rPr>
          <w:rFonts w:hint="eastAsia"/>
          <w:b/>
          <w:bCs/>
          <w:highlight w:val="yellow"/>
          <w:lang w:eastAsia="zh-CN"/>
        </w:rPr>
        <w:t>，</w:t>
      </w:r>
      <w:r>
        <w:rPr>
          <w:rFonts w:hint="eastAsia"/>
          <w:b/>
          <w:bCs/>
          <w:highlight w:val="yellow"/>
          <w:lang w:val="en-US" w:eastAsia="zh-CN"/>
        </w:rPr>
        <w:t>乙方</w:t>
      </w:r>
      <w:r>
        <w:rPr>
          <w:rFonts w:hint="eastAsia"/>
          <w:b/>
          <w:bCs/>
          <w:highlight w:val="yellow"/>
        </w:rPr>
        <w:t>不得因此向出租方主张违约责任，要求</w:t>
      </w:r>
      <w:r>
        <w:rPr>
          <w:rFonts w:hint="eastAsia"/>
          <w:b/>
          <w:bCs/>
          <w:highlight w:val="yellow"/>
          <w:lang w:val="en-US" w:eastAsia="zh-CN"/>
        </w:rPr>
        <w:t>甲方</w:t>
      </w:r>
      <w:r>
        <w:rPr>
          <w:rFonts w:hint="eastAsia"/>
          <w:b/>
          <w:bCs/>
          <w:highlight w:val="yellow"/>
        </w:rPr>
        <w:t>支付违约金或赔偿损失等</w:t>
      </w:r>
      <w:r>
        <w:rPr>
          <w:rFonts w:hint="eastAsia"/>
          <w:b/>
          <w:bCs/>
          <w:highlight w:val="yellow"/>
          <w:lang w:eastAsia="zh-CN"/>
        </w:rPr>
        <w:t>。</w:t>
      </w:r>
      <w:r>
        <w:rPr>
          <w:rFonts w:hint="eastAsia"/>
          <w:b/>
          <w:bCs/>
          <w:highlight w:val="yellow"/>
        </w:rPr>
        <w:t>因此要求提前解除租赁合同的，不视为</w:t>
      </w:r>
      <w:r>
        <w:rPr>
          <w:rFonts w:hint="eastAsia"/>
          <w:b/>
          <w:bCs/>
          <w:highlight w:val="yellow"/>
          <w:lang w:val="en-US" w:eastAsia="zh-CN"/>
        </w:rPr>
        <w:t>乙方</w:t>
      </w:r>
      <w:r>
        <w:rPr>
          <w:rFonts w:hint="eastAsia"/>
          <w:b/>
          <w:bCs/>
          <w:highlight w:val="yellow"/>
        </w:rPr>
        <w:t>违约，</w:t>
      </w:r>
      <w:r>
        <w:rPr>
          <w:rFonts w:hint="eastAsia"/>
          <w:b/>
          <w:bCs/>
          <w:highlight w:val="yellow"/>
          <w:lang w:val="en-US" w:eastAsia="zh-CN"/>
        </w:rPr>
        <w:t>甲方</w:t>
      </w:r>
      <w:r>
        <w:rPr>
          <w:rFonts w:hint="eastAsia"/>
          <w:b/>
          <w:bCs/>
          <w:highlight w:val="yellow"/>
        </w:rPr>
        <w:t>不得因此要求承租方支付违约金或赔偿损失。</w:t>
      </w:r>
    </w:p>
    <w:p w14:paraId="15D1E370">
      <w:pPr>
        <w:snapToGrid w:val="0"/>
        <w:spacing w:line="360" w:lineRule="auto"/>
        <w:ind w:firstLine="422" w:firstLineChars="200"/>
        <w:rPr>
          <w:b/>
          <w:bCs/>
          <w:highlight w:val="yellow"/>
        </w:rPr>
      </w:pPr>
      <w:r>
        <w:rPr>
          <w:rFonts w:hint="eastAsia"/>
          <w:b/>
          <w:bCs/>
          <w:highlight w:val="yellow"/>
          <w:lang w:val="en-US" w:eastAsia="zh-CN"/>
        </w:rPr>
        <w:t>乙方承诺，</w:t>
      </w:r>
      <w:r>
        <w:rPr>
          <w:rFonts w:hint="eastAsia"/>
          <w:b/>
          <w:bCs/>
          <w:highlight w:val="yellow"/>
        </w:rPr>
        <w:t>首次期限届满后若后续</w:t>
      </w:r>
      <w:r>
        <w:rPr>
          <w:rFonts w:hint="eastAsia"/>
          <w:b/>
          <w:bCs/>
          <w:highlight w:val="yellow"/>
          <w:lang w:val="en-US" w:eastAsia="zh-CN"/>
        </w:rPr>
        <w:t>临时改变房屋用途</w:t>
      </w:r>
      <w:r>
        <w:rPr>
          <w:rFonts w:hint="eastAsia"/>
          <w:b/>
          <w:bCs/>
          <w:highlight w:val="yellow"/>
        </w:rPr>
        <w:t>延期未获批准的，（1）</w:t>
      </w:r>
      <w:r>
        <w:rPr>
          <w:rFonts w:hint="eastAsia"/>
          <w:b/>
          <w:bCs/>
          <w:highlight w:val="yellow"/>
          <w:lang w:val="en-US" w:eastAsia="zh-CN"/>
        </w:rPr>
        <w:t>乙方</w:t>
      </w:r>
      <w:r>
        <w:rPr>
          <w:rFonts w:hint="eastAsia"/>
          <w:b/>
          <w:bCs/>
          <w:highlight w:val="yellow"/>
        </w:rPr>
        <w:t>愿意继续经营的，后续发生经营风险的，由</w:t>
      </w:r>
      <w:r>
        <w:rPr>
          <w:rFonts w:hint="eastAsia"/>
          <w:b/>
          <w:bCs/>
          <w:highlight w:val="yellow"/>
          <w:lang w:val="en-US" w:eastAsia="zh-CN"/>
        </w:rPr>
        <w:t>乙方</w:t>
      </w:r>
      <w:r>
        <w:rPr>
          <w:rFonts w:hint="eastAsia"/>
          <w:b/>
          <w:bCs/>
          <w:highlight w:val="yellow"/>
        </w:rPr>
        <w:t>承担相应责任，</w:t>
      </w:r>
      <w:r>
        <w:rPr>
          <w:rFonts w:hint="eastAsia"/>
          <w:b/>
          <w:bCs/>
          <w:highlight w:val="yellow"/>
          <w:lang w:val="en-US" w:eastAsia="zh-CN"/>
        </w:rPr>
        <w:t>甲方不承担违约责任</w:t>
      </w:r>
      <w:r>
        <w:rPr>
          <w:rFonts w:hint="eastAsia"/>
          <w:b/>
          <w:bCs/>
          <w:highlight w:val="yellow"/>
        </w:rPr>
        <w:t>；如因此造成</w:t>
      </w:r>
      <w:r>
        <w:rPr>
          <w:rFonts w:hint="eastAsia"/>
          <w:b/>
          <w:bCs/>
          <w:highlight w:val="yellow"/>
          <w:lang w:val="en-US" w:eastAsia="zh-CN"/>
        </w:rPr>
        <w:t>甲方</w:t>
      </w:r>
      <w:r>
        <w:rPr>
          <w:rFonts w:hint="eastAsia"/>
          <w:b/>
          <w:bCs/>
          <w:highlight w:val="yellow"/>
        </w:rPr>
        <w:t>行政处罚或其他损失的，</w:t>
      </w:r>
      <w:r>
        <w:rPr>
          <w:rFonts w:hint="eastAsia"/>
          <w:b/>
          <w:bCs/>
          <w:highlight w:val="yellow"/>
          <w:lang w:val="en-US" w:eastAsia="zh-CN"/>
        </w:rPr>
        <w:t>甲方</w:t>
      </w:r>
      <w:r>
        <w:rPr>
          <w:rFonts w:hint="eastAsia"/>
          <w:b/>
          <w:bCs/>
          <w:highlight w:val="yellow"/>
        </w:rPr>
        <w:t>有权要求</w:t>
      </w:r>
      <w:r>
        <w:rPr>
          <w:rFonts w:hint="eastAsia"/>
          <w:b/>
          <w:bCs/>
          <w:highlight w:val="yellow"/>
          <w:lang w:val="en-US" w:eastAsia="zh-CN"/>
        </w:rPr>
        <w:t>乙方</w:t>
      </w:r>
      <w:r>
        <w:rPr>
          <w:rFonts w:hint="eastAsia"/>
          <w:b/>
          <w:bCs/>
          <w:highlight w:val="yellow"/>
        </w:rPr>
        <w:t>承担损失（其中行政处罚给</w:t>
      </w:r>
      <w:r>
        <w:rPr>
          <w:rFonts w:hint="eastAsia"/>
          <w:b/>
          <w:bCs/>
          <w:highlight w:val="yellow"/>
          <w:lang w:val="en-US" w:eastAsia="zh-CN"/>
        </w:rPr>
        <w:t>甲方</w:t>
      </w:r>
      <w:r>
        <w:rPr>
          <w:rFonts w:hint="eastAsia"/>
          <w:b/>
          <w:bCs/>
          <w:highlight w:val="yellow"/>
        </w:rPr>
        <w:t>造成的商誉损失金额由双方协商确定）；（2）</w:t>
      </w:r>
      <w:r>
        <w:rPr>
          <w:rFonts w:hint="eastAsia"/>
          <w:b/>
          <w:bCs/>
          <w:highlight w:val="yellow"/>
          <w:lang w:val="en-US" w:eastAsia="zh-CN"/>
        </w:rPr>
        <w:t>乙方</w:t>
      </w:r>
      <w:r>
        <w:rPr>
          <w:rFonts w:hint="eastAsia"/>
          <w:b/>
          <w:bCs/>
          <w:highlight w:val="yellow"/>
        </w:rPr>
        <w:t>放弃继续经营的，租赁合同终止，双方互不承担违约责任。</w:t>
      </w:r>
    </w:p>
    <w:p w14:paraId="311D8F6B">
      <w:pPr>
        <w:snapToGrid w:val="0"/>
        <w:spacing w:line="360" w:lineRule="auto"/>
        <w:jc w:val="center"/>
        <w:rPr>
          <w:b/>
        </w:rPr>
      </w:pPr>
      <w:r>
        <w:rPr>
          <w:rFonts w:hint="eastAsia"/>
          <w:b/>
          <w:lang w:val="en-US" w:eastAsia="zh-CN"/>
        </w:rPr>
        <w:t>十</w:t>
      </w:r>
      <w:r>
        <w:rPr>
          <w:b/>
        </w:rPr>
        <w:t>、违约责任</w:t>
      </w:r>
    </w:p>
    <w:p w14:paraId="5613D6C3">
      <w:pPr>
        <w:snapToGrid w:val="0"/>
        <w:spacing w:line="360" w:lineRule="auto"/>
        <w:ind w:firstLine="420" w:firstLineChars="200"/>
      </w:pPr>
      <w:r>
        <w:rPr>
          <w:rFonts w:hint="eastAsia"/>
          <w:lang w:val="en-US" w:eastAsia="zh-CN"/>
        </w:rPr>
        <w:t>10</w:t>
      </w:r>
      <w:r>
        <w:t>.1乙方逾期支付租金及其他款项的，无论甲方是否正式催款，每逾期一天，乙方应向甲方支付应付款总额万分之五的违约金；逾期时间超过15天的，甲方或甲方委托的物业服务公司还有权对该租赁物业停水、停电，所造成的损失由乙方自行承担。</w:t>
      </w:r>
    </w:p>
    <w:p w14:paraId="5222CDFB">
      <w:pPr>
        <w:snapToGrid w:val="0"/>
        <w:spacing w:line="360" w:lineRule="auto"/>
        <w:ind w:firstLine="420" w:firstLineChars="200"/>
      </w:pPr>
      <w:r>
        <w:rPr>
          <w:rFonts w:hint="eastAsia"/>
          <w:lang w:val="en-US" w:eastAsia="zh-CN"/>
        </w:rPr>
        <w:t>10</w:t>
      </w:r>
      <w:r>
        <w:t>.2 甲方无正当理由提前解除合同的，除应向乙方赔偿</w:t>
      </w:r>
      <w:r>
        <w:rPr>
          <w:rFonts w:hint="eastAsia"/>
        </w:rPr>
        <w:t>经甲方书面同意的固定附合装修损失</w:t>
      </w:r>
      <w:r>
        <w:t>（按照</w:t>
      </w:r>
      <w:r>
        <w:rPr>
          <w:u w:val="single"/>
        </w:rPr>
        <w:t xml:space="preserve"> </w:t>
      </w:r>
      <w:r>
        <w:rPr>
          <w:rFonts w:hint="eastAsia"/>
          <w:u w:val="single"/>
          <w:lang w:val="en-US" w:eastAsia="zh-CN"/>
        </w:rPr>
        <w:t>10</w:t>
      </w:r>
      <w:r>
        <w:rPr>
          <w:u w:val="single"/>
        </w:rPr>
        <w:t xml:space="preserve"> </w:t>
      </w:r>
      <w:r>
        <w:t>年</w:t>
      </w:r>
      <w:r>
        <w:rPr>
          <w:rFonts w:hint="eastAsia"/>
        </w:rPr>
        <w:t>直线摊销计算残值）外</w:t>
      </w:r>
      <w:r>
        <w:t>，还应向乙方支付相当于当年</w:t>
      </w:r>
      <w:r>
        <w:rPr>
          <w:u w:val="single"/>
        </w:rPr>
        <w:t xml:space="preserve">  </w:t>
      </w:r>
      <w:r>
        <w:rPr>
          <w:rFonts w:hint="eastAsia"/>
          <w:u w:val="single"/>
          <w:lang w:val="en-US" w:eastAsia="zh-CN"/>
        </w:rPr>
        <w:t>1</w:t>
      </w:r>
      <w:r>
        <w:rPr>
          <w:u w:val="single"/>
        </w:rPr>
        <w:t xml:space="preserve">  </w:t>
      </w:r>
      <w:r>
        <w:t>个月租金的违约金；因</w:t>
      </w:r>
      <w:r>
        <w:rPr>
          <w:rFonts w:hint="eastAsia"/>
          <w:lang w:eastAsia="zh-CN"/>
        </w:rPr>
        <w:t>第</w:t>
      </w:r>
      <w:r>
        <w:rPr>
          <w:rFonts w:hint="eastAsia"/>
          <w:lang w:val="en-US" w:eastAsia="zh-CN"/>
        </w:rPr>
        <w:t>9.</w:t>
      </w:r>
      <w:r>
        <w:t>3条约定情形解除合同，甲方除应向乙方赔偿其实际装修损失（按照年标准计算的残值）外，还应向乙方支付相当于当年</w:t>
      </w:r>
      <w:r>
        <w:rPr>
          <w:u w:val="single"/>
        </w:rPr>
        <w:t xml:space="preserve">  </w:t>
      </w:r>
      <w:r>
        <w:rPr>
          <w:rFonts w:hint="eastAsia"/>
          <w:u w:val="single"/>
          <w:lang w:val="en-US" w:eastAsia="zh-CN"/>
        </w:rPr>
        <w:t>1</w:t>
      </w:r>
      <w:r>
        <w:rPr>
          <w:u w:val="single"/>
        </w:rPr>
        <w:t xml:space="preserve">  </w:t>
      </w:r>
      <w:r>
        <w:t>个月租金的违约金</w:t>
      </w:r>
      <w:r>
        <w:rPr>
          <w:rFonts w:hint="eastAsia"/>
          <w:lang w:eastAsia="zh-CN"/>
        </w:rPr>
        <w:t>，并</w:t>
      </w:r>
      <w:r>
        <w:t>返还乙方履约保证金。</w:t>
      </w:r>
    </w:p>
    <w:p w14:paraId="1C44F98A">
      <w:pPr>
        <w:snapToGrid w:val="0"/>
        <w:spacing w:line="360" w:lineRule="auto"/>
        <w:ind w:firstLine="420" w:firstLineChars="200"/>
      </w:pPr>
      <w:r>
        <w:t>乙方无正当理由解除合同或因</w:t>
      </w:r>
      <w:r>
        <w:rPr>
          <w:rFonts w:hint="eastAsia"/>
          <w:lang w:val="en-US" w:eastAsia="zh-CN"/>
        </w:rPr>
        <w:t>第9</w:t>
      </w:r>
      <w:r>
        <w:t>.2条约定情形被甲方提前解除合同的，乙方除应按照租期内平均日租金标准向甲方赔偿免租期内的租金损失外，乙方已支付</w:t>
      </w:r>
      <w:r>
        <w:rPr>
          <w:rFonts w:hint="eastAsia"/>
          <w:lang w:eastAsia="zh-CN"/>
        </w:rPr>
        <w:t>的履约</w:t>
      </w:r>
      <w:r>
        <w:t>保证金不予返还。</w:t>
      </w:r>
    </w:p>
    <w:p w14:paraId="1D25F76E">
      <w:pPr>
        <w:snapToGrid w:val="0"/>
        <w:spacing w:line="360" w:lineRule="auto"/>
        <w:ind w:firstLine="420" w:firstLineChars="200"/>
      </w:pPr>
      <w:r>
        <w:rPr>
          <w:rFonts w:hint="eastAsia"/>
          <w:lang w:val="en-US" w:eastAsia="zh-CN"/>
        </w:rPr>
        <w:t>10</w:t>
      </w:r>
      <w:r>
        <w:t>.3乙方未在约定的期限内按5.5条的约定将注册地址迁出该租赁物业的，则每逾期一天，应按该租赁物业当前租期内日平均租金标准的</w:t>
      </w:r>
      <w:r>
        <w:rPr>
          <w:rFonts w:hint="eastAsia"/>
          <w:lang w:eastAsia="zh-CN"/>
        </w:rPr>
        <w:t>两倍</w:t>
      </w:r>
      <w:r>
        <w:t>向甲方支付违约金</w:t>
      </w:r>
      <w:r>
        <w:rPr>
          <w:rFonts w:hint="eastAsia"/>
          <w:lang w:eastAsia="zh-CN"/>
        </w:rPr>
        <w:t>；</w:t>
      </w:r>
      <w:r>
        <w:t>给甲方及其他</w:t>
      </w:r>
      <w:r>
        <w:rPr>
          <w:rFonts w:hint="eastAsia"/>
          <w:lang w:eastAsia="zh-CN"/>
        </w:rPr>
        <w:t>乙方</w:t>
      </w:r>
      <w:r>
        <w:t>造成</w:t>
      </w:r>
      <w:r>
        <w:rPr>
          <w:rFonts w:hint="eastAsia"/>
          <w:lang w:eastAsia="zh-CN"/>
        </w:rPr>
        <w:t>损失的</w:t>
      </w:r>
      <w:r>
        <w:t>，由乙方另行赔偿。</w:t>
      </w:r>
    </w:p>
    <w:p w14:paraId="5491F7B3">
      <w:pPr>
        <w:snapToGrid w:val="0"/>
        <w:spacing w:line="360" w:lineRule="auto"/>
        <w:ind w:firstLine="420" w:firstLineChars="200"/>
      </w:pPr>
      <w:r>
        <w:rPr>
          <w:rFonts w:hint="eastAsia"/>
          <w:lang w:val="en-US" w:eastAsia="zh-CN"/>
        </w:rPr>
        <w:t>10</w:t>
      </w:r>
      <w:r>
        <w:t>.4租赁期满或本合同终止后，如乙方逾期搬出或拒不搬出租赁物业的，乙方应按合同终止前最后</w:t>
      </w:r>
      <w:r>
        <w:rPr>
          <w:rFonts w:hint="eastAsia"/>
          <w:lang w:eastAsia="zh-CN"/>
        </w:rPr>
        <w:t>一个</w:t>
      </w:r>
      <w:r>
        <w:t>月的租金标准向甲方支付二倍的占有使用费，同时向甲方赔偿由此而造成的损失（包括但不限于水费、电费等其他费用，向第三人支付的违约金等）。</w:t>
      </w:r>
    </w:p>
    <w:p w14:paraId="7ED86577">
      <w:pPr>
        <w:snapToGrid w:val="0"/>
        <w:spacing w:line="360" w:lineRule="auto"/>
        <w:ind w:firstLine="420" w:firstLineChars="200"/>
      </w:pPr>
      <w:r>
        <w:rPr>
          <w:rFonts w:hint="eastAsia"/>
          <w:lang w:val="en-US" w:eastAsia="zh-CN"/>
        </w:rPr>
        <w:t>10</w:t>
      </w:r>
      <w:r>
        <w:t>.5 乙方在使用租赁物业过程中因违法/违约行为给甲方或第三人造成损失的，如第三人损失被司法机关或行政部门要求由甲方先行赔付，</w:t>
      </w:r>
      <w:r>
        <w:rPr>
          <w:rFonts w:hint="eastAsia"/>
          <w:lang w:eastAsia="zh-CN"/>
        </w:rPr>
        <w:t>甲方</w:t>
      </w:r>
      <w:r>
        <w:t>有权立即向乙方追偿全部责任和损失。因乙方违约导致甲方</w:t>
      </w:r>
      <w:r>
        <w:rPr>
          <w:rFonts w:hint="eastAsia"/>
          <w:lang w:eastAsia="zh-CN"/>
        </w:rPr>
        <w:t>索赔或追偿的</w:t>
      </w:r>
      <w:r>
        <w:t>范围包括但不限于乙方应付款、违约金、赔偿金，以及甲方因此产生的调查费、鉴定费、诉讼费、律师费等所有费用。</w:t>
      </w:r>
    </w:p>
    <w:p w14:paraId="4EB98575">
      <w:pPr>
        <w:snapToGrid w:val="0"/>
        <w:spacing w:line="360" w:lineRule="auto"/>
        <w:ind w:firstLine="420" w:firstLineChars="200"/>
      </w:pPr>
      <w:r>
        <w:rPr>
          <w:rFonts w:hint="eastAsia"/>
          <w:lang w:val="en-US" w:eastAsia="zh-CN"/>
        </w:rPr>
        <w:t>10</w:t>
      </w:r>
      <w:r>
        <w:t>.6乙方应当承担的违约金、赔偿等费用，可以由甲方直接从履约保证金和乙方预付的租金中扣除，甲方从履约保证金或预付的租金中扣除上述费用后，向乙方发出要求补足的书面通知，乙方应在甲方发出通知之日起3日内将上述金额补足，逾期补足的，应按前述逾期支付租金承担违约责任。</w:t>
      </w:r>
    </w:p>
    <w:p w14:paraId="3E41C3D4">
      <w:pPr>
        <w:snapToGrid w:val="0"/>
        <w:spacing w:line="360" w:lineRule="auto"/>
        <w:jc w:val="center"/>
        <w:rPr>
          <w:b/>
        </w:rPr>
      </w:pPr>
      <w:r>
        <w:rPr>
          <w:b/>
        </w:rPr>
        <w:t>十</w:t>
      </w:r>
      <w:r>
        <w:rPr>
          <w:rFonts w:hint="eastAsia"/>
          <w:b/>
          <w:lang w:val="en-US" w:eastAsia="zh-CN"/>
        </w:rPr>
        <w:t>一</w:t>
      </w:r>
      <w:r>
        <w:rPr>
          <w:b/>
        </w:rPr>
        <w:t>、不可抗力因素</w:t>
      </w:r>
    </w:p>
    <w:p w14:paraId="7C026C30">
      <w:pPr>
        <w:snapToGrid w:val="0"/>
        <w:spacing w:line="360" w:lineRule="auto"/>
        <w:ind w:firstLine="420" w:firstLineChars="200"/>
      </w:pPr>
      <w:r>
        <w:rPr>
          <w:rFonts w:hint="eastAsia"/>
          <w:lang w:val="en-US" w:eastAsia="zh-CN"/>
        </w:rPr>
        <w:t>11</w:t>
      </w:r>
      <w:r>
        <w:t>.1因发生不可抗力致使本合同不能履行或中止履行时，发生不可抗力的一方应立即以书面或传真形式通知另一方，并在15天内提供经公证的相关文件；双方应采用所有合理方法减少损害。声称发生不可抗力的一方应采取合理措施减少或消除不可抗力的不利影响，并在可能的最短时间内恢复履行其义务。不可抗力事件持续超过60天的</w:t>
      </w:r>
      <w:r>
        <w:rPr>
          <w:rFonts w:hint="eastAsia"/>
          <w:lang w:eastAsia="zh-CN"/>
        </w:rPr>
        <w:t>，</w:t>
      </w:r>
      <w:r>
        <w:t xml:space="preserve"> 任何一方均可书面通知另一方终止本协议。 </w:t>
      </w:r>
    </w:p>
    <w:p w14:paraId="03FD54EB">
      <w:pPr>
        <w:snapToGrid w:val="0"/>
        <w:spacing w:line="360" w:lineRule="auto"/>
        <w:ind w:firstLine="420" w:firstLineChars="200"/>
      </w:pPr>
      <w:r>
        <w:rPr>
          <w:rFonts w:hint="eastAsia"/>
          <w:lang w:val="en-US" w:eastAsia="zh-CN"/>
        </w:rPr>
        <w:t>11</w:t>
      </w:r>
      <w:r>
        <w:t>.2因上述原因而提前终止本合同时，甲方须自乙方腾退、甲方验收完毕之日起30天内不计利息向乙方退还履约保证金和已预收相应部分的租金（扣除应由乙方承担的部分）。</w:t>
      </w:r>
    </w:p>
    <w:p w14:paraId="28AF6901">
      <w:pPr>
        <w:snapToGrid w:val="0"/>
        <w:spacing w:line="360" w:lineRule="auto"/>
        <w:ind w:firstLine="525" w:firstLineChars="249"/>
        <w:jc w:val="center"/>
        <w:rPr>
          <w:b/>
        </w:rPr>
      </w:pPr>
      <w:r>
        <w:rPr>
          <w:b/>
        </w:rPr>
        <w:t>十</w:t>
      </w:r>
      <w:r>
        <w:rPr>
          <w:rFonts w:hint="eastAsia"/>
          <w:b/>
          <w:lang w:val="en-US" w:eastAsia="zh-CN"/>
        </w:rPr>
        <w:t>二</w:t>
      </w:r>
      <w:r>
        <w:rPr>
          <w:b/>
        </w:rPr>
        <w:t>、适用法律及纠纷的解决办法</w:t>
      </w:r>
    </w:p>
    <w:p w14:paraId="6C5C1697">
      <w:pPr>
        <w:snapToGrid w:val="0"/>
        <w:spacing w:line="360" w:lineRule="auto"/>
        <w:ind w:firstLine="420" w:firstLineChars="200"/>
      </w:pPr>
      <w:r>
        <w:t>本合同按中华人民共和国法律订立并受其约束。如产生纠纷，双方应协商解决。如协商不成，任何一方可向该租赁物业所在地的</w:t>
      </w:r>
      <w:r>
        <w:rPr>
          <w:rFonts w:hint="eastAsia"/>
          <w:lang w:eastAsia="zh-CN"/>
        </w:rPr>
        <w:t>人民法院提起诉讼</w:t>
      </w:r>
      <w:r>
        <w:t>。</w:t>
      </w:r>
    </w:p>
    <w:p w14:paraId="23DB86C8">
      <w:pPr>
        <w:snapToGrid w:val="0"/>
        <w:spacing w:line="360" w:lineRule="auto"/>
        <w:ind w:right="0" w:firstLine="420" w:firstLineChars="200"/>
        <w:jc w:val="center"/>
        <w:rPr>
          <w:b/>
        </w:rPr>
      </w:pPr>
      <w:r>
        <w:t xml:space="preserve"> </w:t>
      </w:r>
      <w:r>
        <w:rPr>
          <w:b/>
        </w:rPr>
        <w:t>十</w:t>
      </w:r>
      <w:r>
        <w:rPr>
          <w:rFonts w:hint="eastAsia"/>
          <w:b/>
          <w:lang w:val="en-US" w:eastAsia="zh-CN"/>
        </w:rPr>
        <w:t>三</w:t>
      </w:r>
      <w:r>
        <w:rPr>
          <w:b/>
        </w:rPr>
        <w:t>、通知</w:t>
      </w:r>
    </w:p>
    <w:p w14:paraId="07C85DF3">
      <w:pPr>
        <w:snapToGrid w:val="0"/>
        <w:spacing w:line="360" w:lineRule="auto"/>
        <w:ind w:right="-1" w:firstLine="420" w:firstLineChars="200"/>
        <w:rPr>
          <w:lang w:val="zh-CN"/>
        </w:rPr>
      </w:pPr>
      <w:r>
        <w:t>因履行本合同而发生的</w:t>
      </w:r>
      <w:r>
        <w:rPr>
          <w:lang w:val="zh-CN"/>
        </w:rPr>
        <w:t>一方发给另一方的通知或信件应是书面的，按本合同内所示下列地址发送。通知或信件应由专人送交或通过邮政局EMS传递。派人送交的，签收时生效；如由邮政局传送，则于送达时视为正式送交。更改地址要在七天之内以书面通知对方，如因一方未通知地址变更导致送达不能或约定地址无人接收通知或信件的，则在一方向约定地址寄送通知或信件之日起第3天视为送达。</w:t>
      </w:r>
    </w:p>
    <w:p w14:paraId="2CC8F717">
      <w:pPr>
        <w:snapToGrid w:val="0"/>
        <w:spacing w:line="360" w:lineRule="auto"/>
        <w:ind w:right="-1" w:firstLine="420" w:firstLineChars="200"/>
        <w:rPr>
          <w:lang w:val="zh-CN"/>
        </w:rPr>
      </w:pPr>
      <w:r>
        <w:rPr>
          <w:lang w:val="zh-CN"/>
        </w:rPr>
        <w:t>各方通讯地址如下</w:t>
      </w:r>
      <w:r>
        <w:rPr>
          <w:rFonts w:hint="eastAsia"/>
          <w:lang w:val="zh-CN"/>
        </w:rPr>
        <w:t>：</w:t>
      </w:r>
    </w:p>
    <w:p w14:paraId="34BBEF98">
      <w:pPr>
        <w:snapToGrid w:val="0"/>
        <w:spacing w:line="360" w:lineRule="auto"/>
        <w:ind w:right="29"/>
        <w:rPr>
          <w:lang w:val="zh-CN"/>
        </w:rPr>
      </w:pPr>
      <w:r>
        <w:rPr>
          <w:lang w:val="zh-CN"/>
        </w:rPr>
        <w:tab/>
      </w:r>
      <w:r>
        <w:rPr>
          <w:lang w:val="zh-CN"/>
        </w:rPr>
        <w:tab/>
      </w:r>
      <w:r>
        <w:rPr>
          <w:lang w:val="zh-CN"/>
        </w:rPr>
        <w:t xml:space="preserve">甲方：  </w:t>
      </w:r>
    </w:p>
    <w:p w14:paraId="28E36393">
      <w:pPr>
        <w:snapToGrid w:val="0"/>
        <w:spacing w:line="360" w:lineRule="auto"/>
        <w:ind w:right="29"/>
      </w:pPr>
      <w:r>
        <w:rPr>
          <w:lang w:val="zh-CN"/>
        </w:rPr>
        <w:tab/>
      </w:r>
      <w:r>
        <w:rPr>
          <w:lang w:val="zh-CN"/>
        </w:rPr>
        <w:tab/>
      </w:r>
      <w:r>
        <w:rPr>
          <w:lang w:val="zh-CN"/>
        </w:rPr>
        <w:t>地址</w:t>
      </w:r>
      <w:r>
        <w:rPr>
          <w:rFonts w:hint="eastAsia"/>
          <w:lang w:val="zh-CN"/>
        </w:rPr>
        <w:t>：</w:t>
      </w:r>
      <w:r>
        <w:rPr>
          <w:lang w:val="zh-CN"/>
        </w:rPr>
        <w:t xml:space="preserve"> </w:t>
      </w:r>
      <w:r>
        <w:t xml:space="preserve">                     </w:t>
      </w:r>
    </w:p>
    <w:p w14:paraId="366FD193">
      <w:pPr>
        <w:snapToGrid w:val="0"/>
        <w:spacing w:line="360" w:lineRule="auto"/>
        <w:ind w:right="29"/>
        <w:rPr>
          <w:lang w:val="zh-CN"/>
        </w:rPr>
      </w:pPr>
      <w:r>
        <w:rPr>
          <w:lang w:val="zh-CN"/>
        </w:rPr>
        <w:tab/>
      </w:r>
      <w:r>
        <w:rPr>
          <w:lang w:val="zh-CN"/>
        </w:rPr>
        <w:tab/>
      </w:r>
      <w:r>
        <w:t xml:space="preserve">邮编：              </w:t>
      </w:r>
      <w:r>
        <w:rPr>
          <w:lang w:val="zh-CN"/>
        </w:rPr>
        <w:t xml:space="preserve">电话：       </w:t>
      </w:r>
      <w:r>
        <w:t xml:space="preserve">     </w:t>
      </w:r>
      <w:r>
        <w:rPr>
          <w:lang w:val="zh-CN"/>
        </w:rPr>
        <w:tab/>
      </w:r>
      <w:r>
        <w:t xml:space="preserve"> </w:t>
      </w:r>
      <w:r>
        <w:rPr>
          <w:lang w:val="zh-CN"/>
        </w:rPr>
        <w:t>收件人</w:t>
      </w:r>
      <w:r>
        <w:rPr>
          <w:rFonts w:hint="eastAsia"/>
          <w:lang w:val="zh-CN"/>
        </w:rPr>
        <w:t>：</w:t>
      </w:r>
      <w:r>
        <w:rPr>
          <w:lang w:val="zh-CN"/>
        </w:rPr>
        <w:t xml:space="preserve"> </w:t>
      </w:r>
    </w:p>
    <w:p w14:paraId="7AC7BFB4">
      <w:pPr>
        <w:snapToGrid w:val="0"/>
        <w:spacing w:line="360" w:lineRule="auto"/>
        <w:ind w:right="29"/>
        <w:rPr>
          <w:lang w:val="zh-CN"/>
        </w:rPr>
      </w:pPr>
    </w:p>
    <w:p w14:paraId="5C124B48">
      <w:pPr>
        <w:snapToGrid w:val="0"/>
        <w:spacing w:line="360" w:lineRule="auto"/>
        <w:ind w:right="29"/>
        <w:rPr>
          <w:lang w:val="zh-CN"/>
        </w:rPr>
      </w:pPr>
      <w:r>
        <w:rPr>
          <w:lang w:val="zh-CN"/>
        </w:rPr>
        <w:tab/>
      </w:r>
      <w:r>
        <w:rPr>
          <w:lang w:val="zh-CN"/>
        </w:rPr>
        <w:tab/>
      </w:r>
      <w:r>
        <w:rPr>
          <w:lang w:val="zh-CN"/>
        </w:rPr>
        <w:t>乙方：</w:t>
      </w:r>
    </w:p>
    <w:p w14:paraId="44DF02C4">
      <w:pPr>
        <w:snapToGrid w:val="0"/>
        <w:spacing w:line="360" w:lineRule="auto"/>
        <w:ind w:right="29" w:firstLine="840" w:firstLineChars="400"/>
        <w:rPr>
          <w:lang w:val="zh-CN"/>
        </w:rPr>
      </w:pPr>
      <w:r>
        <w:rPr>
          <w:lang w:val="zh-CN"/>
        </w:rPr>
        <w:t>地址</w:t>
      </w:r>
      <w:r>
        <w:rPr>
          <w:rFonts w:hint="eastAsia"/>
          <w:lang w:val="zh-CN"/>
        </w:rPr>
        <w:t>：</w:t>
      </w:r>
      <w:r>
        <w:rPr>
          <w:lang w:val="zh-CN"/>
        </w:rPr>
        <w:t xml:space="preserve"> </w:t>
      </w:r>
      <w:r>
        <w:t xml:space="preserve">                     </w:t>
      </w:r>
    </w:p>
    <w:p w14:paraId="3A79EB7A">
      <w:pPr>
        <w:snapToGrid w:val="0"/>
        <w:spacing w:line="360" w:lineRule="auto"/>
        <w:ind w:right="29"/>
        <w:rPr>
          <w:lang w:val="zh-CN"/>
        </w:rPr>
      </w:pPr>
      <w:r>
        <w:rPr>
          <w:lang w:val="zh-CN"/>
        </w:rPr>
        <w:tab/>
      </w:r>
      <w:r>
        <w:rPr>
          <w:lang w:val="zh-CN"/>
        </w:rPr>
        <w:t xml:space="preserve">    </w:t>
      </w:r>
      <w:r>
        <w:t xml:space="preserve">邮编：              </w:t>
      </w:r>
      <w:r>
        <w:rPr>
          <w:lang w:val="zh-CN"/>
        </w:rPr>
        <w:t xml:space="preserve">电话：       </w:t>
      </w:r>
      <w:r>
        <w:t xml:space="preserve">     </w:t>
      </w:r>
      <w:r>
        <w:rPr>
          <w:lang w:val="zh-CN"/>
        </w:rPr>
        <w:tab/>
      </w:r>
      <w:r>
        <w:t xml:space="preserve"> </w:t>
      </w:r>
      <w:r>
        <w:rPr>
          <w:lang w:val="zh-CN"/>
        </w:rPr>
        <w:t>收件人</w:t>
      </w:r>
      <w:r>
        <w:rPr>
          <w:rFonts w:hint="eastAsia"/>
          <w:lang w:val="zh-CN"/>
        </w:rPr>
        <w:t>：</w:t>
      </w:r>
    </w:p>
    <w:p w14:paraId="724B6BBA">
      <w:pPr>
        <w:snapToGrid w:val="0"/>
        <w:spacing w:line="360" w:lineRule="auto"/>
        <w:ind w:right="29"/>
        <w:jc w:val="center"/>
        <w:rPr>
          <w:b/>
        </w:rPr>
      </w:pPr>
      <w:r>
        <w:rPr>
          <w:lang w:val="zh-CN"/>
        </w:rPr>
        <w:t xml:space="preserve">      </w:t>
      </w:r>
      <w:r>
        <w:rPr>
          <w:rFonts w:hint="eastAsia"/>
          <w:b/>
          <w:lang w:val="en-US" w:eastAsia="zh-CN"/>
        </w:rPr>
        <w:t>十四、</w:t>
      </w:r>
      <w:r>
        <w:rPr>
          <w:rFonts w:hint="eastAsia"/>
          <w:b/>
          <w:lang w:eastAsia="zh-CN"/>
        </w:rPr>
        <w:t>其他</w:t>
      </w:r>
    </w:p>
    <w:p w14:paraId="4964EE56">
      <w:pPr>
        <w:snapToGrid w:val="0"/>
        <w:spacing w:line="360" w:lineRule="auto"/>
        <w:ind w:right="-1" w:firstLine="420" w:firstLineChars="200"/>
      </w:pPr>
      <w:r>
        <w:rPr>
          <w:rFonts w:hint="eastAsia"/>
          <w:lang w:val="en-US" w:eastAsia="zh-CN"/>
        </w:rPr>
        <w:t>14</w:t>
      </w:r>
      <w:r>
        <w:t>.1因本合同租赁物业的特殊情况，双方就下列事项进行特别约定：</w:t>
      </w:r>
    </w:p>
    <w:p w14:paraId="40182F69">
      <w:pPr>
        <w:snapToGrid w:val="0"/>
        <w:spacing w:line="360" w:lineRule="auto"/>
        <w:ind w:right="-1" w:firstLine="420" w:firstLineChars="200"/>
      </w:pPr>
      <w:r>
        <w:rPr>
          <w:rFonts w:hint="eastAsia"/>
          <w:lang w:val="en-US" w:eastAsia="zh-CN"/>
        </w:rPr>
        <w:t>14</w:t>
      </w:r>
      <w:r>
        <w:t xml:space="preserve">.1.1 </w:t>
      </w:r>
      <w:r>
        <w:rPr>
          <w:u w:val="single"/>
        </w:rPr>
        <w:t xml:space="preserve">                                           </w:t>
      </w:r>
    </w:p>
    <w:p w14:paraId="7ADFA4A2">
      <w:pPr>
        <w:snapToGrid w:val="0"/>
        <w:spacing w:line="360" w:lineRule="auto"/>
        <w:ind w:right="-1" w:firstLine="420" w:firstLineChars="200"/>
      </w:pPr>
      <w:r>
        <w:rPr>
          <w:rFonts w:hint="eastAsia"/>
          <w:lang w:val="en-US" w:eastAsia="zh-CN"/>
        </w:rPr>
        <w:t>14</w:t>
      </w:r>
      <w:r>
        <w:t xml:space="preserve">.1.2 </w:t>
      </w:r>
      <w:r>
        <w:rPr>
          <w:u w:val="single"/>
        </w:rPr>
        <w:t xml:space="preserve">                                           </w:t>
      </w:r>
    </w:p>
    <w:p w14:paraId="70BBE4B8">
      <w:pPr>
        <w:snapToGrid w:val="0"/>
        <w:spacing w:line="360" w:lineRule="auto"/>
        <w:ind w:right="-1" w:firstLine="420" w:firstLineChars="200"/>
      </w:pPr>
      <w:r>
        <w:rPr>
          <w:rFonts w:hint="eastAsia"/>
          <w:lang w:val="en-US" w:eastAsia="zh-CN"/>
        </w:rPr>
        <w:t>14</w:t>
      </w:r>
      <w:r>
        <w:t xml:space="preserve">.1.3 </w:t>
      </w:r>
      <w:r>
        <w:rPr>
          <w:u w:val="single"/>
        </w:rPr>
        <w:t xml:space="preserve">                                           </w:t>
      </w:r>
    </w:p>
    <w:p w14:paraId="3CEA977D">
      <w:pPr>
        <w:widowControl/>
        <w:spacing w:line="360" w:lineRule="auto"/>
        <w:ind w:left="0" w:leftChars="0" w:right="0" w:firstLine="420" w:firstLineChars="200"/>
        <w:jc w:val="left"/>
        <w:rPr>
          <w:u w:val="single"/>
        </w:rPr>
      </w:pPr>
      <w:r>
        <w:rPr>
          <w:rFonts w:hint="eastAsia"/>
          <w:lang w:val="en-US" w:eastAsia="zh-CN"/>
        </w:rPr>
        <w:t>14</w:t>
      </w:r>
      <w:r>
        <w:t>.2 为保证本合同的顺利履行，乙方需出具《保证</w:t>
      </w:r>
      <w:r>
        <w:rPr>
          <w:rFonts w:hint="eastAsia"/>
          <w:lang w:val="en-US" w:eastAsia="zh-CN"/>
        </w:rPr>
        <w:t>书</w:t>
      </w:r>
      <w:r>
        <w:t>》及企业法人营业执照</w:t>
      </w:r>
      <w:r>
        <w:rPr>
          <w:rFonts w:hint="eastAsia"/>
          <w:lang w:eastAsia="zh-CN"/>
        </w:rPr>
        <w:t>，自然人</w:t>
      </w:r>
      <w:r>
        <w:t>出具身份证复印件</w:t>
      </w:r>
      <w:r>
        <w:rPr>
          <w:rFonts w:hint="eastAsia"/>
          <w:lang w:eastAsia="zh-CN"/>
        </w:rPr>
        <w:t>，作为</w:t>
      </w:r>
      <w:r>
        <w:t>本合同附件</w:t>
      </w:r>
      <w:r>
        <w:rPr>
          <w:rFonts w:hint="eastAsia"/>
          <w:lang w:val="en-US" w:eastAsia="zh-CN"/>
        </w:rPr>
        <w:t>八</w:t>
      </w:r>
      <w:r>
        <w:rPr>
          <w:rFonts w:hint="eastAsia"/>
          <w:lang w:eastAsia="zh-CN"/>
        </w:rPr>
        <w:t>。</w:t>
      </w:r>
      <w:r>
        <w:rPr>
          <w:rFonts w:hint="eastAsia"/>
          <w:lang w:val="en-US" w:eastAsia="zh-CN"/>
        </w:rPr>
        <w:t>乙方将为本合同第四条约定的实际经营主体</w:t>
      </w:r>
      <w:r>
        <w:rPr>
          <w:rFonts w:hint="eastAsia"/>
          <w:lang w:eastAsia="zh-CN"/>
        </w:rPr>
        <w:t>在履行本合同</w:t>
      </w:r>
      <w:r>
        <w:rPr>
          <w:rFonts w:hint="eastAsia"/>
          <w:lang w:val="en-US" w:eastAsia="zh-CN"/>
        </w:rPr>
        <w:t>时</w:t>
      </w:r>
      <w:r>
        <w:t>承担连带责任。</w:t>
      </w:r>
    </w:p>
    <w:p w14:paraId="0EC279FE">
      <w:pPr>
        <w:snapToGrid w:val="0"/>
        <w:spacing w:line="360" w:lineRule="auto"/>
        <w:ind w:right="-1" w:firstLine="420" w:firstLineChars="200"/>
      </w:pPr>
      <w:r>
        <w:rPr>
          <w:rFonts w:hint="eastAsia"/>
          <w:lang w:val="en-US" w:eastAsia="zh-CN"/>
        </w:rPr>
        <w:t>14</w:t>
      </w:r>
      <w:r>
        <w:t>.3</w:t>
      </w:r>
      <w:r>
        <w:rPr>
          <w:rFonts w:hint="eastAsia"/>
          <w:lang w:eastAsia="zh-CN"/>
        </w:rPr>
        <w:t xml:space="preserve"> 本合同</w:t>
      </w:r>
      <w:r>
        <w:t>未涉及事宜，各方可另行签订补充协议，补充协议与主合同具有同等法律效力。</w:t>
      </w:r>
    </w:p>
    <w:p w14:paraId="55CEC81C">
      <w:pPr>
        <w:widowControl/>
        <w:snapToGrid w:val="0"/>
        <w:spacing w:line="360" w:lineRule="auto"/>
        <w:ind w:firstLine="420" w:firstLineChars="200"/>
      </w:pPr>
      <w:r>
        <w:rPr>
          <w:rFonts w:hint="eastAsia"/>
          <w:bCs/>
          <w:lang w:val="en-US" w:eastAsia="zh-CN"/>
        </w:rPr>
        <w:t>14</w:t>
      </w:r>
      <w:r>
        <w:rPr>
          <w:bCs/>
        </w:rPr>
        <w:t>.4</w:t>
      </w:r>
      <w:r>
        <w:rPr>
          <w:rFonts w:hint="eastAsia"/>
          <w:bCs/>
          <w:lang w:eastAsia="zh-CN"/>
        </w:rPr>
        <w:t xml:space="preserve"> 本合同</w:t>
      </w:r>
      <w:r>
        <w:t>自各方签字或盖章后生效，本合同一式</w:t>
      </w:r>
      <w:r>
        <w:rPr>
          <w:u w:val="single"/>
        </w:rPr>
        <w:t xml:space="preserve">   </w:t>
      </w:r>
      <w:r>
        <w:t>份，甲方持</w:t>
      </w:r>
      <w:r>
        <w:rPr>
          <w:u w:val="single"/>
        </w:rPr>
        <w:t xml:space="preserve">   </w:t>
      </w:r>
      <w:r>
        <w:t>份，乙方持</w:t>
      </w:r>
      <w:r>
        <w:rPr>
          <w:u w:val="single"/>
        </w:rPr>
        <w:t xml:space="preserve">   </w:t>
      </w:r>
      <w:r>
        <w:t>份</w:t>
      </w:r>
      <w:r>
        <w:rPr>
          <w:bCs/>
        </w:rPr>
        <w:t>，保证人持</w:t>
      </w:r>
      <w:r>
        <w:rPr>
          <w:u w:val="single"/>
        </w:rPr>
        <w:t xml:space="preserve">   </w:t>
      </w:r>
      <w:r>
        <w:rPr>
          <w:bCs/>
        </w:rPr>
        <w:t>份，</w:t>
      </w:r>
      <w:r>
        <w:rPr>
          <w:rFonts w:hint="eastAsia"/>
          <w:bCs/>
          <w:lang w:eastAsia="zh-CN"/>
        </w:rPr>
        <w:t>具有</w:t>
      </w:r>
      <w:r>
        <w:t>同等法律效力。</w:t>
      </w:r>
    </w:p>
    <w:p w14:paraId="331457BB">
      <w:pPr>
        <w:widowControl/>
        <w:snapToGrid w:val="0"/>
        <w:spacing w:line="360" w:lineRule="auto"/>
        <w:ind w:firstLine="420" w:firstLineChars="200"/>
        <w:sectPr>
          <w:footerReference r:id="rId3" w:type="default"/>
          <w:pgSz w:w="11906" w:h="16838"/>
          <w:pgMar w:top="1440" w:right="1466" w:bottom="1440" w:left="1736" w:header="720" w:footer="720" w:gutter="0"/>
          <w:pgNumType w:fmt="decimal"/>
          <w:cols w:space="720" w:num="1"/>
          <w:docGrid w:type="lines" w:linePitch="312" w:charSpace="0"/>
        </w:sectPr>
      </w:pPr>
      <w:r>
        <w:t xml:space="preserve"> （本页以下无正文）</w:t>
      </w:r>
    </w:p>
    <w:p w14:paraId="465A6682">
      <w:pPr>
        <w:snapToGrid w:val="0"/>
        <w:spacing w:line="360" w:lineRule="auto"/>
        <w:rPr>
          <w:b/>
          <w:bCs/>
        </w:rPr>
      </w:pPr>
      <w:r>
        <w:rPr>
          <w:b/>
          <w:bCs/>
        </w:rPr>
        <w:t xml:space="preserve">出租方（甲方）：  </w:t>
      </w:r>
      <w:r>
        <w:t xml:space="preserve">                       </w:t>
      </w:r>
      <w:r>
        <w:rPr>
          <w:b/>
          <w:bCs/>
        </w:rPr>
        <w:t>承租方（乙方）：</w:t>
      </w:r>
    </w:p>
    <w:p w14:paraId="151B52CF">
      <w:pPr>
        <w:snapToGrid w:val="0"/>
        <w:spacing w:line="360" w:lineRule="auto"/>
        <w:rPr>
          <w:szCs w:val="21"/>
        </w:rPr>
      </w:pPr>
      <w:r>
        <w:rPr>
          <w:szCs w:val="21"/>
        </w:rPr>
        <w:t>委托代理人：                            委托代理人：</w:t>
      </w:r>
    </w:p>
    <w:p w14:paraId="544490E9">
      <w:pPr>
        <w:snapToGrid w:val="0"/>
        <w:spacing w:line="360" w:lineRule="auto"/>
        <w:rPr>
          <w:szCs w:val="21"/>
        </w:rPr>
      </w:pPr>
      <w:r>
        <w:rPr>
          <w:szCs w:val="21"/>
        </w:rPr>
        <w:t>日期：                                  日期：</w:t>
      </w:r>
    </w:p>
    <w:p w14:paraId="65781FF2">
      <w:pPr>
        <w:widowControl/>
        <w:snapToGrid w:val="0"/>
        <w:spacing w:line="360" w:lineRule="auto"/>
        <w:jc w:val="left"/>
        <w:rPr>
          <w:bCs/>
        </w:rPr>
      </w:pPr>
    </w:p>
    <w:p w14:paraId="4C6E76EE">
      <w:pPr>
        <w:snapToGrid w:val="0"/>
        <w:spacing w:line="360" w:lineRule="auto"/>
        <w:rPr>
          <w:highlight w:val="none"/>
        </w:rPr>
      </w:pPr>
      <w:r>
        <w:rPr>
          <w:highlight w:val="none"/>
        </w:rPr>
        <w:t>附件一</w:t>
      </w:r>
      <w:r>
        <w:rPr>
          <w:rFonts w:hint="eastAsia"/>
          <w:highlight w:val="none"/>
          <w:lang w:eastAsia="zh-CN"/>
        </w:rPr>
        <w:t>：</w:t>
      </w:r>
      <w:r>
        <w:rPr>
          <w:highlight w:val="none"/>
        </w:rPr>
        <w:t>物业产权登记证或面积测绘表</w:t>
      </w:r>
    </w:p>
    <w:p w14:paraId="44D57781">
      <w:pPr>
        <w:widowControl/>
        <w:snapToGrid w:val="0"/>
        <w:spacing w:line="360" w:lineRule="auto"/>
        <w:jc w:val="left"/>
        <w:rPr>
          <w:highlight w:val="none"/>
        </w:rPr>
      </w:pPr>
      <w:r>
        <w:rPr>
          <w:highlight w:val="none"/>
        </w:rPr>
        <w:t>附件二</w:t>
      </w:r>
      <w:r>
        <w:rPr>
          <w:rFonts w:hint="eastAsia"/>
          <w:highlight w:val="none"/>
          <w:lang w:eastAsia="zh-CN"/>
        </w:rPr>
        <w:t>：</w:t>
      </w:r>
      <w:r>
        <w:rPr>
          <w:highlight w:val="none"/>
        </w:rPr>
        <w:t xml:space="preserve"> 租赁物业平面位置图</w:t>
      </w:r>
    </w:p>
    <w:p w14:paraId="4C56710B">
      <w:pPr>
        <w:widowControl/>
        <w:snapToGrid w:val="0"/>
        <w:spacing w:line="360" w:lineRule="auto"/>
        <w:jc w:val="left"/>
        <w:rPr>
          <w:highlight w:val="none"/>
        </w:rPr>
      </w:pPr>
      <w:r>
        <w:rPr>
          <w:highlight w:val="none"/>
        </w:rPr>
        <w:t>附件三：承租方营业执照、组织机构代码证、身份证（如是个人承租）复印件</w:t>
      </w:r>
    </w:p>
    <w:p w14:paraId="2B3BA364">
      <w:pPr>
        <w:widowControl/>
        <w:snapToGrid w:val="0"/>
        <w:spacing w:line="360" w:lineRule="auto"/>
        <w:jc w:val="left"/>
        <w:rPr>
          <w:highlight w:val="none"/>
        </w:rPr>
      </w:pPr>
      <w:r>
        <w:rPr>
          <w:highlight w:val="none"/>
        </w:rPr>
        <w:t>附件四：租赁物业交接书</w:t>
      </w:r>
    </w:p>
    <w:p w14:paraId="29F7F87D">
      <w:pPr>
        <w:widowControl/>
        <w:snapToGrid w:val="0"/>
        <w:spacing w:line="360" w:lineRule="auto"/>
        <w:jc w:val="left"/>
        <w:rPr>
          <w:highlight w:val="none"/>
        </w:rPr>
      </w:pPr>
      <w:r>
        <w:rPr>
          <w:highlight w:val="none"/>
        </w:rPr>
        <w:t>附件五：租赁物业交还书</w:t>
      </w:r>
    </w:p>
    <w:p w14:paraId="29049FFD">
      <w:pPr>
        <w:widowControl/>
        <w:snapToGrid w:val="0"/>
        <w:spacing w:line="360" w:lineRule="auto"/>
        <w:jc w:val="left"/>
        <w:rPr>
          <w:highlight w:val="none"/>
        </w:rPr>
      </w:pPr>
      <w:r>
        <w:rPr>
          <w:highlight w:val="none"/>
        </w:rPr>
        <w:t>附件六：消防安全责任书</w:t>
      </w:r>
    </w:p>
    <w:p w14:paraId="42799D7A">
      <w:pPr>
        <w:widowControl/>
        <w:snapToGrid w:val="0"/>
        <w:spacing w:line="360" w:lineRule="auto"/>
        <w:jc w:val="left"/>
        <w:rPr>
          <w:highlight w:val="none"/>
        </w:rPr>
      </w:pPr>
      <w:r>
        <w:rPr>
          <w:highlight w:val="none"/>
        </w:rPr>
        <w:t>附件七：门前三包责任书</w:t>
      </w:r>
    </w:p>
    <w:p w14:paraId="2D066763">
      <w:pPr>
        <w:widowControl/>
        <w:snapToGrid w:val="0"/>
        <w:spacing w:line="360" w:lineRule="auto"/>
        <w:jc w:val="left"/>
        <w:rPr>
          <w:rFonts w:hint="eastAsia"/>
          <w:highlight w:val="none"/>
          <w:lang w:val="en-US" w:eastAsia="zh-CN"/>
        </w:rPr>
      </w:pPr>
      <w:r>
        <w:rPr>
          <w:rFonts w:hint="eastAsia"/>
          <w:highlight w:val="none"/>
          <w:lang w:val="en-US" w:eastAsia="zh-CN"/>
        </w:rPr>
        <w:t>附件八：保证书</w:t>
      </w:r>
    </w:p>
    <w:p w14:paraId="0D8A95A0">
      <w:pPr>
        <w:widowControl/>
        <w:snapToGrid w:val="0"/>
        <w:spacing w:line="360" w:lineRule="auto"/>
        <w:jc w:val="left"/>
        <w:rPr>
          <w:rFonts w:hint="default"/>
          <w:highlight w:val="none"/>
          <w:lang w:val="en-US" w:eastAsia="zh-CN"/>
        </w:rPr>
      </w:pPr>
      <w:r>
        <w:rPr>
          <w:rFonts w:hint="eastAsia"/>
          <w:highlight w:val="none"/>
          <w:lang w:val="en-US" w:eastAsia="zh-CN"/>
        </w:rPr>
        <w:t>附件九：在租租户清单明细</w:t>
      </w:r>
    </w:p>
    <w:p w14:paraId="4E9B29F6">
      <w:pPr>
        <w:widowControl/>
        <w:snapToGrid w:val="0"/>
        <w:spacing w:line="360" w:lineRule="auto"/>
        <w:jc w:val="left"/>
      </w:pPr>
    </w:p>
    <w:p w14:paraId="31A597A3">
      <w:pPr>
        <w:widowControl/>
        <w:snapToGrid w:val="0"/>
        <w:spacing w:line="360" w:lineRule="auto"/>
        <w:jc w:val="left"/>
      </w:pPr>
    </w:p>
    <w:p w14:paraId="38B716D1">
      <w:pPr>
        <w:widowControl/>
        <w:snapToGrid w:val="0"/>
        <w:spacing w:line="360" w:lineRule="auto"/>
        <w:jc w:val="left"/>
      </w:pPr>
    </w:p>
    <w:p w14:paraId="62F31828">
      <w:pPr>
        <w:widowControl/>
        <w:snapToGrid w:val="0"/>
        <w:spacing w:line="360" w:lineRule="auto"/>
        <w:jc w:val="left"/>
      </w:pPr>
    </w:p>
    <w:p w14:paraId="22F29445">
      <w:pPr>
        <w:widowControl/>
        <w:snapToGrid w:val="0"/>
        <w:spacing w:line="360" w:lineRule="auto"/>
        <w:jc w:val="left"/>
      </w:pPr>
    </w:p>
    <w:p w14:paraId="4F2ED775">
      <w:pPr>
        <w:widowControl/>
        <w:snapToGrid w:val="0"/>
        <w:spacing w:line="360" w:lineRule="auto"/>
        <w:jc w:val="left"/>
      </w:pPr>
    </w:p>
    <w:p w14:paraId="530C8CC7">
      <w:pPr>
        <w:widowControl/>
        <w:snapToGrid w:val="0"/>
        <w:spacing w:line="360" w:lineRule="auto"/>
        <w:jc w:val="left"/>
      </w:pPr>
    </w:p>
    <w:p w14:paraId="23819000">
      <w:pPr>
        <w:widowControl/>
        <w:snapToGrid w:val="0"/>
        <w:spacing w:line="360" w:lineRule="auto"/>
        <w:jc w:val="left"/>
      </w:pPr>
    </w:p>
    <w:p w14:paraId="3C7E2472">
      <w:pPr>
        <w:widowControl/>
        <w:snapToGrid w:val="0"/>
        <w:spacing w:line="360" w:lineRule="auto"/>
        <w:jc w:val="left"/>
      </w:pPr>
    </w:p>
    <w:p w14:paraId="4E48F817">
      <w:pPr>
        <w:widowControl/>
        <w:snapToGrid w:val="0"/>
        <w:spacing w:line="360" w:lineRule="auto"/>
        <w:jc w:val="left"/>
      </w:pPr>
    </w:p>
    <w:p w14:paraId="430701A3">
      <w:pPr>
        <w:spacing w:line="500" w:lineRule="exact"/>
        <w:jc w:val="center"/>
        <w:rPr>
          <w:rFonts w:eastAsia="仿宋_GB2312"/>
          <w:b/>
          <w:bCs/>
          <w:sz w:val="36"/>
          <w:szCs w:val="36"/>
        </w:rPr>
        <w:sectPr>
          <w:pgSz w:w="11906" w:h="16838"/>
          <w:pgMar w:top="1440" w:right="1466" w:bottom="1440" w:left="1736" w:header="720" w:footer="720" w:gutter="0"/>
          <w:pgNumType w:fmt="decimal"/>
          <w:cols w:space="720" w:num="1"/>
          <w:docGrid w:type="lines" w:linePitch="312" w:charSpace="0"/>
        </w:sectPr>
      </w:pPr>
    </w:p>
    <w:p w14:paraId="6062598E">
      <w:pPr>
        <w:spacing w:line="500" w:lineRule="exact"/>
        <w:jc w:val="center"/>
        <w:rPr>
          <w:rFonts w:eastAsia="仿宋_GB2312"/>
          <w:b/>
          <w:bCs/>
          <w:sz w:val="36"/>
          <w:szCs w:val="36"/>
        </w:rPr>
      </w:pPr>
      <w:r>
        <w:rPr>
          <w:rFonts w:eastAsia="仿宋_GB2312"/>
          <w:b/>
          <w:bCs/>
          <w:sz w:val="36"/>
          <w:szCs w:val="36"/>
        </w:rPr>
        <w:t>租赁物业交接书</w:t>
      </w:r>
    </w:p>
    <w:p w14:paraId="38127633">
      <w:pPr>
        <w:spacing w:line="500" w:lineRule="exact"/>
        <w:rPr>
          <w:rFonts w:eastAsia="仿宋_GB2312"/>
          <w:sz w:val="28"/>
          <w:szCs w:val="28"/>
        </w:rPr>
      </w:pPr>
      <w:r>
        <w:rPr>
          <w:rFonts w:eastAsia="仿宋_GB2312"/>
          <w:sz w:val="28"/>
          <w:szCs w:val="28"/>
        </w:rPr>
        <w:t xml:space="preserve"> </w:t>
      </w:r>
    </w:p>
    <w:p w14:paraId="374D65A9">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eastAsia="仿宋_GB2312"/>
          <w:sz w:val="28"/>
          <w:szCs w:val="28"/>
        </w:rPr>
        <w:t>现场，就租赁事宜双方移交该租赁物业并确认下列事项：</w:t>
      </w:r>
    </w:p>
    <w:p w14:paraId="2F41C3C9">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14:paraId="0900C320">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14:paraId="7D4A5293">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eastAsia="仿宋_GB2312"/>
          <w:sz w:val="28"/>
          <w:szCs w:val="28"/>
        </w:rPr>
        <w:t>把/间。</w:t>
      </w:r>
    </w:p>
    <w:p w14:paraId="274EDB33">
      <w:pPr>
        <w:spacing w:line="500" w:lineRule="exact"/>
        <w:ind w:firstLine="560" w:firstLineChars="200"/>
        <w:rPr>
          <w:rFonts w:eastAsia="仿宋_GB2312"/>
          <w:sz w:val="28"/>
          <w:szCs w:val="28"/>
        </w:rPr>
      </w:pPr>
      <w:r>
        <w:rPr>
          <w:rFonts w:eastAsia="仿宋_GB2312"/>
          <w:sz w:val="28"/>
          <w:szCs w:val="28"/>
        </w:rPr>
        <w:t xml:space="preserve"> </w:t>
      </w:r>
    </w:p>
    <w:p w14:paraId="173BE881">
      <w:pPr>
        <w:spacing w:line="500" w:lineRule="exact"/>
        <w:ind w:firstLine="560" w:firstLineChars="200"/>
        <w:rPr>
          <w:rFonts w:eastAsia="仿宋_GB2312"/>
          <w:sz w:val="28"/>
          <w:szCs w:val="28"/>
        </w:rPr>
      </w:pPr>
      <w:r>
        <w:rPr>
          <w:rFonts w:eastAsia="仿宋_GB2312"/>
          <w:sz w:val="28"/>
          <w:szCs w:val="28"/>
        </w:rPr>
        <w:t xml:space="preserve"> </w:t>
      </w:r>
    </w:p>
    <w:p w14:paraId="70536072">
      <w:pPr>
        <w:spacing w:line="500" w:lineRule="exact"/>
        <w:ind w:firstLine="560" w:firstLineChars="200"/>
        <w:rPr>
          <w:rFonts w:eastAsia="仿宋_GB2312"/>
          <w:sz w:val="28"/>
          <w:szCs w:val="28"/>
        </w:rPr>
      </w:pPr>
      <w:r>
        <w:rPr>
          <w:rFonts w:eastAsia="仿宋_GB2312"/>
          <w:sz w:val="28"/>
          <w:szCs w:val="28"/>
        </w:rPr>
        <w:t xml:space="preserve"> </w:t>
      </w:r>
    </w:p>
    <w:p w14:paraId="49A7EF79">
      <w:pPr>
        <w:spacing w:line="500" w:lineRule="exact"/>
        <w:ind w:firstLine="560" w:firstLineChars="200"/>
        <w:rPr>
          <w:rFonts w:eastAsia="仿宋_GB2312"/>
          <w:sz w:val="28"/>
          <w:szCs w:val="28"/>
        </w:rPr>
      </w:pPr>
      <w:r>
        <w:rPr>
          <w:rFonts w:eastAsia="仿宋_GB2312"/>
          <w:sz w:val="28"/>
          <w:szCs w:val="28"/>
        </w:rPr>
        <w:t xml:space="preserve"> </w:t>
      </w:r>
    </w:p>
    <w:p w14:paraId="4A9ACAC0">
      <w:pPr>
        <w:spacing w:line="500" w:lineRule="exact"/>
        <w:ind w:firstLine="560" w:firstLineChars="200"/>
        <w:rPr>
          <w:rFonts w:eastAsia="仿宋_GB2312"/>
          <w:sz w:val="28"/>
          <w:szCs w:val="28"/>
        </w:rPr>
      </w:pPr>
      <w:r>
        <w:rPr>
          <w:rFonts w:eastAsia="仿宋_GB2312"/>
          <w:sz w:val="28"/>
          <w:szCs w:val="28"/>
        </w:rPr>
        <w:t>移交方：</w:t>
      </w:r>
    </w:p>
    <w:p w14:paraId="2F6100C4">
      <w:pPr>
        <w:spacing w:line="500" w:lineRule="exact"/>
        <w:ind w:firstLine="560" w:firstLineChars="200"/>
        <w:rPr>
          <w:rFonts w:eastAsia="仿宋_GB2312"/>
          <w:sz w:val="28"/>
          <w:szCs w:val="28"/>
        </w:rPr>
      </w:pPr>
      <w:r>
        <w:rPr>
          <w:rFonts w:eastAsia="仿宋_GB2312"/>
          <w:sz w:val="28"/>
          <w:szCs w:val="28"/>
        </w:rPr>
        <w:t>经办人</w:t>
      </w:r>
    </w:p>
    <w:p w14:paraId="376730F3">
      <w:pPr>
        <w:spacing w:line="500" w:lineRule="exact"/>
        <w:ind w:firstLine="560" w:firstLineChars="200"/>
        <w:rPr>
          <w:rFonts w:eastAsia="仿宋_GB2312"/>
          <w:sz w:val="28"/>
          <w:szCs w:val="28"/>
        </w:rPr>
      </w:pPr>
      <w:r>
        <w:rPr>
          <w:rFonts w:eastAsia="仿宋_GB2312"/>
          <w:sz w:val="28"/>
          <w:szCs w:val="28"/>
        </w:rPr>
        <w:t xml:space="preserve"> </w:t>
      </w:r>
    </w:p>
    <w:p w14:paraId="0CCDBAA3">
      <w:pPr>
        <w:spacing w:line="500" w:lineRule="exact"/>
        <w:ind w:firstLine="560" w:firstLineChars="200"/>
        <w:rPr>
          <w:rFonts w:eastAsia="仿宋_GB2312"/>
          <w:sz w:val="28"/>
          <w:szCs w:val="28"/>
        </w:rPr>
      </w:pPr>
      <w:r>
        <w:rPr>
          <w:rFonts w:eastAsia="仿宋_GB2312"/>
          <w:sz w:val="28"/>
          <w:szCs w:val="28"/>
        </w:rPr>
        <w:t>接收方：</w:t>
      </w:r>
    </w:p>
    <w:p w14:paraId="4B7DC952">
      <w:pPr>
        <w:spacing w:line="500" w:lineRule="exact"/>
        <w:ind w:firstLine="560" w:firstLineChars="200"/>
        <w:rPr>
          <w:rFonts w:eastAsia="仿宋_GB2312"/>
          <w:sz w:val="28"/>
          <w:szCs w:val="28"/>
        </w:rPr>
      </w:pPr>
      <w:r>
        <w:rPr>
          <w:rFonts w:eastAsia="仿宋_GB2312"/>
          <w:sz w:val="28"/>
          <w:szCs w:val="28"/>
        </w:rPr>
        <w:t>经办人</w:t>
      </w:r>
    </w:p>
    <w:p w14:paraId="33A11AEB">
      <w:pPr>
        <w:spacing w:line="500" w:lineRule="exact"/>
        <w:ind w:firstLine="560" w:firstLineChars="200"/>
        <w:rPr>
          <w:rFonts w:eastAsia="仿宋_GB2312"/>
          <w:sz w:val="28"/>
          <w:szCs w:val="28"/>
        </w:rPr>
      </w:pPr>
      <w:r>
        <w:rPr>
          <w:rFonts w:eastAsia="仿宋_GB2312"/>
          <w:sz w:val="28"/>
          <w:szCs w:val="28"/>
        </w:rPr>
        <w:t xml:space="preserve"> </w:t>
      </w:r>
    </w:p>
    <w:p w14:paraId="469271D4">
      <w:pPr>
        <w:spacing w:line="500" w:lineRule="exact"/>
        <w:ind w:firstLine="560" w:firstLineChars="200"/>
        <w:rPr>
          <w:rFonts w:eastAsia="仿宋_GB2312"/>
          <w:sz w:val="28"/>
          <w:szCs w:val="28"/>
        </w:rPr>
      </w:pPr>
      <w:r>
        <w:rPr>
          <w:rFonts w:eastAsia="仿宋_GB2312"/>
          <w:sz w:val="28"/>
          <w:szCs w:val="28"/>
        </w:rPr>
        <w:t xml:space="preserve"> </w:t>
      </w:r>
    </w:p>
    <w:p w14:paraId="7B259E4A">
      <w:pPr>
        <w:spacing w:line="500" w:lineRule="exact"/>
        <w:ind w:firstLine="560" w:firstLineChars="200"/>
        <w:rPr>
          <w:rFonts w:eastAsia="仿宋_GB2312"/>
          <w:sz w:val="28"/>
          <w:szCs w:val="28"/>
        </w:rPr>
      </w:pPr>
      <w:r>
        <w:rPr>
          <w:rFonts w:eastAsia="仿宋_GB2312"/>
          <w:sz w:val="28"/>
          <w:szCs w:val="28"/>
        </w:rPr>
        <w:t xml:space="preserve"> </w:t>
      </w:r>
    </w:p>
    <w:p w14:paraId="6D3679A3">
      <w:pPr>
        <w:spacing w:line="500" w:lineRule="exact"/>
        <w:ind w:firstLine="560" w:firstLineChars="200"/>
        <w:rPr>
          <w:rFonts w:eastAsia="仿宋_GB2312"/>
          <w:sz w:val="28"/>
          <w:szCs w:val="28"/>
        </w:rPr>
      </w:pPr>
      <w:r>
        <w:rPr>
          <w:rFonts w:eastAsia="仿宋_GB2312"/>
          <w:sz w:val="28"/>
          <w:szCs w:val="28"/>
        </w:rPr>
        <w:t xml:space="preserve"> </w:t>
      </w:r>
    </w:p>
    <w:p w14:paraId="5DE54CB0">
      <w:pPr>
        <w:spacing w:line="500" w:lineRule="exact"/>
        <w:ind w:firstLine="560" w:firstLineChars="200"/>
        <w:rPr>
          <w:rFonts w:eastAsia="仿宋_GB2312"/>
          <w:sz w:val="28"/>
          <w:szCs w:val="28"/>
        </w:rPr>
      </w:pPr>
      <w:r>
        <w:rPr>
          <w:rFonts w:eastAsia="仿宋_GB2312"/>
          <w:sz w:val="28"/>
          <w:szCs w:val="28"/>
        </w:rPr>
        <w:t xml:space="preserve">                             移交日期：     年   月   日 </w:t>
      </w:r>
    </w:p>
    <w:p w14:paraId="6EC8111C">
      <w:pPr>
        <w:widowControl/>
        <w:jc w:val="left"/>
        <w:rPr>
          <w:rFonts w:eastAsia="仿宋_GB2312"/>
          <w:b/>
          <w:bCs/>
          <w:sz w:val="28"/>
          <w:szCs w:val="28"/>
        </w:rPr>
        <w:sectPr>
          <w:pgSz w:w="11906" w:h="16838"/>
          <w:pgMar w:top="1440" w:right="1466" w:bottom="1440" w:left="1736" w:header="720" w:footer="720" w:gutter="0"/>
          <w:pgNumType w:fmt="decimal"/>
          <w:cols w:space="720" w:num="1"/>
          <w:docGrid w:type="lines" w:linePitch="312" w:charSpace="0"/>
        </w:sectPr>
      </w:pPr>
    </w:p>
    <w:p w14:paraId="01ABBD78">
      <w:pPr>
        <w:spacing w:line="500" w:lineRule="exact"/>
        <w:jc w:val="center"/>
        <w:rPr>
          <w:rFonts w:eastAsia="仿宋_GB2312"/>
          <w:b/>
          <w:bCs/>
          <w:sz w:val="36"/>
          <w:szCs w:val="36"/>
        </w:rPr>
      </w:pPr>
      <w:r>
        <w:rPr>
          <w:rFonts w:eastAsia="仿宋_GB2312"/>
          <w:b/>
          <w:bCs/>
          <w:sz w:val="36"/>
          <w:szCs w:val="36"/>
        </w:rPr>
        <w:t>租赁物业交还书</w:t>
      </w:r>
    </w:p>
    <w:p w14:paraId="34904EC8">
      <w:pPr>
        <w:spacing w:line="500" w:lineRule="exact"/>
        <w:rPr>
          <w:rFonts w:eastAsia="仿宋_GB2312"/>
          <w:sz w:val="28"/>
          <w:szCs w:val="28"/>
        </w:rPr>
      </w:pPr>
      <w:r>
        <w:rPr>
          <w:rFonts w:eastAsia="仿宋_GB2312"/>
          <w:sz w:val="28"/>
          <w:szCs w:val="28"/>
        </w:rPr>
        <w:t xml:space="preserve"> </w:t>
      </w:r>
    </w:p>
    <w:p w14:paraId="1F2B0C41">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eastAsia="仿宋_GB2312"/>
          <w:sz w:val="28"/>
          <w:szCs w:val="28"/>
        </w:rPr>
        <w:t>现场，就租赁事宜乙方交还该租赁物业并确认下列事项：</w:t>
      </w:r>
    </w:p>
    <w:p w14:paraId="5181C991">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14:paraId="7B1EA31A">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14:paraId="61641E12">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eastAsia="仿宋_GB2312"/>
          <w:sz w:val="28"/>
          <w:szCs w:val="28"/>
        </w:rPr>
        <w:t>把/间。</w:t>
      </w:r>
    </w:p>
    <w:p w14:paraId="58E27BAB">
      <w:pPr>
        <w:spacing w:line="500" w:lineRule="exact"/>
        <w:ind w:firstLine="560" w:firstLineChars="200"/>
        <w:rPr>
          <w:rFonts w:eastAsia="仿宋_GB2312"/>
          <w:sz w:val="28"/>
          <w:szCs w:val="28"/>
        </w:rPr>
      </w:pPr>
      <w:r>
        <w:rPr>
          <w:rFonts w:eastAsia="仿宋_GB2312"/>
          <w:sz w:val="28"/>
          <w:szCs w:val="28"/>
        </w:rPr>
        <w:t xml:space="preserve"> </w:t>
      </w:r>
    </w:p>
    <w:p w14:paraId="03AF34E1">
      <w:pPr>
        <w:spacing w:line="500" w:lineRule="exact"/>
        <w:ind w:firstLine="560" w:firstLineChars="200"/>
        <w:rPr>
          <w:rFonts w:eastAsia="仿宋_GB2312"/>
          <w:sz w:val="28"/>
          <w:szCs w:val="28"/>
        </w:rPr>
      </w:pPr>
      <w:r>
        <w:rPr>
          <w:rFonts w:eastAsia="仿宋_GB2312"/>
          <w:sz w:val="28"/>
          <w:szCs w:val="28"/>
        </w:rPr>
        <w:t xml:space="preserve"> </w:t>
      </w:r>
    </w:p>
    <w:p w14:paraId="738C4279">
      <w:pPr>
        <w:spacing w:line="500" w:lineRule="exact"/>
        <w:ind w:firstLine="560" w:firstLineChars="200"/>
        <w:rPr>
          <w:rFonts w:eastAsia="仿宋_GB2312"/>
          <w:sz w:val="28"/>
          <w:szCs w:val="28"/>
        </w:rPr>
      </w:pPr>
      <w:r>
        <w:rPr>
          <w:rFonts w:eastAsia="仿宋_GB2312"/>
          <w:sz w:val="28"/>
          <w:szCs w:val="28"/>
        </w:rPr>
        <w:t xml:space="preserve"> </w:t>
      </w:r>
    </w:p>
    <w:p w14:paraId="66DF18A3">
      <w:pPr>
        <w:spacing w:line="500" w:lineRule="exact"/>
        <w:ind w:firstLine="560" w:firstLineChars="200"/>
        <w:rPr>
          <w:rFonts w:eastAsia="仿宋_GB2312"/>
          <w:sz w:val="28"/>
          <w:szCs w:val="28"/>
        </w:rPr>
      </w:pPr>
      <w:r>
        <w:rPr>
          <w:rFonts w:eastAsia="仿宋_GB2312"/>
          <w:sz w:val="28"/>
          <w:szCs w:val="28"/>
        </w:rPr>
        <w:t xml:space="preserve"> </w:t>
      </w:r>
    </w:p>
    <w:p w14:paraId="17C108A6">
      <w:pPr>
        <w:spacing w:line="500" w:lineRule="exact"/>
        <w:ind w:firstLine="560" w:firstLineChars="200"/>
        <w:rPr>
          <w:rFonts w:eastAsia="仿宋_GB2312"/>
          <w:sz w:val="28"/>
          <w:szCs w:val="28"/>
        </w:rPr>
      </w:pPr>
      <w:r>
        <w:rPr>
          <w:rFonts w:eastAsia="仿宋_GB2312"/>
          <w:sz w:val="28"/>
          <w:szCs w:val="28"/>
        </w:rPr>
        <w:t>移交方：</w:t>
      </w:r>
    </w:p>
    <w:p w14:paraId="63757D34">
      <w:pPr>
        <w:spacing w:line="500" w:lineRule="exact"/>
        <w:ind w:firstLine="560" w:firstLineChars="200"/>
        <w:rPr>
          <w:rFonts w:eastAsia="仿宋_GB2312"/>
          <w:sz w:val="28"/>
          <w:szCs w:val="28"/>
        </w:rPr>
      </w:pPr>
      <w:r>
        <w:rPr>
          <w:rFonts w:eastAsia="仿宋_GB2312"/>
          <w:sz w:val="28"/>
          <w:szCs w:val="28"/>
        </w:rPr>
        <w:t>经办人</w:t>
      </w:r>
    </w:p>
    <w:p w14:paraId="2D5116DF">
      <w:pPr>
        <w:spacing w:line="500" w:lineRule="exact"/>
        <w:ind w:firstLine="560" w:firstLineChars="200"/>
        <w:rPr>
          <w:rFonts w:eastAsia="仿宋_GB2312"/>
          <w:sz w:val="28"/>
          <w:szCs w:val="28"/>
        </w:rPr>
      </w:pPr>
      <w:r>
        <w:rPr>
          <w:rFonts w:eastAsia="仿宋_GB2312"/>
          <w:sz w:val="28"/>
          <w:szCs w:val="28"/>
        </w:rPr>
        <w:t xml:space="preserve"> </w:t>
      </w:r>
    </w:p>
    <w:p w14:paraId="1AE740D5">
      <w:pPr>
        <w:spacing w:line="500" w:lineRule="exact"/>
        <w:ind w:firstLine="560" w:firstLineChars="200"/>
        <w:rPr>
          <w:rFonts w:eastAsia="仿宋_GB2312"/>
          <w:sz w:val="28"/>
          <w:szCs w:val="28"/>
        </w:rPr>
      </w:pPr>
      <w:r>
        <w:rPr>
          <w:rFonts w:eastAsia="仿宋_GB2312"/>
          <w:sz w:val="28"/>
          <w:szCs w:val="28"/>
        </w:rPr>
        <w:t>接收方：</w:t>
      </w:r>
    </w:p>
    <w:p w14:paraId="34AEDA5C">
      <w:pPr>
        <w:spacing w:line="500" w:lineRule="exact"/>
        <w:ind w:firstLine="560" w:firstLineChars="200"/>
        <w:rPr>
          <w:rFonts w:eastAsia="仿宋_GB2312"/>
          <w:sz w:val="28"/>
          <w:szCs w:val="28"/>
        </w:rPr>
      </w:pPr>
      <w:r>
        <w:rPr>
          <w:rFonts w:eastAsia="仿宋_GB2312"/>
          <w:sz w:val="28"/>
          <w:szCs w:val="28"/>
        </w:rPr>
        <w:t>经办人</w:t>
      </w:r>
    </w:p>
    <w:p w14:paraId="32FBD0FE">
      <w:pPr>
        <w:spacing w:line="500" w:lineRule="exact"/>
        <w:ind w:firstLine="560" w:firstLineChars="200"/>
        <w:rPr>
          <w:rFonts w:eastAsia="仿宋_GB2312"/>
          <w:sz w:val="28"/>
          <w:szCs w:val="28"/>
        </w:rPr>
      </w:pPr>
      <w:r>
        <w:rPr>
          <w:rFonts w:eastAsia="仿宋_GB2312"/>
          <w:sz w:val="28"/>
          <w:szCs w:val="28"/>
        </w:rPr>
        <w:t xml:space="preserve"> </w:t>
      </w:r>
    </w:p>
    <w:p w14:paraId="018D6463">
      <w:pPr>
        <w:spacing w:line="500" w:lineRule="exact"/>
        <w:ind w:firstLine="560" w:firstLineChars="200"/>
        <w:rPr>
          <w:rFonts w:eastAsia="仿宋_GB2312"/>
          <w:sz w:val="28"/>
          <w:szCs w:val="28"/>
        </w:rPr>
      </w:pPr>
      <w:r>
        <w:rPr>
          <w:rFonts w:eastAsia="仿宋_GB2312"/>
          <w:sz w:val="28"/>
          <w:szCs w:val="28"/>
        </w:rPr>
        <w:t xml:space="preserve"> </w:t>
      </w:r>
    </w:p>
    <w:p w14:paraId="2850E1B7">
      <w:pPr>
        <w:spacing w:line="500" w:lineRule="exact"/>
        <w:ind w:firstLine="560" w:firstLineChars="200"/>
        <w:rPr>
          <w:rFonts w:eastAsia="仿宋_GB2312"/>
          <w:sz w:val="28"/>
          <w:szCs w:val="28"/>
        </w:rPr>
      </w:pPr>
      <w:r>
        <w:rPr>
          <w:rFonts w:eastAsia="仿宋_GB2312"/>
          <w:sz w:val="28"/>
          <w:szCs w:val="28"/>
        </w:rPr>
        <w:t xml:space="preserve"> </w:t>
      </w:r>
    </w:p>
    <w:p w14:paraId="41EFE25A">
      <w:pPr>
        <w:spacing w:line="500" w:lineRule="exact"/>
        <w:ind w:firstLine="560" w:firstLineChars="200"/>
        <w:rPr>
          <w:rFonts w:eastAsia="仿宋_GB2312"/>
          <w:sz w:val="28"/>
          <w:szCs w:val="28"/>
        </w:rPr>
      </w:pPr>
      <w:r>
        <w:rPr>
          <w:rFonts w:eastAsia="仿宋_GB2312"/>
          <w:sz w:val="28"/>
          <w:szCs w:val="28"/>
        </w:rPr>
        <w:t xml:space="preserve"> </w:t>
      </w:r>
    </w:p>
    <w:p w14:paraId="2ACB76DE">
      <w:pPr>
        <w:spacing w:line="500" w:lineRule="exact"/>
        <w:ind w:firstLine="560" w:firstLineChars="200"/>
      </w:pPr>
      <w:r>
        <w:rPr>
          <w:rFonts w:eastAsia="仿宋_GB2312"/>
          <w:sz w:val="28"/>
          <w:szCs w:val="28"/>
        </w:rPr>
        <w:t xml:space="preserve">                             移交日期：     年   月   日</w:t>
      </w:r>
    </w:p>
    <w:p w14:paraId="44CCFCDC">
      <w:pPr>
        <w:widowControl/>
        <w:jc w:val="left"/>
        <w:rPr>
          <w:rFonts w:eastAsia="仿宋_GB2312"/>
          <w:b/>
          <w:bCs/>
          <w:sz w:val="28"/>
          <w:szCs w:val="28"/>
        </w:rPr>
        <w:sectPr>
          <w:pgSz w:w="11906" w:h="16838"/>
          <w:pgMar w:top="1440" w:right="1466" w:bottom="1440" w:left="1736" w:header="720" w:footer="720" w:gutter="0"/>
          <w:pgNumType w:fmt="decimal"/>
          <w:cols w:space="720" w:num="1"/>
          <w:docGrid w:type="lines" w:linePitch="312" w:charSpace="0"/>
        </w:sectPr>
      </w:pPr>
    </w:p>
    <w:p w14:paraId="2B189144">
      <w:pPr>
        <w:spacing w:line="500" w:lineRule="exact"/>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消防安全责任书</w:t>
      </w:r>
    </w:p>
    <w:p w14:paraId="55CC2DDC">
      <w:pPr>
        <w:spacing w:line="500" w:lineRule="exact"/>
        <w:jc w:val="center"/>
        <w:rPr>
          <w:rFonts w:eastAsia="仿宋_GB2312"/>
          <w:b/>
          <w:bCs/>
          <w:sz w:val="36"/>
          <w:szCs w:val="36"/>
        </w:rPr>
      </w:pPr>
    </w:p>
    <w:p w14:paraId="6889BA7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落实租赁双方治安消防安全责任，确保承租方的人身、财产安全和租赁物业安全，根据《中华人民共和国消防法》和《中华人民共和国治安管理处罚法》等法律法规的规定，遵循“防火、防盗、防破坏、防治安事件”的原则，出租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与承租方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以下简称乙方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签订本安全责任书，进一步明确双方的治安消防安全责任。</w:t>
      </w:r>
    </w:p>
    <w:p w14:paraId="06C33C21">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乙方为租赁物业的治安消防安全第一责任人，应自觉遵守治安消防管理规定，增强防范意识，重视防火、防盗以及其他治安、消防安全工作。</w:t>
      </w:r>
    </w:p>
    <w:p w14:paraId="0AE669C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第二条 乙方中途更换责任人，需另行签订《治安消防安全责任书》。乙方更换责任人未及时通知甲方或未重新签订《治安消防安全责任书》的，由乙方承担责任。 </w:t>
      </w:r>
    </w:p>
    <w:p w14:paraId="4473A139">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第三条 甲方有权对租赁物业的治安、消防安全工作进行监督和管理，乙方必须无条件配合甲方。 </w:t>
      </w:r>
    </w:p>
    <w:p w14:paraId="22FCE392">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第四条 乙方不得在租赁物业内存放易燃易爆、有毒有害物品，不得在进出口以及非租用空间等公共区域堆放物品、乱搭乱建，不得危及房屋安全和他人的人身财产安全，不得阻碍消防通道。 </w:t>
      </w:r>
    </w:p>
    <w:p w14:paraId="5AB3260A">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乙方对租赁物业的取暖、用电等安全负全部责任。要注意取暖、</w:t>
      </w:r>
      <w:r>
        <w:rPr>
          <w:rFonts w:hint="eastAsia" w:ascii="仿宋_GB2312" w:hAnsi="仿宋_GB2312" w:eastAsia="仿宋_GB2312" w:cs="仿宋_GB2312"/>
          <w:sz w:val="32"/>
          <w:szCs w:val="32"/>
          <w:lang w:eastAsia="zh-CN"/>
        </w:rPr>
        <w:t>用煤</w:t>
      </w:r>
      <w:r>
        <w:rPr>
          <w:rFonts w:hint="eastAsia" w:ascii="仿宋_GB2312" w:hAnsi="仿宋_GB2312" w:eastAsia="仿宋_GB2312" w:cs="仿宋_GB2312"/>
          <w:sz w:val="32"/>
          <w:szCs w:val="32"/>
        </w:rPr>
        <w:t xml:space="preserve">安全，防止发生火灾和煤气中毒；要注意用电安全，严防触电和各类电器火灾。不得私自乱拉乱接电线，不得使用大功率电器，不得使用生活电炉；发现供电系统过热、有异味、冒烟等不安全情况，应立即切断电源并及时报告甲方。 </w:t>
      </w:r>
    </w:p>
    <w:p w14:paraId="25C72AD8">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第六条 乙方应加强防盗工作，采取必要的防盗措施。如发生治安案件，乙方应保护好现场，并报告公安部门处理。 </w:t>
      </w:r>
    </w:p>
    <w:p w14:paraId="64C378C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第七条 未经甲方同意，乙方不得改变租赁物业现状。确实需要改变的，应严格执行消防安全规定，并接受甲方的消防检查，杜绝火灾等隐患发生。 </w:t>
      </w:r>
    </w:p>
    <w:p w14:paraId="39FE7CF5">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第八条 因乙方未全面履行治安消防责任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包括过失、故意等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引发的火灾及治安事件，由乙方承担事件所造成的一切法律责任。对甲方的经营及名誉造成损害的，支付相当于租赁物业年租金价格一倍的违约金，违约金不足以偿付由此给甲方造成的经济损失的，乙方应按照甲方的实际</w:t>
      </w:r>
      <w:r>
        <w:rPr>
          <w:rFonts w:hint="eastAsia" w:ascii="仿宋_GB2312" w:hAnsi="仿宋_GB2312" w:eastAsia="仿宋_GB2312" w:cs="仿宋_GB2312"/>
          <w:sz w:val="32"/>
          <w:szCs w:val="32"/>
          <w:lang w:eastAsia="zh-CN"/>
        </w:rPr>
        <w:t>损失予以</w:t>
      </w:r>
      <w:r>
        <w:rPr>
          <w:rFonts w:hint="eastAsia" w:ascii="仿宋_GB2312" w:hAnsi="仿宋_GB2312" w:eastAsia="仿宋_GB2312" w:cs="仿宋_GB2312"/>
          <w:sz w:val="32"/>
          <w:szCs w:val="32"/>
        </w:rPr>
        <w:t>赔偿。</w:t>
      </w:r>
    </w:p>
    <w:p w14:paraId="730CA21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第九条 本责任书未尽事项，由双方协商补充；协商不成的，按国家的有关法律法规执行。 </w:t>
      </w:r>
    </w:p>
    <w:p w14:paraId="46B31316">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 自双方签字之日起生效，有效期至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日。 </w:t>
      </w:r>
    </w:p>
    <w:p w14:paraId="5EF01ED0">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第十一条 本责任书一式两份，双方各执一份，具有同等法律效力。 </w:t>
      </w:r>
    </w:p>
    <w:p w14:paraId="3CDAFA03">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w:t>
      </w:r>
    </w:p>
    <w:p w14:paraId="37B626DF">
      <w:pPr>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1FE146C">
      <w:pPr>
        <w:spacing w:line="50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出租方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承租方（乙方）：</w:t>
      </w:r>
    </w:p>
    <w:p w14:paraId="6B626426">
      <w:pPr>
        <w:spacing w:line="50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                    联系电话：</w:t>
      </w:r>
    </w:p>
    <w:p w14:paraId="38A8FBBE">
      <w:pPr>
        <w:spacing w:line="500" w:lineRule="exact"/>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签约日期：                    签约日期：</w:t>
      </w:r>
    </w:p>
    <w:p w14:paraId="45CE7E44">
      <w:pPr>
        <w:spacing w:line="50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br w:type="page"/>
      </w:r>
      <w:r>
        <w:rPr>
          <w:rFonts w:hint="eastAsia" w:ascii="方正小标宋_GBK" w:hAnsi="方正小标宋_GBK" w:eastAsia="方正小标宋_GBK" w:cs="方正小标宋_GBK"/>
          <w:b w:val="0"/>
          <w:bCs w:val="0"/>
          <w:sz w:val="44"/>
          <w:szCs w:val="44"/>
        </w:rPr>
        <w:t>门前三包责任书</w:t>
      </w:r>
    </w:p>
    <w:p w14:paraId="4DE80C14">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p>
    <w:p w14:paraId="1DCED32B">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为加强场所环境卫生管理，营造整洁、优美、文明的生活和工作环境，进一步完善和落实“门前三包责任制”，特制定本责任书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门前三包责任范围：横向为沿街房屋建筑物总长，纵向为建筑物</w:t>
      </w:r>
      <w:r>
        <w:rPr>
          <w:rFonts w:hint="eastAsia" w:ascii="仿宋_GB2312" w:hAnsi="仿宋_GB2312" w:eastAsia="仿宋_GB2312" w:cs="仿宋_GB2312"/>
          <w:sz w:val="32"/>
          <w:szCs w:val="32"/>
          <w:lang w:eastAsia="zh-CN"/>
        </w:rPr>
        <w:t>（包括围墙）</w:t>
      </w:r>
      <w:r>
        <w:rPr>
          <w:rFonts w:hint="eastAsia" w:ascii="仿宋_GB2312" w:hAnsi="仿宋_GB2312" w:eastAsia="仿宋_GB2312" w:cs="仿宋_GB2312"/>
          <w:sz w:val="32"/>
          <w:szCs w:val="32"/>
        </w:rPr>
        <w:t>墙基至道路的路沿石，无路沿石，以道路边沿为界。</w:t>
      </w:r>
    </w:p>
    <w:p w14:paraId="2287D1A5">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一、包卫生：对本责任区进行清扫，做到每天门前无垃圾、污物堆放，地面要全天干净整洁，即无烟头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无果皮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无纸屑</w:t>
      </w: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塑料袋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无污水、</w:t>
      </w:r>
      <w:r>
        <w:rPr>
          <w:rFonts w:hint="eastAsia" w:ascii="仿宋_GB2312" w:hAnsi="仿宋_GB2312" w:eastAsia="仿宋_GB2312" w:cs="仿宋_GB2312"/>
          <w:sz w:val="32"/>
          <w:szCs w:val="32"/>
          <w:lang w:eastAsia="zh-CN"/>
        </w:rPr>
        <w:t>无积雪</w:t>
      </w:r>
      <w:r>
        <w:rPr>
          <w:rFonts w:hint="eastAsia" w:ascii="仿宋_GB2312" w:hAnsi="仿宋_GB2312" w:eastAsia="仿宋_GB2312" w:cs="仿宋_GB2312"/>
          <w:sz w:val="32"/>
          <w:szCs w:val="32"/>
        </w:rPr>
        <w:t>。产生的垃圾要及时清理并倒入指定垃圾箱内，不得将</w:t>
      </w:r>
      <w:r>
        <w:rPr>
          <w:rFonts w:hint="eastAsia" w:ascii="仿宋_GB2312" w:hAnsi="仿宋_GB2312" w:eastAsia="仿宋_GB2312" w:cs="仿宋_GB2312"/>
          <w:sz w:val="32"/>
          <w:szCs w:val="32"/>
          <w:lang w:eastAsia="zh-CN"/>
        </w:rPr>
        <w:t>垃圾堆</w:t>
      </w:r>
      <w:r>
        <w:rPr>
          <w:rFonts w:hint="eastAsia" w:ascii="仿宋_GB2312" w:hAnsi="仿宋_GB2312" w:eastAsia="仿宋_GB2312" w:cs="仿宋_GB2312"/>
          <w:sz w:val="32"/>
          <w:szCs w:val="32"/>
        </w:rPr>
        <w:t>（扫</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道路旁。</w:t>
      </w:r>
    </w:p>
    <w:p w14:paraId="4F82632F">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二、包设施：负责门前卫生责任区内的路面、路灯、供水排水管道、树木、绿篱、花坛、草坪和设施的卫生维护等，制止攀折树木、依树搭棚拉线、践踏草坪、损坏树木和设施及擅自占用绿地等行为。</w:t>
      </w:r>
    </w:p>
    <w:p w14:paraId="5823DD69">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三、包秩序：维护门前或周围的环境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制止乱堆乱放、摆设摊点、乱停车辆、乱搭乱建、乱贴乱挂广告标语，制止</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及时</w:t>
      </w:r>
      <w:r>
        <w:rPr>
          <w:rFonts w:hint="eastAsia" w:ascii="仿宋_GB2312" w:hAnsi="仿宋_GB2312" w:eastAsia="仿宋_GB2312" w:cs="仿宋_GB2312"/>
          <w:sz w:val="32"/>
          <w:szCs w:val="32"/>
          <w:lang w:eastAsia="zh-CN"/>
        </w:rPr>
        <w:t>清理</w:t>
      </w:r>
      <w:r>
        <w:rPr>
          <w:rFonts w:hint="eastAsia" w:ascii="仿宋_GB2312" w:hAnsi="仿宋_GB2312" w:eastAsia="仿宋_GB2312" w:cs="仿宋_GB2312"/>
          <w:sz w:val="32"/>
          <w:szCs w:val="32"/>
        </w:rPr>
        <w:t>“牛皮”等非法广告及其他违法行为。不倚门设摊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占道经营，不乱吊挂商品、乱竖乱挂牌匾。</w:t>
      </w:r>
    </w:p>
    <w:p w14:paraId="72F1EF17">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甲方对门前卫生“三包”进行定期检查，对乙方不履行门前卫生“三包”义务的，经查实，责令乙方限期整改，逾期不改的，甲方有权委托第三方予以处理，由此产生的费用及造成的损失由乙方承担，同时甲方有权按照500-3000/次的标准要求乙方支付违约金，上述费用及违约金甲方有权在租赁保证金中予以扣除。</w:t>
      </w:r>
    </w:p>
    <w:p w14:paraId="466E3F6A">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此责任书</w:t>
      </w:r>
      <w:r>
        <w:rPr>
          <w:rFonts w:hint="eastAsia" w:ascii="仿宋_GB2312" w:hAnsi="仿宋_GB2312" w:eastAsia="仿宋_GB2312" w:cs="仿宋_GB2312"/>
          <w:sz w:val="32"/>
          <w:szCs w:val="32"/>
          <w:lang w:eastAsia="zh-CN"/>
        </w:rPr>
        <w:t>一式两份，甲方</w:t>
      </w:r>
      <w:r>
        <w:rPr>
          <w:rFonts w:hint="eastAsia" w:ascii="仿宋_GB2312" w:hAnsi="仿宋_GB2312" w:eastAsia="仿宋_GB2312" w:cs="仿宋_GB2312"/>
          <w:sz w:val="32"/>
          <w:szCs w:val="32"/>
        </w:rPr>
        <w:t>和乙方各持一份，一经签订即日生效。</w:t>
      </w:r>
    </w:p>
    <w:p w14:paraId="060951CC">
      <w:pPr>
        <w:widowControl/>
        <w:shd w:val="clear" w:color="auto" w:fill="FFFFFF"/>
        <w:autoSpaceDE w:val="0"/>
        <w:spacing w:line="450" w:lineRule="atLeast"/>
        <w:ind w:right="300" w:firstLine="562" w:firstLineChars="200"/>
        <w:jc w:val="center"/>
        <w:rPr>
          <w:rFonts w:eastAsia="仿宋_GB2312"/>
          <w:b/>
          <w:bCs/>
          <w:sz w:val="28"/>
          <w:szCs w:val="28"/>
        </w:rPr>
        <w:sectPr>
          <w:pgSz w:w="11906" w:h="16838"/>
          <w:pgMar w:top="1440" w:right="1800" w:bottom="1440" w:left="1800" w:header="851" w:footer="992" w:gutter="0"/>
          <w:pgNumType w:fmt="decimal"/>
          <w:cols w:space="720" w:num="1"/>
          <w:titlePg/>
          <w:docGrid w:type="lines" w:linePitch="312" w:charSpace="0"/>
        </w:sectPr>
      </w:pPr>
    </w:p>
    <w:p w14:paraId="455E08A8">
      <w:pPr>
        <w:widowControl/>
        <w:shd w:val="clear"/>
        <w:autoSpaceDE/>
        <w:spacing w:line="240" w:lineRule="auto"/>
        <w:ind w:right="0" w:firstLine="0" w:firstLineChars="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门前三包承诺书</w:t>
      </w:r>
    </w:p>
    <w:p w14:paraId="5771D8B0">
      <w:pPr>
        <w:widowControl/>
        <w:shd w:val="clear" w:color="auto" w:fill="FFFFFF"/>
        <w:autoSpaceDE w:val="0"/>
        <w:spacing w:line="450" w:lineRule="atLeast"/>
        <w:ind w:right="300" w:firstLine="643" w:firstLineChars="200"/>
        <w:jc w:val="center"/>
        <w:rPr>
          <w:rFonts w:hint="eastAsia" w:ascii="仿宋_GB2312" w:hAnsi="仿宋_GB2312" w:eastAsia="仿宋_GB2312" w:cs="仿宋_GB2312"/>
          <w:b/>
          <w:bCs/>
          <w:sz w:val="32"/>
          <w:szCs w:val="32"/>
        </w:rPr>
      </w:pPr>
    </w:p>
    <w:p w14:paraId="45A11D87">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杭州市城投服务集团有限公司 </w:t>
      </w:r>
      <w:r>
        <w:rPr>
          <w:rFonts w:hint="eastAsia" w:ascii="仿宋_GB2312" w:hAnsi="仿宋_GB2312" w:eastAsia="仿宋_GB2312" w:cs="仿宋_GB2312"/>
          <w:sz w:val="32"/>
          <w:szCs w:val="32"/>
          <w:lang w:eastAsia="zh-CN"/>
        </w:rPr>
        <w:t>：</w:t>
      </w:r>
    </w:p>
    <w:p w14:paraId="7898C76E">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为了配合贵公司安全管理，防范外来人员非正常出入，</w:t>
      </w:r>
      <w:r>
        <w:rPr>
          <w:rFonts w:hint="eastAsia" w:ascii="仿宋_GB2312" w:hAnsi="仿宋_GB2312" w:eastAsia="仿宋_GB2312" w:cs="仿宋_GB2312"/>
          <w:sz w:val="32"/>
          <w:szCs w:val="32"/>
          <w:lang w:val="en-US" w:eastAsia="zh-CN"/>
        </w:rPr>
        <w:t>我方</w:t>
      </w:r>
      <w:r>
        <w:rPr>
          <w:rFonts w:hint="eastAsia" w:ascii="仿宋_GB2312" w:hAnsi="仿宋_GB2312" w:eastAsia="仿宋_GB2312" w:cs="仿宋_GB2312"/>
          <w:sz w:val="32"/>
          <w:szCs w:val="32"/>
        </w:rPr>
        <w:t>特向贵公司承诺：</w:t>
      </w:r>
    </w:p>
    <w:p w14:paraId="1827B974">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1.不允许外来人员非正常出入本场所，否则，由此带来的一切责任由本人承担。</w:t>
      </w:r>
    </w:p>
    <w:p w14:paraId="47025F99">
      <w:pPr>
        <w:widowControl/>
        <w:shd w:val="clear" w:color="auto" w:fill="FFFFFF"/>
        <w:autoSpaceDE w:val="0"/>
        <w:spacing w:line="450" w:lineRule="atLeast"/>
        <w:ind w:right="30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2.自愿实行“门前三包”（包卫生、包秩序、包设施）。</w:t>
      </w:r>
    </w:p>
    <w:p w14:paraId="7029F788">
      <w:pPr>
        <w:widowControl/>
        <w:shd w:val="clear" w:color="auto" w:fill="FFFFFF"/>
        <w:autoSpaceDE w:val="0"/>
        <w:spacing w:line="450" w:lineRule="atLeast"/>
        <w:ind w:right="3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411A3CDC">
      <w:pPr>
        <w:widowControl/>
        <w:shd w:val="clear" w:color="auto" w:fill="FFFFFF"/>
        <w:autoSpaceDE w:val="0"/>
        <w:spacing w:line="450" w:lineRule="atLeast"/>
        <w:ind w:right="3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承诺人：</w:t>
      </w:r>
    </w:p>
    <w:p w14:paraId="269D9A51">
      <w:pPr>
        <w:widowControl/>
        <w:shd w:val="clear" w:color="auto" w:fill="FFFFFF"/>
        <w:spacing w:line="450" w:lineRule="atLeast"/>
        <w:ind w:right="3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承诺时间：   年   月   日</w:t>
      </w:r>
    </w:p>
    <w:p w14:paraId="0735D977">
      <w:pPr>
        <w:spacing w:line="380" w:lineRule="exact"/>
      </w:pPr>
    </w:p>
    <w:p w14:paraId="68AA902A">
      <w:pPr>
        <w:sectPr>
          <w:footerReference r:id="rId5" w:type="first"/>
          <w:footerReference r:id="rId4" w:type="default"/>
          <w:pgSz w:w="11906" w:h="16838"/>
          <w:pgMar w:top="1440" w:right="1800" w:bottom="1440" w:left="1800" w:header="851" w:footer="992" w:gutter="0"/>
          <w:pgNumType w:fmt="decimal" w:start="17"/>
          <w:cols w:space="720" w:num="1"/>
          <w:titlePg/>
          <w:docGrid w:type="lines" w:linePitch="312" w:charSpace="0"/>
        </w:sectPr>
      </w:pPr>
    </w:p>
    <w:p w14:paraId="1BF64ED3">
      <w:pPr>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保 证 书</w:t>
      </w:r>
    </w:p>
    <w:p w14:paraId="533AA5CE">
      <w:pPr>
        <w:spacing w:line="360" w:lineRule="auto"/>
        <w:rPr>
          <w:rFonts w:hint="eastAsia" w:ascii="仿宋_GB2312" w:hAnsi="仿宋_GB2312" w:eastAsia="仿宋_GB2312" w:cs="仿宋_GB2312"/>
          <w:sz w:val="32"/>
          <w:szCs w:val="32"/>
        </w:rPr>
      </w:pPr>
    </w:p>
    <w:p w14:paraId="0BF7AFAC">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杭州市城投服务集团有限公司 </w:t>
      </w:r>
      <w:r>
        <w:rPr>
          <w:rFonts w:hint="eastAsia" w:ascii="仿宋_GB2312" w:hAnsi="仿宋_GB2312" w:eastAsia="仿宋_GB2312" w:cs="仿宋_GB2312"/>
          <w:sz w:val="32"/>
          <w:szCs w:val="32"/>
          <w:lang w:eastAsia="zh-CN"/>
        </w:rPr>
        <w:t>：</w:t>
      </w:r>
    </w:p>
    <w:p w14:paraId="381B192D">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鉴于</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日与贵公司就承租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物业签订了《</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房屋</w:t>
      </w:r>
      <w:r>
        <w:rPr>
          <w:rFonts w:hint="eastAsia" w:ascii="仿宋_GB2312" w:hAnsi="仿宋_GB2312" w:eastAsia="仿宋_GB2312" w:cs="仿宋_GB2312"/>
          <w:sz w:val="32"/>
          <w:szCs w:val="32"/>
        </w:rPr>
        <w:t>租赁合同》（下称“《租赁合同》”）。</w:t>
      </w:r>
      <w:r>
        <w:rPr>
          <w:rFonts w:hint="eastAsia" w:ascii="仿宋_GB2312" w:hAnsi="仿宋_GB2312" w:eastAsia="仿宋_GB2312" w:cs="仿宋_GB2312"/>
          <w:sz w:val="32"/>
          <w:szCs w:val="32"/>
          <w:lang w:val="en-US" w:eastAsia="zh-CN"/>
        </w:rPr>
        <w:t>我方</w:t>
      </w:r>
      <w:r>
        <w:rPr>
          <w:rFonts w:hint="eastAsia" w:ascii="仿宋_GB2312" w:hAnsi="仿宋_GB2312" w:eastAsia="仿宋_GB2312" w:cs="仿宋_GB2312"/>
          <w:sz w:val="32"/>
          <w:szCs w:val="32"/>
        </w:rPr>
        <w:t>同意出具本保证书，自愿以□本公司 □本人名下的所有财产和权益为</w:t>
      </w:r>
      <w:r>
        <w:rPr>
          <w:rFonts w:hint="eastAsia" w:ascii="仿宋_GB2312" w:hAnsi="仿宋_GB2312" w:eastAsia="仿宋_GB2312" w:cs="仿宋_GB2312"/>
          <w:sz w:val="32"/>
          <w:szCs w:val="32"/>
          <w:lang w:eastAsia="zh-CN"/>
        </w:rPr>
        <w:t>乙方</w:t>
      </w:r>
      <w:r>
        <w:rPr>
          <w:rFonts w:hint="eastAsia" w:ascii="仿宋_GB2312" w:hAnsi="仿宋_GB2312" w:eastAsia="仿宋_GB2312" w:cs="仿宋_GB2312"/>
          <w:sz w:val="32"/>
          <w:szCs w:val="32"/>
          <w:lang w:val="en-US" w:eastAsia="zh-CN"/>
        </w:rPr>
        <w:t>及实际经营主体</w:t>
      </w:r>
      <w:r>
        <w:rPr>
          <w:rFonts w:hint="eastAsia" w:ascii="仿宋_GB2312" w:hAnsi="仿宋_GB2312" w:eastAsia="仿宋_GB2312" w:cs="仿宋_GB2312"/>
          <w:sz w:val="32"/>
          <w:szCs w:val="32"/>
        </w:rPr>
        <w:t xml:space="preserve">履行此《租赁合同》及其后的变更、补充条款承担不可撤销的无限连带责任。 </w:t>
      </w:r>
    </w:p>
    <w:p w14:paraId="02A195F7">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因履行本保证书发生争议，经协商未能解决的，应向《租赁合同》中的物业所在地法院提起诉讼。</w:t>
      </w:r>
    </w:p>
    <w:p w14:paraId="0C02C434">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p>
    <w:p w14:paraId="612DBD75">
      <w:pPr>
        <w:spacing w:line="360" w:lineRule="auto"/>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连带责任保证人： </w:t>
      </w:r>
    </w:p>
    <w:p w14:paraId="32CA15AD">
      <w:pPr>
        <w:spacing w:line="360" w:lineRule="auto"/>
        <w:rPr>
          <w:rFonts w:hint="eastAsia" w:ascii="仿宋_GB2312" w:hAnsi="仿宋_GB2312" w:eastAsia="仿宋_GB2312" w:cs="仿宋_GB2312"/>
          <w:sz w:val="32"/>
          <w:szCs w:val="32"/>
        </w:rPr>
      </w:pPr>
    </w:p>
    <w:p w14:paraId="0DAE52C9">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年    月    日</w:t>
      </w:r>
    </w:p>
    <w:p w14:paraId="73AAA0B0">
      <w:pPr>
        <w:spacing w:line="360" w:lineRule="auto"/>
        <w:rPr>
          <w:sz w:val="28"/>
          <w:szCs w:val="28"/>
        </w:rPr>
      </w:pPr>
    </w:p>
    <w:p w14:paraId="73E37E90">
      <w:pPr>
        <w:spacing w:line="360" w:lineRule="auto"/>
        <w:rPr>
          <w:sz w:val="28"/>
          <w:szCs w:val="28"/>
        </w:rPr>
      </w:pPr>
    </w:p>
    <w:p w14:paraId="797B599D">
      <w:pPr>
        <w:spacing w:line="360" w:lineRule="auto"/>
        <w:rPr>
          <w:sz w:val="28"/>
          <w:szCs w:val="28"/>
        </w:rPr>
      </w:pPr>
    </w:p>
    <w:p w14:paraId="3AB3FBC6">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w:t>
      </w:r>
      <w:r>
        <w:rPr>
          <w:rFonts w:hint="eastAsia" w:ascii="仿宋_GB2312" w:hAnsi="仿宋_GB2312" w:eastAsia="仿宋_GB2312" w:cs="仿宋_GB2312"/>
          <w:sz w:val="32"/>
          <w:szCs w:val="32"/>
          <w:lang w:eastAsia="zh-CN"/>
        </w:rPr>
        <w:t>个人</w:t>
      </w:r>
      <w:r>
        <w:rPr>
          <w:rFonts w:hint="eastAsia" w:ascii="仿宋_GB2312" w:hAnsi="仿宋_GB2312" w:eastAsia="仿宋_GB2312" w:cs="仿宋_GB2312"/>
          <w:sz w:val="32"/>
          <w:szCs w:val="32"/>
        </w:rPr>
        <w:t xml:space="preserve">提供身份证号码复印件 </w:t>
      </w:r>
    </w:p>
    <w:p w14:paraId="5FF9B806">
      <w:pPr>
        <w:ind w:firstLine="640" w:firstLineChars="200"/>
        <w:rPr>
          <w:rFonts w:eastAsia="仿宋_GB2312"/>
          <w:sz w:val="32"/>
          <w:szCs w:val="32"/>
        </w:rPr>
      </w:pP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提供营业执照复印件、组织机构代码证复印件</w:t>
      </w:r>
    </w:p>
    <w:p w14:paraId="0667149C">
      <w:pPr>
        <w:ind w:firstLine="0" w:firstLineChars="0"/>
        <w:rPr>
          <w:rFonts w:eastAsia="仿宋_GB2312"/>
          <w:sz w:val="32"/>
          <w:szCs w:val="32"/>
        </w:rPr>
      </w:pPr>
    </w:p>
    <w:p w14:paraId="084D2A6F">
      <w:pPr>
        <w:pStyle w:val="16"/>
        <w:ind w:left="0" w:leftChars="0" w:firstLine="0"/>
        <w:jc w:val="center"/>
        <w:rPr>
          <w:rFonts w:hint="eastAsia" w:ascii="黑体" w:hAnsi="黑体" w:eastAsia="黑体" w:cs="黑体"/>
          <w:spacing w:val="0"/>
          <w:kern w:val="2"/>
          <w:sz w:val="32"/>
          <w:szCs w:val="32"/>
          <w:lang w:bidi="ar"/>
        </w:rPr>
      </w:pPr>
      <w:r>
        <w:rPr>
          <w:rFonts w:hint="eastAsia" w:ascii="黑体" w:hAnsi="黑体" w:eastAsia="黑体" w:cs="黑体"/>
          <w:spacing w:val="0"/>
          <w:kern w:val="2"/>
          <w:sz w:val="32"/>
          <w:szCs w:val="32"/>
          <w:vertAlign w:val="baseline"/>
          <w:lang w:val="en-US" w:eastAsia="zh-CN" w:bidi="ar"/>
        </w:rPr>
        <w:t>戒坛寺巷21号在租</w:t>
      </w:r>
      <w:r>
        <w:rPr>
          <w:rFonts w:hint="eastAsia" w:ascii="黑体" w:hAnsi="黑体" w:eastAsia="黑体" w:cs="黑体"/>
          <w:color w:val="auto"/>
          <w:spacing w:val="0"/>
          <w:kern w:val="2"/>
          <w:sz w:val="32"/>
          <w:szCs w:val="32"/>
          <w:highlight w:val="none"/>
          <w:lang w:bidi="ar"/>
        </w:rPr>
        <w:t>租户清单</w:t>
      </w:r>
    </w:p>
    <w:p w14:paraId="6FFF5E29">
      <w:pPr>
        <w:pStyle w:val="16"/>
        <w:ind w:left="0" w:leftChars="0" w:firstLine="0"/>
        <w:jc w:val="center"/>
        <w:rPr>
          <w:rFonts w:hint="eastAsia" w:ascii="黑体" w:hAnsi="黑体" w:eastAsia="黑体" w:cs="黑体"/>
          <w:spacing w:val="0"/>
          <w:kern w:val="2"/>
          <w:sz w:val="32"/>
          <w:szCs w:val="32"/>
          <w:lang w:val="en-US" w:eastAsia="zh-CN" w:bidi="ar"/>
        </w:rPr>
      </w:pPr>
    </w:p>
    <w:tbl>
      <w:tblPr>
        <w:tblStyle w:val="8"/>
        <w:tblW w:w="91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25"/>
        <w:gridCol w:w="581"/>
        <w:gridCol w:w="809"/>
        <w:gridCol w:w="809"/>
        <w:gridCol w:w="809"/>
        <w:gridCol w:w="922"/>
        <w:gridCol w:w="744"/>
        <w:gridCol w:w="1016"/>
        <w:gridCol w:w="1700"/>
        <w:gridCol w:w="865"/>
      </w:tblGrid>
      <w:tr w14:paraId="0994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7" w:hRule="atLeast"/>
          <w:tblHeader/>
          <w:jc w:val="center"/>
        </w:trPr>
        <w:tc>
          <w:tcPr>
            <w:tcW w:w="92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CC027B">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商铺名称</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8095">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面积（㎡）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4B3FD0">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签约日期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56AB4">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租赁起始日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A39D8">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租赁终止日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80D36">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首年日租金（元/天·㎡）</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665F">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免租期(天)</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836F">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实际用途</w:t>
            </w:r>
          </w:p>
        </w:tc>
        <w:tc>
          <w:tcPr>
            <w:tcW w:w="1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BCE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承租方</w:t>
            </w:r>
          </w:p>
        </w:tc>
        <w:tc>
          <w:tcPr>
            <w:tcW w:w="865"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94621E6">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付款方式</w:t>
            </w:r>
          </w:p>
        </w:tc>
      </w:tr>
      <w:tr w14:paraId="5FBA8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92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65B3F89">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2号楼商铺</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F5CE6">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E951">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2024-08-11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9F912">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2024-08-11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9AFE">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2027-08-10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7613B">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5.5</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75C0">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D214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超市</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D1680">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黄礼萍</w:t>
            </w:r>
          </w:p>
        </w:tc>
        <w:tc>
          <w:tcPr>
            <w:tcW w:w="86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FCA170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一季一付</w:t>
            </w:r>
          </w:p>
        </w:tc>
      </w:tr>
      <w:tr w14:paraId="5367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92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5618FE5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106仓库</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670B8">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6B3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63364">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79608">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2028-05-14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92CA0">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6567B">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30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1700">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仓库</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E36B4">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杭州通柳商务服务有限公司</w:t>
            </w:r>
          </w:p>
        </w:tc>
        <w:tc>
          <w:tcPr>
            <w:tcW w:w="86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6882D75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一季一付</w:t>
            </w:r>
          </w:p>
        </w:tc>
      </w:tr>
      <w:tr w14:paraId="5F6DA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jc w:val="center"/>
        </w:trPr>
        <w:tc>
          <w:tcPr>
            <w:tcW w:w="92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14:paraId="728328CE">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105仓库</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416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A16E2">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8DB4">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E878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2028-05-14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5D9FE">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A3C51">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30</w:t>
            </w:r>
          </w:p>
        </w:tc>
        <w:tc>
          <w:tcPr>
            <w:tcW w:w="1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098F">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仓库</w:t>
            </w:r>
          </w:p>
        </w:tc>
        <w:tc>
          <w:tcPr>
            <w:tcW w:w="1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40BA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杭州通柳商务服务有限公司</w:t>
            </w:r>
          </w:p>
        </w:tc>
        <w:tc>
          <w:tcPr>
            <w:tcW w:w="865" w:type="dxa"/>
            <w:tcBorders>
              <w:top w:val="single" w:color="000000" w:sz="4" w:space="0"/>
              <w:left w:val="single" w:color="000000" w:sz="4" w:space="0"/>
              <w:bottom w:val="single" w:color="000000" w:sz="4" w:space="0"/>
              <w:right w:val="single" w:color="000000" w:sz="8" w:space="0"/>
            </w:tcBorders>
            <w:shd w:val="clear" w:color="auto" w:fill="auto"/>
            <w:noWrap/>
            <w:vAlign w:val="center"/>
          </w:tcPr>
          <w:p w14:paraId="051B2AE1">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一季一付</w:t>
            </w:r>
          </w:p>
        </w:tc>
      </w:tr>
      <w:tr w14:paraId="7DBE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92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14:paraId="7124523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102仓库</w:t>
            </w:r>
          </w:p>
        </w:tc>
        <w:tc>
          <w:tcPr>
            <w:tcW w:w="581"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7E11BD23">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14</w:t>
            </w:r>
          </w:p>
        </w:tc>
        <w:tc>
          <w:tcPr>
            <w:tcW w:w="809"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6F1D029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2025-05-15</w:t>
            </w:r>
          </w:p>
        </w:tc>
        <w:tc>
          <w:tcPr>
            <w:tcW w:w="809"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247F5DBF">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2025-05-15</w:t>
            </w:r>
          </w:p>
        </w:tc>
        <w:tc>
          <w:tcPr>
            <w:tcW w:w="809"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12EE4C4D">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2028-05-14</w:t>
            </w:r>
          </w:p>
        </w:tc>
        <w:tc>
          <w:tcPr>
            <w:tcW w:w="922"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428E7404">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1.17</w:t>
            </w:r>
          </w:p>
        </w:tc>
        <w:tc>
          <w:tcPr>
            <w:tcW w:w="744"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340D15FC">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30</w:t>
            </w:r>
          </w:p>
        </w:tc>
        <w:tc>
          <w:tcPr>
            <w:tcW w:w="1016"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2AEB1D07">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仓库</w:t>
            </w:r>
          </w:p>
        </w:tc>
        <w:tc>
          <w:tcPr>
            <w:tcW w:w="1700"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74414409">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郑乃强</w:t>
            </w:r>
          </w:p>
        </w:tc>
        <w:tc>
          <w:tcPr>
            <w:tcW w:w="865" w:type="dxa"/>
            <w:tcBorders>
              <w:top w:val="single" w:color="000000" w:sz="4" w:space="0"/>
              <w:left w:val="single" w:color="000000" w:sz="4" w:space="0"/>
              <w:bottom w:val="single" w:color="000000" w:sz="8" w:space="0"/>
              <w:right w:val="single" w:color="000000" w:sz="8" w:space="0"/>
            </w:tcBorders>
            <w:shd w:val="clear" w:color="auto" w:fill="auto"/>
            <w:noWrap/>
            <w:vAlign w:val="center"/>
          </w:tcPr>
          <w:p w14:paraId="599F9E09">
            <w:pPr>
              <w:keepNext w:val="0"/>
              <w:keepLines w:val="0"/>
              <w:widowControl/>
              <w:suppressLineNumbers w:val="0"/>
              <w:snapToGrid w:val="0"/>
              <w:ind w:left="0" w:leftChars="0" w:right="0" w:rightChars="0" w:firstLine="0" w:firstLineChars="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一季一付</w:t>
            </w:r>
          </w:p>
        </w:tc>
      </w:tr>
    </w:tbl>
    <w:p w14:paraId="379FB9F3">
      <w:pPr>
        <w:ind w:firstLine="0" w:firstLineChars="0"/>
        <w:rPr>
          <w:rFonts w:eastAsia="仿宋_GB2312"/>
          <w:sz w:val="32"/>
          <w:szCs w:val="32"/>
        </w:rPr>
      </w:pPr>
    </w:p>
    <w:sectPr>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7EC4">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ADA898">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ADA898">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4DC5">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391611">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0391611">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05CBB">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0B19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F10B19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453F6">
    <w:pPr>
      <w:tabs>
        <w:tab w:val="center" w:pos="4153"/>
        <w:tab w:val="right" w:pos="8306"/>
      </w:tabs>
      <w:snapToGrid w:val="0"/>
      <w:jc w:val="left"/>
      <w:rPr>
        <w:kern w:val="0"/>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032D29">
                          <w:pPr>
                            <w:pStyle w:val="4"/>
                            <w:rPr>
                              <w:rFonts w:ascii="宋体" w:hAnsi="宋体" w:cs="宋体"/>
                              <w:sz w:val="24"/>
                              <w:szCs w:val="24"/>
                              <w:lang w:eastAsia="zh"/>
                            </w:rPr>
                          </w:pPr>
                          <w:r>
                            <w:rPr>
                              <w:rFonts w:hint="eastAsia" w:ascii="宋体" w:hAnsi="宋体" w:cs="宋体"/>
                              <w:sz w:val="24"/>
                              <w:szCs w:val="24"/>
                              <w:lang w:eastAsia="zh"/>
                            </w:rPr>
                            <w:fldChar w:fldCharType="begin"/>
                          </w:r>
                          <w:r>
                            <w:rPr>
                              <w:rFonts w:hint="eastAsia" w:ascii="宋体" w:hAnsi="宋体" w:cs="宋体"/>
                              <w:sz w:val="24"/>
                              <w:szCs w:val="24"/>
                              <w:lang w:eastAsia="zh"/>
                            </w:rPr>
                            <w:instrText xml:space="preserve"> PAGE  \* MERGEFORMAT </w:instrText>
                          </w:r>
                          <w:r>
                            <w:rPr>
                              <w:rFonts w:hint="eastAsia" w:ascii="宋体" w:hAnsi="宋体" w:cs="宋体"/>
                              <w:sz w:val="24"/>
                              <w:szCs w:val="24"/>
                              <w:lang w:eastAsia="zh"/>
                            </w:rPr>
                            <w:fldChar w:fldCharType="separate"/>
                          </w:r>
                          <w:r>
                            <w:rPr>
                              <w:rFonts w:ascii="宋体" w:hAnsi="宋体" w:cs="宋体"/>
                              <w:sz w:val="24"/>
                              <w:szCs w:val="24"/>
                              <w:lang w:eastAsia="zh"/>
                            </w:rPr>
                            <w:t>- 20 -</w:t>
                          </w:r>
                          <w:r>
                            <w:rPr>
                              <w:rFonts w:hint="eastAsia" w:ascii="宋体" w:hAnsi="宋体" w:cs="宋体"/>
                              <w:sz w:val="24"/>
                              <w:szCs w:val="24"/>
                              <w:lang w:eastAsia="zh"/>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1032D29">
                    <w:pPr>
                      <w:pStyle w:val="4"/>
                      <w:rPr>
                        <w:rFonts w:ascii="宋体" w:hAnsi="宋体" w:cs="宋体"/>
                        <w:sz w:val="24"/>
                        <w:szCs w:val="24"/>
                        <w:lang w:eastAsia="zh"/>
                      </w:rPr>
                    </w:pPr>
                    <w:r>
                      <w:rPr>
                        <w:rFonts w:hint="eastAsia" w:ascii="宋体" w:hAnsi="宋体" w:cs="宋体"/>
                        <w:sz w:val="24"/>
                        <w:szCs w:val="24"/>
                        <w:lang w:eastAsia="zh"/>
                      </w:rPr>
                      <w:fldChar w:fldCharType="begin"/>
                    </w:r>
                    <w:r>
                      <w:rPr>
                        <w:rFonts w:hint="eastAsia" w:ascii="宋体" w:hAnsi="宋体" w:cs="宋体"/>
                        <w:sz w:val="24"/>
                        <w:szCs w:val="24"/>
                        <w:lang w:eastAsia="zh"/>
                      </w:rPr>
                      <w:instrText xml:space="preserve"> PAGE  \* MERGEFORMAT </w:instrText>
                    </w:r>
                    <w:r>
                      <w:rPr>
                        <w:rFonts w:hint="eastAsia" w:ascii="宋体" w:hAnsi="宋体" w:cs="宋体"/>
                        <w:sz w:val="24"/>
                        <w:szCs w:val="24"/>
                        <w:lang w:eastAsia="zh"/>
                      </w:rPr>
                      <w:fldChar w:fldCharType="separate"/>
                    </w:r>
                    <w:r>
                      <w:rPr>
                        <w:rFonts w:ascii="宋体" w:hAnsi="宋体" w:cs="宋体"/>
                        <w:sz w:val="24"/>
                        <w:szCs w:val="24"/>
                        <w:lang w:eastAsia="zh"/>
                      </w:rPr>
                      <w:t>- 20 -</w:t>
                    </w:r>
                    <w:r>
                      <w:rPr>
                        <w:rFonts w:hint="eastAsia" w:ascii="宋体" w:hAnsi="宋体" w:cs="宋体"/>
                        <w:sz w:val="24"/>
                        <w:szCs w:val="24"/>
                        <w:lang w:eastAsia="zh"/>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726F5"/>
    <w:rsid w:val="00197F38"/>
    <w:rsid w:val="0061508D"/>
    <w:rsid w:val="006172DE"/>
    <w:rsid w:val="0066296B"/>
    <w:rsid w:val="00843D58"/>
    <w:rsid w:val="008D6CF2"/>
    <w:rsid w:val="00AB5071"/>
    <w:rsid w:val="00BB3051"/>
    <w:rsid w:val="00BB7F85"/>
    <w:rsid w:val="00C255D3"/>
    <w:rsid w:val="00C55176"/>
    <w:rsid w:val="00EA582C"/>
    <w:rsid w:val="00FE33B1"/>
    <w:rsid w:val="02092611"/>
    <w:rsid w:val="03CC3F79"/>
    <w:rsid w:val="0596483F"/>
    <w:rsid w:val="07B726F5"/>
    <w:rsid w:val="0A344626"/>
    <w:rsid w:val="102E110C"/>
    <w:rsid w:val="10876659"/>
    <w:rsid w:val="12B65FD1"/>
    <w:rsid w:val="14462F7A"/>
    <w:rsid w:val="153F6889"/>
    <w:rsid w:val="155C2C83"/>
    <w:rsid w:val="16D25CAF"/>
    <w:rsid w:val="1785002B"/>
    <w:rsid w:val="1847137D"/>
    <w:rsid w:val="19560BCD"/>
    <w:rsid w:val="1C315E4F"/>
    <w:rsid w:val="1C9B4A96"/>
    <w:rsid w:val="1E751838"/>
    <w:rsid w:val="22765384"/>
    <w:rsid w:val="235316EB"/>
    <w:rsid w:val="2573204F"/>
    <w:rsid w:val="29B36EBE"/>
    <w:rsid w:val="2A0C02D1"/>
    <w:rsid w:val="2C1835AE"/>
    <w:rsid w:val="32873D2E"/>
    <w:rsid w:val="35E825E5"/>
    <w:rsid w:val="368F1EB1"/>
    <w:rsid w:val="36F67AB7"/>
    <w:rsid w:val="3EE85404"/>
    <w:rsid w:val="41597EF3"/>
    <w:rsid w:val="41E3506D"/>
    <w:rsid w:val="42C603F9"/>
    <w:rsid w:val="433C5D1E"/>
    <w:rsid w:val="476B6BD2"/>
    <w:rsid w:val="4A645A31"/>
    <w:rsid w:val="4C451577"/>
    <w:rsid w:val="4F5B190E"/>
    <w:rsid w:val="51730B5D"/>
    <w:rsid w:val="53AA385B"/>
    <w:rsid w:val="58136BF6"/>
    <w:rsid w:val="5E37484F"/>
    <w:rsid w:val="60566219"/>
    <w:rsid w:val="62F722BA"/>
    <w:rsid w:val="69F20D1D"/>
    <w:rsid w:val="6F777239"/>
    <w:rsid w:val="6FB02956"/>
    <w:rsid w:val="712068AA"/>
    <w:rsid w:val="71FA58F2"/>
    <w:rsid w:val="72DF68B7"/>
    <w:rsid w:val="74836A59"/>
    <w:rsid w:val="78BB2C66"/>
    <w:rsid w:val="7F563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Balloon Text"/>
    <w:basedOn w:val="1"/>
    <w:link w:val="12"/>
    <w:qFormat/>
    <w:uiPriority w:val="0"/>
    <w:rPr>
      <w:sz w:val="18"/>
      <w:szCs w:val="18"/>
    </w:rPr>
  </w:style>
  <w:style w:type="paragraph" w:styleId="4">
    <w:name w:val="footer"/>
    <w:basedOn w:val="1"/>
    <w:unhideWhenUsed/>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14"/>
    <w:qFormat/>
    <w:uiPriority w:val="0"/>
    <w:rPr>
      <w:b/>
      <w:bCs/>
    </w:rPr>
  </w:style>
  <w:style w:type="character" w:styleId="10">
    <w:name w:val="Strong"/>
    <w:basedOn w:val="9"/>
    <w:qFormat/>
    <w:uiPriority w:val="0"/>
    <w:rPr>
      <w:b/>
    </w:rPr>
  </w:style>
  <w:style w:type="character" w:styleId="11">
    <w:name w:val="annotation reference"/>
    <w:basedOn w:val="9"/>
    <w:qFormat/>
    <w:uiPriority w:val="0"/>
    <w:rPr>
      <w:sz w:val="21"/>
      <w:szCs w:val="21"/>
    </w:rPr>
  </w:style>
  <w:style w:type="character" w:customStyle="1" w:styleId="12">
    <w:name w:val="批注框文本 Char"/>
    <w:basedOn w:val="9"/>
    <w:link w:val="3"/>
    <w:qFormat/>
    <w:uiPriority w:val="0"/>
    <w:rPr>
      <w:kern w:val="2"/>
      <w:sz w:val="18"/>
      <w:szCs w:val="18"/>
    </w:rPr>
  </w:style>
  <w:style w:type="character" w:customStyle="1" w:styleId="13">
    <w:name w:val="批注文字 Char"/>
    <w:basedOn w:val="9"/>
    <w:link w:val="2"/>
    <w:qFormat/>
    <w:uiPriority w:val="0"/>
    <w:rPr>
      <w:kern w:val="2"/>
      <w:sz w:val="21"/>
      <w:szCs w:val="24"/>
    </w:rPr>
  </w:style>
  <w:style w:type="character" w:customStyle="1" w:styleId="14">
    <w:name w:val="批注主题 Char"/>
    <w:basedOn w:val="13"/>
    <w:link w:val="7"/>
    <w:qFormat/>
    <w:uiPriority w:val="0"/>
    <w:rPr>
      <w:b/>
      <w:bCs/>
      <w:kern w:val="2"/>
      <w:sz w:val="21"/>
      <w:szCs w:val="24"/>
    </w:rPr>
  </w:style>
  <w:style w:type="character" w:customStyle="1" w:styleId="15">
    <w:name w:val="页眉 Char"/>
    <w:basedOn w:val="9"/>
    <w:link w:val="5"/>
    <w:qFormat/>
    <w:uiPriority w:val="0"/>
    <w:rPr>
      <w:kern w:val="2"/>
      <w:sz w:val="18"/>
      <w:szCs w:val="18"/>
    </w:rPr>
  </w:style>
  <w:style w:type="paragraph" w:customStyle="1" w:styleId="16">
    <w:name w:val="正文文本首行缩进 21"/>
    <w:qFormat/>
    <w:uiPriority w:val="99"/>
    <w:pPr>
      <w:widowControl w:val="0"/>
      <w:tabs>
        <w:tab w:val="right" w:leader="dot" w:pos="8268"/>
      </w:tabs>
      <w:autoSpaceDE w:val="0"/>
      <w:autoSpaceDN w:val="0"/>
      <w:adjustRightInd w:val="0"/>
      <w:spacing w:after="180" w:line="200" w:lineRule="atLeast"/>
      <w:ind w:left="840" w:leftChars="400" w:firstLine="420"/>
      <w:jc w:val="left"/>
    </w:pPr>
    <w:rPr>
      <w:rFonts w:hint="eastAsia" w:ascii="宋体" w:hAnsi="Times New Roman" w:eastAsia="仿宋_GB2312" w:cs="Times New Roman"/>
      <w:spacing w:val="-4"/>
      <w:kern w:val="0"/>
      <w:sz w:val="18"/>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1103</Words>
  <Characters>1125</Characters>
  <Lines>164</Lines>
  <Paragraphs>46</Paragraphs>
  <TotalTime>29</TotalTime>
  <ScaleCrop>false</ScaleCrop>
  <LinksUpToDate>false</LinksUpToDate>
  <CharactersWithSpaces>1241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2026-07-28T11:57:00Z</dcterms:created>
  <dc:creator>Psy</dc:creator>
  <cp:lastModifiedBy>YJD</cp:lastModifiedBy>
  <cp:lastPrinted>2026-10-26T07:01:00Z</cp:lastPrinted>
  <dcterms:modified xsi:type="dcterms:W3CDTF">2026-11-05T06:29:52Z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40EFE708D5164CD5AB3FB5BD980950DE_13</vt:lpwstr>
  </property>
  <property fmtid="{D5CDD505-2E9C-101B-9397-08002B2CF9AE}" pid="4" name="KSOTemplateDocerSaveRecord">
    <vt:lpwstr>eyJoZGlkIjoiMjE5YzAwMzQ0MTA1ZWM2NTI2YTQ4ODQzMzA3MDVlNzEiLCJ1c2VySWQiOiI4NzU3NTI4MTAifQ==</vt:lpwstr>
  </property>
</Properties>
</file>