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8B746">
      <w:pPr>
        <w:spacing w:line="400" w:lineRule="exact"/>
        <w:jc w:val="center"/>
        <w:rPr>
          <w:rFonts w:hint="eastAsia" w:ascii="黑体" w:hAnsi="黑体"/>
          <w:b/>
          <w:color w:val="auto"/>
          <w:sz w:val="36"/>
          <w:szCs w:val="36"/>
          <w:highlight w:val="none"/>
        </w:rPr>
      </w:pPr>
      <w:r>
        <w:rPr>
          <w:rFonts w:hint="eastAsia" w:ascii="仿宋" w:hAnsi="仿宋" w:eastAsia="仿宋" w:cs="仿宋"/>
          <w:b/>
          <w:color w:val="auto"/>
          <w:sz w:val="36"/>
          <w:szCs w:val="36"/>
          <w:highlight w:val="none"/>
          <w:lang w:val="en-US" w:eastAsia="zh-CN"/>
        </w:rPr>
        <w:t>杭钢物资大楼配套公寓</w:t>
      </w:r>
      <w:r>
        <w:rPr>
          <w:rFonts w:hint="eastAsia" w:ascii="仿宋" w:hAnsi="仿宋" w:eastAsia="仿宋" w:cs="仿宋"/>
          <w:b/>
          <w:color w:val="auto"/>
          <w:sz w:val="36"/>
          <w:szCs w:val="36"/>
          <w:highlight w:val="none"/>
        </w:rPr>
        <w:t>合同</w:t>
      </w:r>
    </w:p>
    <w:p w14:paraId="22FCDCAD">
      <w:pPr>
        <w:wordWrap w:val="0"/>
        <w:spacing w:line="280" w:lineRule="exact"/>
        <w:jc w:val="right"/>
        <w:rPr>
          <w:rFonts w:ascii="仿宋" w:hAnsi="仿宋" w:eastAsia="仿宋"/>
          <w:b/>
          <w:color w:val="auto"/>
          <w:sz w:val="24"/>
          <w:highlight w:val="none"/>
        </w:rPr>
      </w:pPr>
      <w:r>
        <w:rPr>
          <w:rFonts w:hint="eastAsia" w:ascii="仿宋" w:hAnsi="仿宋" w:eastAsia="仿宋"/>
          <w:color w:val="auto"/>
          <w:sz w:val="28"/>
          <w:szCs w:val="28"/>
          <w:highlight w:val="none"/>
        </w:rPr>
        <w:t>编号：</w:t>
      </w:r>
      <w:r>
        <w:rPr>
          <w:rFonts w:ascii="仿宋" w:hAnsi="仿宋" w:eastAsia="仿宋"/>
          <w:color w:val="auto"/>
          <w:sz w:val="28"/>
          <w:szCs w:val="28"/>
          <w:highlight w:val="none"/>
          <w:u w:val="single"/>
        </w:rPr>
        <w:t xml:space="preserve">   </w:t>
      </w:r>
      <w:r>
        <w:rPr>
          <w:rFonts w:hint="eastAsia" w:ascii="仿宋" w:hAnsi="仿宋" w:eastAsia="仿宋"/>
          <w:color w:val="auto"/>
          <w:sz w:val="28"/>
          <w:szCs w:val="28"/>
          <w:highlight w:val="none"/>
          <w:u w:val="single"/>
        </w:rPr>
        <w:t xml:space="preserve">    </w:t>
      </w:r>
      <w:r>
        <w:rPr>
          <w:rFonts w:ascii="仿宋" w:hAnsi="仿宋" w:eastAsia="仿宋"/>
          <w:color w:val="auto"/>
          <w:sz w:val="28"/>
          <w:szCs w:val="28"/>
          <w:highlight w:val="none"/>
          <w:u w:val="single"/>
        </w:rPr>
        <w:t xml:space="preserve">  </w:t>
      </w:r>
    </w:p>
    <w:p w14:paraId="5CA2DFCA">
      <w:pPr>
        <w:spacing w:line="360" w:lineRule="auto"/>
        <w:rPr>
          <w:rFonts w:ascii="仿宋" w:hAnsi="仿宋" w:eastAsia="仿宋"/>
          <w:b/>
          <w:color w:val="auto"/>
          <w:sz w:val="24"/>
          <w:highlight w:val="none"/>
        </w:rPr>
      </w:pPr>
    </w:p>
    <w:p w14:paraId="1BA45A5B">
      <w:pPr>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 xml:space="preserve">甲方： </w:t>
      </w:r>
      <w:r>
        <w:rPr>
          <w:rFonts w:hint="eastAsia" w:ascii="仿宋" w:hAnsi="仿宋" w:eastAsia="仿宋"/>
          <w:b/>
          <w:bCs w:val="0"/>
          <w:sz w:val="24"/>
        </w:rPr>
        <w:t>杭州运河辰祥工业遗址综合保护开发有限公司</w:t>
      </w:r>
    </w:p>
    <w:p w14:paraId="73CA841E">
      <w:pPr>
        <w:pStyle w:val="16"/>
        <w:spacing w:line="360" w:lineRule="auto"/>
        <w:ind w:firstLine="0" w:firstLineChars="0"/>
        <w:rPr>
          <w:rFonts w:hint="eastAsia" w:ascii="仿宋" w:hAnsi="仿宋" w:eastAsia="仿宋" w:cs="仿宋"/>
          <w:b/>
          <w:bCs/>
          <w:color w:val="auto"/>
          <w:sz w:val="24"/>
          <w:highlight w:val="none"/>
          <w:lang w:val="en-US"/>
        </w:rPr>
      </w:pPr>
      <w:r>
        <w:rPr>
          <w:rFonts w:hint="eastAsia" w:ascii="仿宋" w:hAnsi="仿宋" w:eastAsia="仿宋" w:cs="仿宋"/>
          <w:b/>
          <w:bCs/>
          <w:color w:val="auto"/>
          <w:sz w:val="24"/>
          <w:highlight w:val="none"/>
          <w:lang w:val="en-US"/>
        </w:rPr>
        <w:t>统一社会信用代码：</w:t>
      </w:r>
    </w:p>
    <w:p w14:paraId="03296A32">
      <w:pPr>
        <w:pStyle w:val="16"/>
        <w:spacing w:line="360" w:lineRule="auto"/>
        <w:ind w:firstLine="0" w:firstLineChars="0"/>
        <w:rPr>
          <w:rFonts w:ascii="仿宋" w:hAnsi="仿宋" w:eastAsia="仿宋" w:cs="仿宋"/>
          <w:b/>
          <w:bCs/>
          <w:color w:val="auto"/>
          <w:sz w:val="24"/>
          <w:highlight w:val="none"/>
          <w:lang w:val="en-US"/>
        </w:rPr>
      </w:pPr>
      <w:r>
        <w:rPr>
          <w:rFonts w:hint="eastAsia" w:ascii="仿宋" w:hAnsi="仿宋" w:eastAsia="仿宋" w:cs="仿宋"/>
          <w:b/>
          <w:bCs/>
          <w:color w:val="auto"/>
          <w:sz w:val="24"/>
          <w:highlight w:val="none"/>
          <w:lang w:val="en-US"/>
        </w:rPr>
        <w:t>法定代表人：</w:t>
      </w:r>
    </w:p>
    <w:p w14:paraId="72E45B5D">
      <w:pPr>
        <w:spacing w:line="360" w:lineRule="auto"/>
        <w:rPr>
          <w:rFonts w:ascii="仿宋" w:hAnsi="仿宋" w:eastAsia="仿宋"/>
          <w:b/>
          <w:color w:val="auto"/>
          <w:sz w:val="24"/>
          <w:highlight w:val="none"/>
        </w:rPr>
      </w:pPr>
      <w:r>
        <w:rPr>
          <w:rFonts w:hint="eastAsia" w:ascii="仿宋" w:hAnsi="仿宋" w:eastAsia="仿宋"/>
          <w:b/>
          <w:color w:val="auto"/>
          <w:sz w:val="24"/>
          <w:highlight w:val="none"/>
        </w:rPr>
        <w:t>地址：</w:t>
      </w:r>
      <w:r>
        <w:rPr>
          <w:rFonts w:ascii="仿宋" w:hAnsi="仿宋" w:eastAsia="仿宋"/>
          <w:b/>
          <w:color w:val="auto"/>
          <w:sz w:val="24"/>
          <w:highlight w:val="none"/>
        </w:rPr>
        <w:t xml:space="preserve">     </w:t>
      </w:r>
    </w:p>
    <w:p w14:paraId="79A9D29D">
      <w:pPr>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联系人：</w:t>
      </w:r>
    </w:p>
    <w:p w14:paraId="3130AEFC">
      <w:pPr>
        <w:spacing w:line="360" w:lineRule="auto"/>
        <w:rPr>
          <w:rFonts w:ascii="仿宋" w:hAnsi="仿宋" w:eastAsia="仿宋"/>
          <w:b/>
          <w:color w:val="auto"/>
          <w:sz w:val="24"/>
          <w:highlight w:val="none"/>
        </w:rPr>
      </w:pPr>
      <w:r>
        <w:rPr>
          <w:rFonts w:hint="eastAsia" w:ascii="仿宋" w:hAnsi="仿宋" w:eastAsia="仿宋"/>
          <w:b/>
          <w:color w:val="auto"/>
          <w:sz w:val="24"/>
          <w:highlight w:val="none"/>
        </w:rPr>
        <w:t xml:space="preserve">电话：  </w:t>
      </w:r>
    </w:p>
    <w:p w14:paraId="17005BA7">
      <w:pPr>
        <w:tabs>
          <w:tab w:val="left" w:pos="555"/>
        </w:tabs>
        <w:spacing w:line="360" w:lineRule="auto"/>
        <w:rPr>
          <w:rFonts w:ascii="仿宋" w:hAnsi="仿宋" w:eastAsia="仿宋"/>
          <w:b/>
          <w:color w:val="auto"/>
          <w:sz w:val="24"/>
          <w:highlight w:val="none"/>
        </w:rPr>
      </w:pPr>
    </w:p>
    <w:p w14:paraId="01D364ED">
      <w:pPr>
        <w:tabs>
          <w:tab w:val="left" w:pos="2640"/>
        </w:tabs>
        <w:spacing w:line="360" w:lineRule="auto"/>
        <w:rPr>
          <w:rFonts w:hint="eastAsia" w:ascii="仿宋" w:hAnsi="仿宋" w:eastAsia="仿宋"/>
          <w:b/>
          <w:sz w:val="24"/>
          <w:lang w:val="en-US" w:eastAsia="zh-CN"/>
        </w:rPr>
      </w:pPr>
      <w:r>
        <w:rPr>
          <w:rFonts w:hint="eastAsia" w:ascii="仿宋" w:hAnsi="仿宋" w:eastAsia="仿宋"/>
          <w:b/>
          <w:color w:val="auto"/>
          <w:sz w:val="24"/>
          <w:highlight w:val="none"/>
        </w:rPr>
        <w:t>乙方：</w:t>
      </w:r>
    </w:p>
    <w:p w14:paraId="4D33B92F">
      <w:pPr>
        <w:tabs>
          <w:tab w:val="left" w:pos="2640"/>
        </w:tabs>
        <w:spacing w:line="360" w:lineRule="auto"/>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rPr>
        <w:t>统一社会信用代码/居民身份证号：</w:t>
      </w:r>
    </w:p>
    <w:p w14:paraId="552B33A1">
      <w:pPr>
        <w:tabs>
          <w:tab w:val="left" w:pos="2640"/>
        </w:tabs>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法定代表人：</w:t>
      </w:r>
    </w:p>
    <w:p w14:paraId="7A6DF8E0">
      <w:pPr>
        <w:tabs>
          <w:tab w:val="left" w:pos="2640"/>
        </w:tabs>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 xml:space="preserve">地址：   </w:t>
      </w:r>
    </w:p>
    <w:p w14:paraId="7F813CE6">
      <w:pPr>
        <w:tabs>
          <w:tab w:val="left" w:pos="2640"/>
        </w:tabs>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联系人：</w:t>
      </w:r>
    </w:p>
    <w:p w14:paraId="4522CD3C">
      <w:pPr>
        <w:tabs>
          <w:tab w:val="left" w:pos="2640"/>
        </w:tabs>
        <w:spacing w:line="360" w:lineRule="auto"/>
        <w:rPr>
          <w:rFonts w:hint="eastAsia" w:ascii="仿宋" w:hAnsi="仿宋" w:eastAsia="仿宋"/>
          <w:b/>
          <w:color w:val="auto"/>
          <w:sz w:val="24"/>
          <w:highlight w:val="none"/>
        </w:rPr>
      </w:pPr>
      <w:r>
        <w:rPr>
          <w:rFonts w:hint="eastAsia" w:ascii="仿宋" w:hAnsi="仿宋" w:eastAsia="仿宋"/>
          <w:b/>
          <w:color w:val="auto"/>
          <w:sz w:val="24"/>
          <w:highlight w:val="none"/>
        </w:rPr>
        <w:t>电话：</w:t>
      </w:r>
    </w:p>
    <w:p w14:paraId="00BE3478">
      <w:pPr>
        <w:tabs>
          <w:tab w:val="left" w:pos="2640"/>
        </w:tabs>
        <w:spacing w:line="360" w:lineRule="auto"/>
        <w:ind w:firstLine="480" w:firstLineChars="200"/>
        <w:rPr>
          <w:rFonts w:hint="eastAsia" w:ascii="仿宋" w:hAnsi="仿宋" w:eastAsia="仿宋"/>
          <w:color w:val="auto"/>
          <w:sz w:val="24"/>
          <w:highlight w:val="none"/>
        </w:rPr>
      </w:pPr>
    </w:p>
    <w:p w14:paraId="120DC82E">
      <w:pPr>
        <w:tabs>
          <w:tab w:val="left" w:pos="2640"/>
        </w:tabs>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rPr>
        <w:t>甲乙双方根据《中华人民共和国民法典》等相关法律法规，在自愿平等的基础上，协商一致签订本</w:t>
      </w:r>
      <w:r>
        <w:rPr>
          <w:rFonts w:ascii="仿宋" w:hAnsi="仿宋" w:eastAsia="仿宋"/>
          <w:color w:val="auto"/>
          <w:sz w:val="24"/>
          <w:highlight w:val="none"/>
        </w:rPr>
        <w:t>合同</w:t>
      </w:r>
      <w:r>
        <w:rPr>
          <w:rFonts w:hint="eastAsia" w:ascii="仿宋" w:hAnsi="仿宋" w:eastAsia="仿宋"/>
          <w:color w:val="auto"/>
          <w:sz w:val="24"/>
          <w:highlight w:val="none"/>
        </w:rPr>
        <w:t>，以资共同遵守。</w:t>
      </w:r>
    </w:p>
    <w:p w14:paraId="199FB87D">
      <w:pPr>
        <w:spacing w:line="360" w:lineRule="auto"/>
        <w:ind w:firstLine="482" w:firstLineChars="200"/>
        <w:rPr>
          <w:rFonts w:ascii="仿宋" w:hAnsi="仿宋" w:eastAsia="仿宋"/>
          <w:b/>
          <w:color w:val="auto"/>
          <w:sz w:val="24"/>
          <w:highlight w:val="none"/>
        </w:rPr>
      </w:pPr>
      <w:r>
        <w:rPr>
          <w:rFonts w:hint="eastAsia" w:ascii="仿宋" w:hAnsi="仿宋" w:eastAsia="仿宋"/>
          <w:b/>
          <w:color w:val="auto"/>
          <w:sz w:val="24"/>
          <w:highlight w:val="none"/>
        </w:rPr>
        <w:t xml:space="preserve">第一条  </w:t>
      </w:r>
      <w:r>
        <w:rPr>
          <w:rFonts w:hint="default" w:ascii="仿宋" w:hAnsi="仿宋" w:eastAsia="仿宋"/>
          <w:b/>
          <w:color w:val="auto"/>
          <w:sz w:val="24"/>
          <w:highlight w:val="none"/>
          <w:lang w:val="en-US"/>
        </w:rPr>
        <w:t>房屋</w:t>
      </w:r>
      <w:r>
        <w:rPr>
          <w:rFonts w:hint="eastAsia" w:ascii="仿宋" w:hAnsi="仿宋" w:eastAsia="仿宋"/>
          <w:b/>
          <w:color w:val="auto"/>
          <w:sz w:val="24"/>
          <w:highlight w:val="none"/>
        </w:rPr>
        <w:t>基本情况</w:t>
      </w:r>
    </w:p>
    <w:p w14:paraId="14084A87">
      <w:pPr>
        <w:spacing w:line="360" w:lineRule="auto"/>
        <w:ind w:firstLine="482" w:firstLineChars="200"/>
        <w:rPr>
          <w:rFonts w:hint="eastAsia" w:ascii="仿宋" w:hAnsi="仿宋" w:eastAsia="仿宋"/>
          <w:color w:val="auto"/>
          <w:sz w:val="24"/>
          <w:highlight w:val="none"/>
        </w:rPr>
      </w:pPr>
      <w:r>
        <w:rPr>
          <w:rFonts w:hint="eastAsia" w:ascii="仿宋" w:hAnsi="仿宋" w:eastAsia="仿宋"/>
          <w:b/>
          <w:color w:val="auto"/>
          <w:sz w:val="24"/>
          <w:highlight w:val="none"/>
        </w:rPr>
        <w:t xml:space="preserve">1.1 </w:t>
      </w:r>
      <w:r>
        <w:rPr>
          <w:rFonts w:ascii="仿宋" w:hAnsi="仿宋" w:eastAsia="仿宋"/>
          <w:b/>
          <w:color w:val="auto"/>
          <w:sz w:val="24"/>
          <w:highlight w:val="none"/>
        </w:rPr>
        <w:t xml:space="preserve"> </w:t>
      </w:r>
      <w:r>
        <w:rPr>
          <w:rFonts w:ascii="仿宋" w:hAnsi="仿宋" w:eastAsia="仿宋"/>
          <w:color w:val="auto"/>
          <w:sz w:val="24"/>
          <w:highlight w:val="none"/>
        </w:rPr>
        <w:t>房屋坐落于</w:t>
      </w:r>
      <w:r>
        <w:rPr>
          <w:rFonts w:hint="eastAsia" w:ascii="仿宋" w:hAnsi="仿宋" w:eastAsia="仿宋"/>
          <w:color w:val="auto"/>
          <w:sz w:val="24"/>
          <w:highlight w:val="none"/>
          <w:u w:val="single"/>
        </w:rPr>
        <w:t>杭州市</w:t>
      </w:r>
      <w:r>
        <w:rPr>
          <w:rFonts w:hint="eastAsia" w:ascii="仿宋" w:hAnsi="仿宋" w:eastAsia="仿宋"/>
          <w:color w:val="auto"/>
          <w:sz w:val="24"/>
          <w:highlight w:val="none"/>
          <w:u w:val="single"/>
          <w:lang w:val="en-US" w:eastAsia="zh-CN"/>
        </w:rPr>
        <w:t>拱墅区金昌路1号杭钢物资大楼3幢1楼部分和2-4楼</w:t>
      </w:r>
      <w:r>
        <w:rPr>
          <w:rFonts w:hint="eastAsia" w:ascii="仿宋" w:hAnsi="仿宋" w:eastAsia="仿宋"/>
          <w:color w:val="auto"/>
          <w:sz w:val="24"/>
          <w:highlight w:val="none"/>
          <w:u w:val="single"/>
          <w:lang w:eastAsia="zh-CN"/>
        </w:rPr>
        <w:t>（</w:t>
      </w:r>
      <w:r>
        <w:rPr>
          <w:rFonts w:hint="eastAsia" w:ascii="仿宋" w:hAnsi="仿宋" w:eastAsia="仿宋"/>
          <w:color w:val="auto"/>
          <w:sz w:val="24"/>
          <w:highlight w:val="none"/>
          <w:u w:val="single"/>
          <w:lang w:val="en-US" w:eastAsia="zh-CN"/>
        </w:rPr>
        <w:t>以下简称“</w:t>
      </w:r>
      <w:r>
        <w:rPr>
          <w:rFonts w:hint="default" w:ascii="仿宋" w:hAnsi="仿宋" w:eastAsia="仿宋"/>
          <w:color w:val="auto"/>
          <w:sz w:val="24"/>
          <w:highlight w:val="none"/>
          <w:u w:val="single"/>
          <w:lang w:val="en-US" w:eastAsia="zh-CN"/>
        </w:rPr>
        <w:t>物业</w:t>
      </w:r>
      <w:r>
        <w:rPr>
          <w:rFonts w:hint="eastAsia" w:ascii="仿宋" w:hAnsi="仿宋" w:eastAsia="仿宋"/>
          <w:color w:val="auto"/>
          <w:sz w:val="24"/>
          <w:highlight w:val="none"/>
          <w:u w:val="single"/>
          <w:lang w:val="en-US" w:eastAsia="zh-CN"/>
        </w:rPr>
        <w:t>”或“房屋”</w:t>
      </w:r>
      <w:r>
        <w:rPr>
          <w:rFonts w:hint="eastAsia" w:ascii="仿宋" w:hAnsi="仿宋" w:eastAsia="仿宋"/>
          <w:color w:val="auto"/>
          <w:sz w:val="24"/>
          <w:highlight w:val="none"/>
          <w:u w:val="single"/>
          <w:lang w:eastAsia="zh-CN"/>
        </w:rPr>
        <w:t>）</w:t>
      </w:r>
      <w:r>
        <w:rPr>
          <w:rFonts w:ascii="仿宋" w:hAnsi="仿宋" w:eastAsia="仿宋"/>
          <w:color w:val="auto"/>
          <w:sz w:val="24"/>
          <w:highlight w:val="none"/>
        </w:rPr>
        <w:t>，</w:t>
      </w:r>
      <w:r>
        <w:rPr>
          <w:rFonts w:hint="eastAsia" w:ascii="仿宋" w:hAnsi="仿宋" w:eastAsia="仿宋"/>
          <w:color w:val="auto"/>
          <w:sz w:val="24"/>
          <w:highlight w:val="none"/>
        </w:rPr>
        <w:t>建</w:t>
      </w:r>
      <w:r>
        <w:rPr>
          <w:rFonts w:ascii="仿宋" w:hAnsi="仿宋" w:eastAsia="仿宋"/>
          <w:color w:val="auto"/>
          <w:sz w:val="24"/>
          <w:highlight w:val="none"/>
        </w:rPr>
        <w:t>筑面积</w:t>
      </w:r>
      <w:r>
        <w:rPr>
          <w:rFonts w:hint="eastAsia" w:ascii="仿宋" w:hAnsi="仿宋" w:eastAsia="仿宋"/>
          <w:color w:val="auto"/>
          <w:sz w:val="24"/>
          <w:highlight w:val="none"/>
        </w:rPr>
        <w:t>约</w:t>
      </w:r>
      <w:r>
        <w:rPr>
          <w:rFonts w:ascii="仿宋" w:hAnsi="仿宋" w:eastAsia="仿宋"/>
          <w:color w:val="auto"/>
          <w:sz w:val="24"/>
          <w:highlight w:val="none"/>
        </w:rPr>
        <w:t>为</w:t>
      </w:r>
      <w:r>
        <w:rPr>
          <w:rFonts w:hint="eastAsia" w:ascii="仿宋" w:hAnsi="仿宋" w:eastAsia="仿宋"/>
          <w:color w:val="auto"/>
          <w:sz w:val="24"/>
          <w:highlight w:val="none"/>
          <w:lang w:val="en-US" w:eastAsia="zh-CN"/>
        </w:rPr>
        <w:t>7726</w:t>
      </w:r>
      <w:r>
        <w:rPr>
          <w:rFonts w:ascii="仿宋" w:hAnsi="仿宋" w:eastAsia="仿宋"/>
          <w:color w:val="auto"/>
          <w:sz w:val="24"/>
          <w:highlight w:val="none"/>
        </w:rPr>
        <w:t>平方米</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以房屋实测绘为准）</w:t>
      </w:r>
      <w:r>
        <w:rPr>
          <w:rFonts w:hint="eastAsia" w:ascii="仿宋" w:hAnsi="仿宋" w:eastAsia="仿宋"/>
          <w:color w:val="auto"/>
          <w:sz w:val="24"/>
          <w:highlight w:val="none"/>
        </w:rPr>
        <w:t>。上述面积以甲方提供的不动产权证书、合法租赁证明文件或其他有效证明材料为准，具体位置、范围以现场实际交割为准。</w:t>
      </w:r>
      <w:r>
        <w:rPr>
          <w:rFonts w:ascii="仿宋" w:hAnsi="仿宋" w:eastAsia="仿宋"/>
          <w:color w:val="auto"/>
          <w:sz w:val="24"/>
          <w:highlight w:val="none"/>
        </w:rPr>
        <w:t>该</w:t>
      </w:r>
      <w:r>
        <w:rPr>
          <w:rFonts w:hint="default" w:ascii="仿宋" w:hAnsi="仿宋" w:eastAsia="仿宋"/>
          <w:color w:val="auto"/>
          <w:sz w:val="24"/>
          <w:highlight w:val="none"/>
          <w:lang w:val="en-US"/>
        </w:rPr>
        <w:t>房屋</w:t>
      </w:r>
      <w:r>
        <w:rPr>
          <w:rFonts w:hint="eastAsia" w:ascii="仿宋" w:hAnsi="仿宋" w:eastAsia="仿宋"/>
          <w:color w:val="auto"/>
          <w:sz w:val="24"/>
          <w:highlight w:val="none"/>
        </w:rPr>
        <w:t>权属范围内、外部如有</w:t>
      </w:r>
      <w:r>
        <w:rPr>
          <w:rFonts w:ascii="仿宋" w:hAnsi="仿宋" w:eastAsia="仿宋"/>
          <w:color w:val="auto"/>
          <w:sz w:val="24"/>
          <w:highlight w:val="none"/>
        </w:rPr>
        <w:t>装修及设施设备</w:t>
      </w:r>
      <w:r>
        <w:rPr>
          <w:rFonts w:hint="eastAsia" w:ascii="仿宋" w:hAnsi="仿宋" w:eastAsia="仿宋"/>
          <w:color w:val="auto"/>
          <w:sz w:val="24"/>
          <w:highlight w:val="none"/>
        </w:rPr>
        <w:t>，在交房时由双方清点并在附件中予以列明，具体</w:t>
      </w:r>
      <w:r>
        <w:rPr>
          <w:rFonts w:ascii="仿宋" w:hAnsi="仿宋" w:eastAsia="仿宋"/>
          <w:color w:val="auto"/>
          <w:sz w:val="24"/>
          <w:highlight w:val="none"/>
        </w:rPr>
        <w:t>情况见合同附件，该附件作为甲方交付乙方使用和乙方交还</w:t>
      </w:r>
      <w:r>
        <w:rPr>
          <w:rFonts w:hint="eastAsia" w:ascii="仿宋" w:hAnsi="仿宋" w:eastAsia="仿宋"/>
          <w:color w:val="auto"/>
          <w:sz w:val="24"/>
          <w:highlight w:val="none"/>
        </w:rPr>
        <w:t>该</w:t>
      </w:r>
      <w:r>
        <w:rPr>
          <w:rFonts w:hint="default" w:ascii="仿宋" w:hAnsi="仿宋" w:eastAsia="仿宋"/>
          <w:color w:val="auto"/>
          <w:sz w:val="24"/>
          <w:highlight w:val="none"/>
          <w:lang w:val="en-US"/>
        </w:rPr>
        <w:t>房屋</w:t>
      </w:r>
      <w:r>
        <w:rPr>
          <w:rFonts w:ascii="仿宋" w:hAnsi="仿宋" w:eastAsia="仿宋"/>
          <w:color w:val="auto"/>
          <w:sz w:val="24"/>
          <w:highlight w:val="none"/>
        </w:rPr>
        <w:t>时的依据。</w:t>
      </w:r>
    </w:p>
    <w:p w14:paraId="4B91E28F">
      <w:pPr>
        <w:spacing w:line="360" w:lineRule="auto"/>
        <w:ind w:firstLine="482" w:firstLineChars="200"/>
        <w:rPr>
          <w:rFonts w:ascii="仿宋" w:hAnsi="仿宋" w:eastAsia="仿宋"/>
          <w:color w:val="auto"/>
          <w:sz w:val="24"/>
          <w:highlight w:val="none"/>
        </w:rPr>
      </w:pPr>
      <w:r>
        <w:rPr>
          <w:rFonts w:hint="eastAsia" w:ascii="仿宋" w:hAnsi="仿宋" w:eastAsia="仿宋"/>
          <w:b/>
          <w:color w:val="auto"/>
          <w:sz w:val="24"/>
          <w:highlight w:val="none"/>
        </w:rPr>
        <w:t>1.2</w:t>
      </w:r>
      <w:r>
        <w:rPr>
          <w:rFonts w:ascii="仿宋" w:hAnsi="仿宋" w:eastAsia="仿宋"/>
          <w:b/>
          <w:color w:val="auto"/>
          <w:sz w:val="24"/>
          <w:highlight w:val="none"/>
        </w:rPr>
        <w:t xml:space="preserve">  </w:t>
      </w:r>
      <w:r>
        <w:rPr>
          <w:rFonts w:ascii="仿宋" w:hAnsi="仿宋" w:eastAsia="仿宋"/>
          <w:color w:val="auto"/>
          <w:sz w:val="24"/>
          <w:highlight w:val="none"/>
        </w:rPr>
        <w:t>甲方</w:t>
      </w:r>
      <w:r>
        <w:rPr>
          <w:rFonts w:hint="eastAsia" w:ascii="仿宋" w:hAnsi="仿宋" w:eastAsia="仿宋"/>
          <w:color w:val="auto"/>
          <w:sz w:val="24"/>
          <w:highlight w:val="none"/>
        </w:rPr>
        <w:t>协助办理或提供已有的市政供水、供电总表基础设施（具体以交付时的现状为准），</w:t>
      </w:r>
      <w:r>
        <w:rPr>
          <w:rFonts w:ascii="仿宋" w:hAnsi="仿宋" w:eastAsia="仿宋"/>
          <w:color w:val="auto"/>
          <w:sz w:val="24"/>
          <w:highlight w:val="none"/>
        </w:rPr>
        <w:t>乙方</w:t>
      </w:r>
      <w:r>
        <w:rPr>
          <w:rFonts w:hint="eastAsia" w:ascii="仿宋" w:hAnsi="仿宋" w:eastAsia="仿宋"/>
          <w:color w:val="auto"/>
          <w:sz w:val="24"/>
          <w:highlight w:val="none"/>
        </w:rPr>
        <w:t>根据需要自行接装</w:t>
      </w:r>
      <w:r>
        <w:rPr>
          <w:rFonts w:hint="eastAsia" w:ascii="仿宋" w:hAnsi="仿宋" w:eastAsia="仿宋"/>
          <w:color w:val="auto"/>
          <w:sz w:val="24"/>
          <w:highlight w:val="none"/>
          <w:lang w:val="en-US" w:eastAsia="zh-CN"/>
        </w:rPr>
        <w:t>房屋</w:t>
      </w:r>
      <w:r>
        <w:rPr>
          <w:rFonts w:hint="eastAsia" w:ascii="仿宋" w:hAnsi="仿宋" w:eastAsia="仿宋"/>
          <w:color w:val="auto"/>
          <w:sz w:val="24"/>
          <w:highlight w:val="none"/>
        </w:rPr>
        <w:t>面积内水、电等相关设施设备。乙方所需水、电用量如超过总表额定容量，以书面形式向甲方提出申请，经</w:t>
      </w:r>
      <w:r>
        <w:rPr>
          <w:rFonts w:ascii="仿宋" w:hAnsi="仿宋" w:eastAsia="仿宋"/>
          <w:color w:val="auto"/>
          <w:sz w:val="24"/>
          <w:highlight w:val="none"/>
        </w:rPr>
        <w:t>甲方</w:t>
      </w:r>
      <w:r>
        <w:rPr>
          <w:rFonts w:hint="eastAsia" w:ascii="仿宋" w:hAnsi="仿宋" w:eastAsia="仿宋"/>
          <w:color w:val="auto"/>
          <w:sz w:val="24"/>
          <w:highlight w:val="none"/>
        </w:rPr>
        <w:t>同意后乙方可向水、电部门申请增容，</w:t>
      </w:r>
      <w:r>
        <w:rPr>
          <w:rFonts w:ascii="仿宋" w:hAnsi="仿宋" w:eastAsia="仿宋"/>
          <w:color w:val="auto"/>
          <w:sz w:val="24"/>
          <w:highlight w:val="none"/>
        </w:rPr>
        <w:t>甲方</w:t>
      </w:r>
      <w:r>
        <w:rPr>
          <w:rFonts w:hint="eastAsia" w:ascii="仿宋" w:hAnsi="仿宋" w:eastAsia="仿宋"/>
          <w:color w:val="auto"/>
          <w:sz w:val="24"/>
          <w:highlight w:val="none"/>
        </w:rPr>
        <w:t>在合理范围内可视情协助办理相关手续，费用由乙方自行承担，期满后甲方无偿接收。</w:t>
      </w:r>
    </w:p>
    <w:p w14:paraId="536FE1D6">
      <w:pPr>
        <w:spacing w:line="360" w:lineRule="auto"/>
        <w:ind w:firstLine="482" w:firstLineChars="200"/>
        <w:rPr>
          <w:rFonts w:hint="eastAsia" w:ascii="仿宋" w:hAnsi="仿宋" w:eastAsia="仿宋"/>
          <w:b w:val="0"/>
          <w:bCs w:val="0"/>
          <w:color w:val="auto"/>
          <w:sz w:val="24"/>
          <w:highlight w:val="none"/>
        </w:rPr>
      </w:pPr>
      <w:r>
        <w:rPr>
          <w:rFonts w:hint="eastAsia" w:ascii="仿宋" w:hAnsi="仿宋" w:eastAsia="仿宋"/>
          <w:b/>
          <w:color w:val="auto"/>
          <w:sz w:val="24"/>
          <w:highlight w:val="none"/>
        </w:rPr>
        <w:t>1.3</w:t>
      </w:r>
      <w:r>
        <w:rPr>
          <w:rFonts w:ascii="仿宋" w:hAnsi="仿宋" w:eastAsia="仿宋"/>
          <w:b/>
          <w:color w:val="auto"/>
          <w:sz w:val="24"/>
          <w:highlight w:val="none"/>
        </w:rPr>
        <w:t xml:space="preserve"> </w:t>
      </w:r>
      <w:r>
        <w:rPr>
          <w:rFonts w:hint="eastAsia" w:ascii="仿宋" w:hAnsi="仿宋" w:eastAsia="仿宋"/>
          <w:bCs/>
          <w:color w:val="auto"/>
          <w:sz w:val="24"/>
          <w:highlight w:val="none"/>
        </w:rPr>
        <w:t xml:space="preserve"> 双方确认，本协议签订时，乙方已实地察看了该</w:t>
      </w:r>
      <w:r>
        <w:rPr>
          <w:rFonts w:hint="default" w:ascii="仿宋" w:hAnsi="仿宋" w:eastAsia="仿宋"/>
          <w:bCs/>
          <w:color w:val="auto"/>
          <w:sz w:val="24"/>
          <w:highlight w:val="none"/>
          <w:lang w:val="en-US"/>
        </w:rPr>
        <w:t>物业</w:t>
      </w:r>
      <w:r>
        <w:rPr>
          <w:rFonts w:hint="eastAsia" w:ascii="仿宋" w:hAnsi="仿宋" w:eastAsia="仿宋"/>
          <w:bCs/>
          <w:color w:val="auto"/>
          <w:sz w:val="24"/>
          <w:highlight w:val="none"/>
        </w:rPr>
        <w:t>的位置、周边环境、房屋现状以及现有装修、设施设备等因素，并已充分</w:t>
      </w:r>
      <w:r>
        <w:rPr>
          <w:rFonts w:hint="eastAsia" w:ascii="仿宋" w:hAnsi="仿宋" w:eastAsia="仿宋"/>
          <w:color w:val="auto"/>
          <w:sz w:val="24"/>
          <w:highlight w:val="none"/>
        </w:rPr>
        <w:t>了解该</w:t>
      </w:r>
      <w:r>
        <w:rPr>
          <w:rFonts w:hint="default" w:ascii="仿宋" w:hAnsi="仿宋" w:eastAsia="仿宋"/>
          <w:color w:val="auto"/>
          <w:sz w:val="24"/>
          <w:highlight w:val="none"/>
          <w:lang w:val="en-US"/>
        </w:rPr>
        <w:t>房屋</w:t>
      </w:r>
      <w:r>
        <w:rPr>
          <w:rFonts w:hint="eastAsia" w:ascii="仿宋" w:hAnsi="仿宋" w:eastAsia="仿宋"/>
          <w:color w:val="auto"/>
          <w:sz w:val="24"/>
          <w:highlight w:val="none"/>
        </w:rPr>
        <w:t>及房屋所在土地的土地使用权的性质和用途，对拟经营业态所需的各项审批条件和规定进行了充分自核，认可该房屋满足乙方用途。</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乙方已知悉房屋状态，包括竣工验收备案等事项，自愿</w:t>
      </w:r>
      <w:r>
        <w:rPr>
          <w:rFonts w:hint="default" w:ascii="仿宋" w:hAnsi="仿宋" w:eastAsia="仿宋"/>
          <w:color w:val="auto"/>
          <w:sz w:val="24"/>
          <w:highlight w:val="none"/>
          <w:lang w:val="en-US" w:eastAsia="zh-CN"/>
        </w:rPr>
        <w:t>承</w:t>
      </w:r>
      <w:r>
        <w:rPr>
          <w:rFonts w:hint="eastAsia" w:ascii="仿宋" w:hAnsi="仿宋" w:eastAsia="仿宋"/>
          <w:color w:val="auto"/>
          <w:sz w:val="24"/>
          <w:highlight w:val="none"/>
          <w:lang w:val="en-US" w:eastAsia="zh-CN"/>
        </w:rPr>
        <w:t>接并承担使用风险；房屋所在地块为待出让状态，若因地块执行土地出让计划导致乙方需提前收回房屋的，甲方提前三个月以书面形式通知乙方，乙方收到书面通知后，应无条件配合办理退出相关手续，并须在通知载明的期限内完成房屋腾空、结清各项费用并返还房屋。</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本协议签订后，非因甲方原因导致的乙方不能营业、资质证照审批受阻以及其他经营风险，均需由乙方自行承担。甲方不对乙方的投入成本（包括但不限于装修、人工、设施设备、家电家具等）、经营损失等承担任何赔偿或补偿责任，</w:t>
      </w:r>
      <w:r>
        <w:rPr>
          <w:rFonts w:hint="eastAsia" w:ascii="仿宋" w:hAnsi="仿宋" w:eastAsia="仿宋"/>
          <w:b w:val="0"/>
          <w:bCs w:val="0"/>
          <w:color w:val="auto"/>
          <w:sz w:val="24"/>
          <w:highlight w:val="none"/>
        </w:rPr>
        <w:t>乙方亦无权因此拒付或延付</w:t>
      </w:r>
      <w:r>
        <w:rPr>
          <w:rFonts w:hint="eastAsia" w:ascii="仿宋" w:hAnsi="仿宋" w:eastAsia="仿宋"/>
          <w:b w:val="0"/>
          <w:bCs w:val="0"/>
          <w:color w:val="auto"/>
          <w:sz w:val="24"/>
          <w:highlight w:val="none"/>
          <w:lang w:val="en-US" w:eastAsia="zh-CN"/>
        </w:rPr>
        <w:t>保底租金</w:t>
      </w:r>
      <w:r>
        <w:rPr>
          <w:rFonts w:hint="eastAsia" w:ascii="仿宋" w:hAnsi="仿宋" w:eastAsia="仿宋"/>
          <w:b w:val="0"/>
          <w:bCs w:val="0"/>
          <w:color w:val="auto"/>
          <w:sz w:val="24"/>
          <w:highlight w:val="none"/>
        </w:rPr>
        <w:t>、提前解约、拒收房屋或要求甲方承担责任。</w:t>
      </w:r>
    </w:p>
    <w:p w14:paraId="1F5054DB">
      <w:pPr>
        <w:spacing w:line="360" w:lineRule="auto"/>
        <w:ind w:firstLine="480" w:firstLineChars="200"/>
        <w:rPr>
          <w:rFonts w:hint="default" w:ascii="仿宋" w:hAnsi="仿宋" w:eastAsia="仿宋"/>
          <w:b w:val="0"/>
          <w:bCs w:val="0"/>
          <w:color w:val="auto"/>
          <w:sz w:val="24"/>
          <w:highlight w:val="none"/>
          <w:lang w:val="en-US" w:eastAsia="zh-CN"/>
        </w:rPr>
      </w:pPr>
      <w:r>
        <w:rPr>
          <w:rFonts w:hint="eastAsia" w:ascii="仿宋" w:hAnsi="仿宋" w:eastAsia="仿宋"/>
          <w:b w:val="0"/>
          <w:bCs w:val="0"/>
          <w:color w:val="auto"/>
          <w:sz w:val="24"/>
          <w:highlight w:val="none"/>
          <w:lang w:val="en-US" w:eastAsia="zh-CN"/>
        </w:rPr>
        <w:t>1.4 乙方已知悉</w:t>
      </w:r>
      <w:r>
        <w:rPr>
          <w:rFonts w:hint="default" w:ascii="仿宋" w:hAnsi="仿宋" w:eastAsia="仿宋"/>
          <w:b w:val="0"/>
          <w:bCs w:val="0"/>
          <w:color w:val="auto"/>
          <w:sz w:val="24"/>
          <w:highlight w:val="none"/>
          <w:lang w:val="en-US" w:eastAsia="zh-CN"/>
        </w:rPr>
        <w:t>房屋</w:t>
      </w:r>
      <w:r>
        <w:rPr>
          <w:rFonts w:hint="eastAsia" w:ascii="仿宋" w:hAnsi="仿宋" w:eastAsia="仿宋"/>
          <w:b w:val="0"/>
          <w:bCs w:val="0"/>
          <w:color w:val="auto"/>
          <w:sz w:val="24"/>
          <w:highlight w:val="none"/>
          <w:lang w:val="en-US" w:eastAsia="zh-CN"/>
        </w:rPr>
        <w:t>所在园区运营观光小火车等项目以及举办音乐节等活动，可能存在持续性人流和活动声音，确认该等因素不会影响乙方</w:t>
      </w:r>
      <w:r>
        <w:rPr>
          <w:rFonts w:hint="default" w:ascii="仿宋" w:hAnsi="仿宋" w:eastAsia="仿宋"/>
          <w:b w:val="0"/>
          <w:bCs w:val="0"/>
          <w:color w:val="auto"/>
          <w:sz w:val="24"/>
          <w:highlight w:val="none"/>
          <w:lang w:val="en-US" w:eastAsia="zh-CN"/>
        </w:rPr>
        <w:t>租赁</w:t>
      </w:r>
      <w:r>
        <w:rPr>
          <w:rFonts w:hint="eastAsia" w:ascii="仿宋" w:hAnsi="仿宋" w:eastAsia="仿宋"/>
          <w:b w:val="0"/>
          <w:bCs w:val="0"/>
          <w:color w:val="auto"/>
          <w:sz w:val="24"/>
          <w:highlight w:val="none"/>
          <w:lang w:val="en-US" w:eastAsia="zh-CN"/>
        </w:rPr>
        <w:t>目的的实现。</w:t>
      </w:r>
    </w:p>
    <w:p w14:paraId="7F757480">
      <w:pPr>
        <w:spacing w:line="360" w:lineRule="auto"/>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 xml:space="preserve">第二条 </w:t>
      </w:r>
      <w:r>
        <w:rPr>
          <w:rFonts w:hint="eastAsia" w:ascii="仿宋" w:hAnsi="仿宋" w:eastAsia="仿宋"/>
          <w:b/>
          <w:bCs/>
          <w:color w:val="auto"/>
          <w:sz w:val="24"/>
          <w:highlight w:val="none"/>
          <w:lang w:val="en-US" w:eastAsia="zh-CN"/>
        </w:rPr>
        <w:t>房屋</w:t>
      </w:r>
      <w:r>
        <w:rPr>
          <w:rFonts w:hint="eastAsia" w:ascii="仿宋" w:hAnsi="仿宋" w:eastAsia="仿宋"/>
          <w:b/>
          <w:bCs/>
          <w:color w:val="auto"/>
          <w:sz w:val="24"/>
          <w:highlight w:val="none"/>
        </w:rPr>
        <w:t>用途</w:t>
      </w:r>
    </w:p>
    <w:p w14:paraId="087CE0C2">
      <w:pPr>
        <w:pStyle w:val="2"/>
        <w:spacing w:before="0" w:line="360" w:lineRule="auto"/>
        <w:ind w:left="0" w:firstLine="482" w:firstLineChars="200"/>
        <w:rPr>
          <w:rFonts w:ascii="仿宋" w:hAnsi="仿宋" w:eastAsia="仿宋"/>
          <w:color w:val="auto"/>
          <w:sz w:val="24"/>
          <w:highlight w:val="none"/>
        </w:rPr>
      </w:pPr>
      <w:r>
        <w:rPr>
          <w:rFonts w:hint="eastAsia" w:ascii="仿宋" w:hAnsi="仿宋" w:eastAsia="仿宋"/>
          <w:b/>
          <w:color w:val="auto"/>
          <w:sz w:val="24"/>
          <w:highlight w:val="none"/>
        </w:rPr>
        <w:t>2</w:t>
      </w:r>
      <w:r>
        <w:rPr>
          <w:rFonts w:ascii="仿宋" w:hAnsi="仿宋" w:eastAsia="仿宋"/>
          <w:b/>
          <w:color w:val="auto"/>
          <w:sz w:val="24"/>
          <w:highlight w:val="none"/>
        </w:rPr>
        <w:t xml:space="preserve">.1 </w:t>
      </w:r>
      <w:r>
        <w:rPr>
          <w:rFonts w:hint="eastAsia" w:ascii="仿宋" w:hAnsi="仿宋" w:eastAsia="仿宋"/>
          <w:color w:val="auto"/>
          <w:sz w:val="24"/>
          <w:highlight w:val="none"/>
        </w:rPr>
        <w:t>乙方</w:t>
      </w:r>
      <w:r>
        <w:rPr>
          <w:rFonts w:hint="eastAsia" w:ascii="仿宋" w:hAnsi="仿宋" w:eastAsia="仿宋"/>
          <w:color w:val="auto"/>
          <w:sz w:val="24"/>
          <w:highlight w:val="none"/>
          <w:lang w:val="en-US" w:eastAsia="zh-CN"/>
        </w:rPr>
        <w:t>使用</w:t>
      </w:r>
      <w:r>
        <w:rPr>
          <w:rFonts w:hint="eastAsia" w:ascii="仿宋" w:hAnsi="仿宋" w:eastAsia="仿宋"/>
          <w:color w:val="auto"/>
          <w:sz w:val="24"/>
          <w:highlight w:val="none"/>
        </w:rPr>
        <w:t>该</w:t>
      </w:r>
      <w:r>
        <w:rPr>
          <w:rFonts w:hint="eastAsia" w:ascii="仿宋" w:hAnsi="仿宋" w:eastAsia="仿宋"/>
          <w:color w:val="auto"/>
          <w:sz w:val="24"/>
          <w:highlight w:val="none"/>
          <w:lang w:val="en-US" w:eastAsia="zh-CN"/>
        </w:rPr>
        <w:t>房屋</w:t>
      </w:r>
      <w:r>
        <w:rPr>
          <w:rFonts w:hint="eastAsia" w:ascii="仿宋" w:hAnsi="仿宋" w:eastAsia="仿宋"/>
          <w:color w:val="auto"/>
          <w:sz w:val="24"/>
          <w:highlight w:val="none"/>
        </w:rPr>
        <w:t>用于</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产业配套公寓</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none"/>
          <w:lang w:eastAsia="zh-CN"/>
        </w:rPr>
        <w:t>（</w:t>
      </w:r>
      <w:r>
        <w:rPr>
          <w:rFonts w:hint="eastAsia" w:ascii="仿宋" w:hAnsi="仿宋" w:eastAsia="仿宋"/>
          <w:color w:val="auto"/>
          <w:sz w:val="24"/>
          <w:highlight w:val="none"/>
          <w:u w:val="none"/>
          <w:lang w:val="en-US" w:eastAsia="zh-CN"/>
        </w:rPr>
        <w:t>具体品牌及经营范围</w:t>
      </w:r>
      <w:r>
        <w:rPr>
          <w:rFonts w:hint="eastAsia" w:ascii="仿宋" w:hAnsi="仿宋" w:eastAsia="仿宋"/>
          <w:color w:val="auto"/>
          <w:sz w:val="24"/>
          <w:highlight w:val="none"/>
          <w:u w:val="none"/>
          <w:lang w:eastAsia="zh-CN"/>
        </w:rPr>
        <w:t>），</w:t>
      </w:r>
      <w:r>
        <w:rPr>
          <w:rFonts w:hint="eastAsia" w:ascii="仿宋" w:hAnsi="仿宋" w:eastAsia="仿宋"/>
          <w:color w:val="auto"/>
          <w:sz w:val="24"/>
          <w:highlight w:val="none"/>
          <w:u w:val="none"/>
          <w:lang w:val="en-US" w:eastAsia="zh-CN"/>
        </w:rPr>
        <w:t>与乙方提供的经营方案（附件1）一致</w:t>
      </w:r>
      <w:r>
        <w:rPr>
          <w:rFonts w:hint="eastAsia" w:ascii="仿宋" w:hAnsi="仿宋" w:eastAsia="仿宋"/>
          <w:color w:val="auto"/>
          <w:sz w:val="24"/>
          <w:highlight w:val="none"/>
        </w:rPr>
        <w:t>。</w:t>
      </w:r>
    </w:p>
    <w:p w14:paraId="4FC1BE1F">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2.2 </w:t>
      </w:r>
      <w:r>
        <w:rPr>
          <w:rFonts w:hint="eastAsia" w:ascii="仿宋" w:hAnsi="仿宋" w:eastAsia="仿宋"/>
          <w:color w:val="auto"/>
          <w:sz w:val="24"/>
          <w:highlight w:val="none"/>
        </w:rPr>
        <w:t>未经甲方书面准许，乙方不得将</w:t>
      </w:r>
      <w:r>
        <w:rPr>
          <w:rFonts w:hint="eastAsia" w:ascii="仿宋" w:hAnsi="仿宋" w:eastAsia="仿宋"/>
          <w:color w:val="auto"/>
          <w:sz w:val="24"/>
          <w:highlight w:val="none"/>
          <w:lang w:val="en-US" w:eastAsia="zh-CN"/>
        </w:rPr>
        <w:t>该房屋</w:t>
      </w:r>
      <w:r>
        <w:rPr>
          <w:rFonts w:hint="eastAsia" w:ascii="仿宋" w:hAnsi="仿宋" w:eastAsia="仿宋"/>
          <w:color w:val="auto"/>
          <w:sz w:val="24"/>
          <w:highlight w:val="none"/>
        </w:rPr>
        <w:t>用于其他用途。如因乙方未按约定用途使用而产生的责任及费用由乙方自行承担。</w:t>
      </w:r>
    </w:p>
    <w:p w14:paraId="4FA78633">
      <w:pPr>
        <w:spacing w:line="360" w:lineRule="auto"/>
        <w:ind w:firstLine="482" w:firstLineChars="200"/>
        <w:jc w:val="left"/>
        <w:rPr>
          <w:rFonts w:ascii="仿宋" w:hAnsi="仿宋" w:eastAsia="仿宋"/>
          <w:b/>
          <w:bCs/>
          <w:color w:val="auto"/>
          <w:sz w:val="24"/>
          <w:highlight w:val="none"/>
        </w:rPr>
      </w:pPr>
      <w:r>
        <w:rPr>
          <w:rFonts w:hint="eastAsia" w:ascii="仿宋" w:hAnsi="仿宋" w:eastAsia="仿宋"/>
          <w:b/>
          <w:bCs/>
          <w:color w:val="auto"/>
          <w:sz w:val="24"/>
          <w:highlight w:val="none"/>
        </w:rPr>
        <w:t xml:space="preserve">第三条 </w:t>
      </w:r>
      <w:r>
        <w:rPr>
          <w:rFonts w:hint="eastAsia" w:ascii="仿宋" w:hAnsi="仿宋" w:eastAsia="仿宋"/>
          <w:b/>
          <w:bCs/>
          <w:color w:val="auto"/>
          <w:sz w:val="24"/>
          <w:highlight w:val="none"/>
          <w:lang w:val="en-US" w:eastAsia="zh-CN"/>
        </w:rPr>
        <w:t>合同</w:t>
      </w:r>
      <w:r>
        <w:rPr>
          <w:rFonts w:hint="eastAsia" w:ascii="仿宋" w:hAnsi="仿宋" w:eastAsia="仿宋"/>
          <w:b/>
          <w:bCs/>
          <w:color w:val="auto"/>
          <w:sz w:val="24"/>
          <w:highlight w:val="none"/>
        </w:rPr>
        <w:t>期限</w:t>
      </w:r>
    </w:p>
    <w:p w14:paraId="14397792">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rPr>
        <w:t xml:space="preserve">3.1 </w:t>
      </w:r>
      <w:r>
        <w:rPr>
          <w:rFonts w:hint="eastAsia" w:ascii="仿宋" w:hAnsi="仿宋" w:eastAsia="仿宋"/>
          <w:b/>
          <w:color w:val="auto"/>
          <w:sz w:val="24"/>
          <w:highlight w:val="none"/>
          <w:lang w:val="en-US" w:eastAsia="zh-CN"/>
        </w:rPr>
        <w:t>合同</w:t>
      </w:r>
      <w:r>
        <w:rPr>
          <w:rFonts w:hint="eastAsia" w:ascii="仿宋" w:hAnsi="仿宋" w:eastAsia="仿宋"/>
          <w:color w:val="auto"/>
          <w:sz w:val="24"/>
          <w:highlight w:val="none"/>
        </w:rPr>
        <w:t>期限为</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3</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none"/>
        </w:rPr>
        <w:t>年</w:t>
      </w:r>
      <w:r>
        <w:rPr>
          <w:rFonts w:hint="eastAsia" w:ascii="仿宋" w:hAnsi="仿宋" w:eastAsia="仿宋"/>
          <w:color w:val="auto"/>
          <w:sz w:val="24"/>
          <w:highlight w:val="none"/>
        </w:rPr>
        <w:t>。自</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2026</w:t>
      </w:r>
      <w:r>
        <w:rPr>
          <w:rFonts w:hint="eastAsia" w:ascii="仿宋" w:hAnsi="仿宋" w:eastAsia="仿宋"/>
          <w:color w:val="auto"/>
          <w:sz w:val="24"/>
          <w:highlight w:val="none"/>
          <w:u w:val="single"/>
        </w:rPr>
        <w:t>年</w:t>
      </w:r>
      <w:r>
        <w:rPr>
          <w:rFonts w:hint="eastAsia" w:ascii="仿宋" w:hAnsi="仿宋" w:eastAsia="仿宋"/>
          <w:color w:val="auto"/>
          <w:sz w:val="24"/>
          <w:highlight w:val="none"/>
          <w:u w:val="single"/>
          <w:lang w:val="en-US" w:eastAsia="zh-CN"/>
        </w:rPr>
        <w:t>12</w:t>
      </w:r>
      <w:r>
        <w:rPr>
          <w:rFonts w:hint="eastAsia" w:ascii="仿宋" w:hAnsi="仿宋" w:eastAsia="仿宋"/>
          <w:color w:val="auto"/>
          <w:sz w:val="24"/>
          <w:highlight w:val="none"/>
          <w:u w:val="single"/>
        </w:rPr>
        <w:t>月</w:t>
      </w:r>
      <w:bookmarkStart w:id="2" w:name="_GoBack"/>
      <w:bookmarkEnd w:id="2"/>
      <w:r>
        <w:rPr>
          <w:rFonts w:hint="eastAsia" w:ascii="仿宋" w:hAnsi="仿宋" w:eastAsia="仿宋"/>
          <w:color w:val="auto"/>
          <w:sz w:val="24"/>
          <w:highlight w:val="none"/>
          <w:u w:val="single"/>
          <w:lang w:val="en-US" w:eastAsia="zh-CN"/>
        </w:rPr>
        <w:t>1</w:t>
      </w:r>
      <w:r>
        <w:rPr>
          <w:rFonts w:hint="eastAsia" w:ascii="仿宋" w:hAnsi="仿宋" w:eastAsia="仿宋"/>
          <w:color w:val="auto"/>
          <w:sz w:val="24"/>
          <w:highlight w:val="none"/>
          <w:u w:val="single"/>
        </w:rPr>
        <w:t>日起至</w:t>
      </w:r>
      <w:r>
        <w:rPr>
          <w:rFonts w:hint="eastAsia" w:ascii="仿宋" w:hAnsi="仿宋" w:eastAsia="仿宋"/>
          <w:color w:val="auto"/>
          <w:sz w:val="24"/>
          <w:highlight w:val="none"/>
          <w:u w:val="single"/>
          <w:lang w:val="en-US" w:eastAsia="zh-CN"/>
        </w:rPr>
        <w:t>2029</w:t>
      </w:r>
      <w:r>
        <w:rPr>
          <w:rFonts w:hint="eastAsia" w:ascii="仿宋" w:hAnsi="仿宋" w:eastAsia="仿宋"/>
          <w:color w:val="auto"/>
          <w:sz w:val="24"/>
          <w:highlight w:val="none"/>
          <w:u w:val="single"/>
        </w:rPr>
        <w:t>年</w:t>
      </w:r>
      <w:r>
        <w:rPr>
          <w:rFonts w:hint="eastAsia" w:ascii="仿宋" w:hAnsi="仿宋" w:eastAsia="仿宋"/>
          <w:color w:val="auto"/>
          <w:sz w:val="24"/>
          <w:highlight w:val="none"/>
          <w:u w:val="single"/>
          <w:lang w:val="en-US" w:eastAsia="zh-CN"/>
        </w:rPr>
        <w:t>11</w:t>
      </w:r>
      <w:r>
        <w:rPr>
          <w:rFonts w:hint="eastAsia" w:ascii="仿宋" w:hAnsi="仿宋" w:eastAsia="仿宋"/>
          <w:color w:val="auto"/>
          <w:sz w:val="24"/>
          <w:highlight w:val="none"/>
          <w:u w:val="single"/>
        </w:rPr>
        <w:t>月</w:t>
      </w:r>
      <w:r>
        <w:rPr>
          <w:rFonts w:hint="eastAsia" w:ascii="仿宋" w:hAnsi="仿宋" w:eastAsia="仿宋"/>
          <w:color w:val="auto"/>
          <w:sz w:val="24"/>
          <w:highlight w:val="none"/>
          <w:u w:val="single"/>
          <w:lang w:val="en-US" w:eastAsia="zh-CN"/>
        </w:rPr>
        <w:t>30</w:t>
      </w:r>
      <w:r>
        <w:rPr>
          <w:rFonts w:hint="eastAsia" w:ascii="仿宋" w:hAnsi="仿宋" w:eastAsia="仿宋"/>
          <w:color w:val="auto"/>
          <w:sz w:val="24"/>
          <w:highlight w:val="none"/>
          <w:u w:val="single"/>
        </w:rPr>
        <w:t>日止</w:t>
      </w:r>
      <w:r>
        <w:rPr>
          <w:rFonts w:hint="eastAsia" w:ascii="仿宋" w:hAnsi="仿宋" w:eastAsia="仿宋"/>
          <w:color w:val="auto"/>
          <w:sz w:val="24"/>
          <w:highlight w:val="none"/>
          <w:u w:val="single"/>
          <w:lang w:eastAsia="zh-CN"/>
        </w:rPr>
        <w:t>。</w:t>
      </w:r>
      <w:r>
        <w:rPr>
          <w:rFonts w:hint="eastAsia" w:ascii="仿宋" w:hAnsi="仿宋" w:eastAsia="仿宋"/>
          <w:color w:val="auto"/>
          <w:sz w:val="24"/>
          <w:highlight w:val="none"/>
          <w:u w:val="none"/>
          <w:lang w:val="en-US" w:eastAsia="zh-CN"/>
        </w:rPr>
        <w:t>首期交付物资大楼3幢1楼部分和4楼，面积3142</w:t>
      </w:r>
      <w:r>
        <w:rPr>
          <w:rFonts w:ascii="仿宋" w:hAnsi="仿宋" w:eastAsia="仿宋"/>
          <w:color w:val="auto"/>
          <w:sz w:val="24"/>
          <w:highlight w:val="none"/>
        </w:rPr>
        <w:t>平方米</w:t>
      </w:r>
      <w:r>
        <w:rPr>
          <w:rFonts w:hint="eastAsia" w:ascii="仿宋" w:hAnsi="仿宋" w:eastAsia="仿宋"/>
          <w:color w:val="auto"/>
          <w:sz w:val="24"/>
          <w:highlight w:val="none"/>
          <w:u w:val="none"/>
          <w:lang w:val="en-US" w:eastAsia="zh-CN"/>
        </w:rPr>
        <w:t>；第二期交付物资大楼3幢2楼和3楼，交付面积4584平方米。</w:t>
      </w:r>
      <w:r>
        <w:rPr>
          <w:rFonts w:hint="eastAsia" w:ascii="仿宋" w:hAnsi="仿宋" w:eastAsia="仿宋"/>
          <w:color w:val="auto"/>
          <w:sz w:val="24"/>
          <w:highlight w:val="none"/>
          <w:u w:val="none"/>
        </w:rPr>
        <w:t>实际</w:t>
      </w:r>
      <w:r>
        <w:rPr>
          <w:rFonts w:hint="eastAsia" w:ascii="仿宋" w:hAnsi="仿宋" w:eastAsia="仿宋"/>
          <w:color w:val="auto"/>
          <w:sz w:val="24"/>
          <w:highlight w:val="none"/>
          <w:u w:val="none"/>
          <w:lang w:val="en-US" w:eastAsia="zh-CN"/>
        </w:rPr>
        <w:t>合同期限</w:t>
      </w:r>
      <w:r>
        <w:rPr>
          <w:rFonts w:hint="eastAsia" w:ascii="仿宋" w:hAnsi="仿宋" w:eastAsia="仿宋"/>
          <w:color w:val="auto"/>
          <w:sz w:val="24"/>
          <w:highlight w:val="none"/>
          <w:u w:val="none"/>
        </w:rPr>
        <w:t>自房屋</w:t>
      </w:r>
      <w:r>
        <w:rPr>
          <w:rFonts w:hint="eastAsia" w:ascii="仿宋" w:hAnsi="仿宋" w:eastAsia="仿宋"/>
          <w:color w:val="auto"/>
          <w:sz w:val="24"/>
          <w:highlight w:val="none"/>
          <w:u w:val="none"/>
          <w:lang w:val="en-US" w:eastAsia="zh-CN"/>
        </w:rPr>
        <w:t>首期</w:t>
      </w:r>
      <w:r>
        <w:rPr>
          <w:rFonts w:hint="eastAsia" w:ascii="仿宋" w:hAnsi="仿宋" w:eastAsia="仿宋"/>
          <w:color w:val="auto"/>
          <w:sz w:val="24"/>
          <w:highlight w:val="none"/>
          <w:u w:val="none"/>
        </w:rPr>
        <w:t>交付之日起开始计算</w:t>
      </w:r>
      <w:r>
        <w:rPr>
          <w:rFonts w:hint="eastAsia" w:ascii="仿宋" w:hAnsi="仿宋" w:eastAsia="仿宋" w:cs="Times New Roman"/>
          <w:color w:val="auto"/>
          <w:sz w:val="24"/>
          <w:highlight w:val="none"/>
          <w:u w:val="none"/>
        </w:rPr>
        <w:t>。</w:t>
      </w:r>
    </w:p>
    <w:p w14:paraId="4EED2E69">
      <w:pPr>
        <w:spacing w:line="360" w:lineRule="auto"/>
        <w:ind w:firstLine="482" w:firstLineChars="200"/>
        <w:rPr>
          <w:rFonts w:hint="eastAsia" w:ascii="仿宋" w:hAnsi="仿宋" w:eastAsia="仿宋" w:cs="Times New Roman"/>
          <w:color w:val="auto"/>
          <w:sz w:val="24"/>
          <w:highlight w:val="none"/>
        </w:rPr>
      </w:pPr>
      <w:r>
        <w:rPr>
          <w:rFonts w:hint="eastAsia" w:ascii="仿宋" w:hAnsi="仿宋" w:eastAsia="仿宋" w:cs="Times New Roman"/>
          <w:b/>
          <w:bCs/>
          <w:color w:val="auto"/>
          <w:sz w:val="24"/>
          <w:highlight w:val="none"/>
        </w:rPr>
        <w:t>3.</w:t>
      </w:r>
      <w:r>
        <w:rPr>
          <w:rFonts w:hint="eastAsia" w:ascii="仿宋" w:hAnsi="仿宋" w:eastAsia="仿宋" w:cs="Times New Roman"/>
          <w:b/>
          <w:bCs/>
          <w:color w:val="auto"/>
          <w:sz w:val="24"/>
          <w:highlight w:val="none"/>
          <w:lang w:val="en-US" w:eastAsia="zh-CN"/>
        </w:rPr>
        <w:t>2</w:t>
      </w:r>
      <w:r>
        <w:rPr>
          <w:rFonts w:hint="eastAsia" w:ascii="仿宋" w:hAnsi="仿宋" w:eastAsia="仿宋" w:cs="Times New Roman"/>
          <w:b/>
          <w:bCs/>
          <w:color w:val="auto"/>
          <w:sz w:val="24"/>
          <w:highlight w:val="none"/>
        </w:rPr>
        <w:t xml:space="preserve"> </w:t>
      </w:r>
      <w:r>
        <w:rPr>
          <w:rFonts w:hint="eastAsia" w:ascii="仿宋" w:hAnsi="仿宋" w:eastAsia="仿宋" w:cs="Times New Roman"/>
          <w:b/>
          <w:bCs/>
          <w:color w:val="auto"/>
          <w:sz w:val="24"/>
          <w:highlight w:val="none"/>
          <w:lang w:val="en-US" w:eastAsia="zh-CN"/>
        </w:rPr>
        <w:t>合同</w:t>
      </w:r>
      <w:r>
        <w:rPr>
          <w:rFonts w:hint="eastAsia" w:ascii="仿宋" w:hAnsi="仿宋" w:eastAsia="仿宋" w:cs="Times New Roman"/>
          <w:color w:val="auto"/>
          <w:sz w:val="24"/>
          <w:highlight w:val="none"/>
        </w:rPr>
        <w:t>期限届满，合同终止。乙方需要继续</w:t>
      </w:r>
      <w:r>
        <w:rPr>
          <w:rFonts w:hint="eastAsia" w:ascii="仿宋" w:hAnsi="仿宋" w:eastAsia="仿宋" w:cs="Times New Roman"/>
          <w:color w:val="auto"/>
          <w:sz w:val="24"/>
          <w:highlight w:val="none"/>
          <w:lang w:val="en-US" w:eastAsia="zh-CN"/>
        </w:rPr>
        <w:t>续约</w:t>
      </w:r>
      <w:r>
        <w:rPr>
          <w:rFonts w:hint="eastAsia" w:ascii="仿宋" w:hAnsi="仿宋" w:eastAsia="仿宋" w:cs="Times New Roman"/>
          <w:color w:val="auto"/>
          <w:sz w:val="24"/>
          <w:highlight w:val="none"/>
        </w:rPr>
        <w:t>，应当关注并按时参加甲方的公开程序，若不参加公开程序则视作放弃</w:t>
      </w:r>
      <w:r>
        <w:rPr>
          <w:rFonts w:hint="eastAsia" w:ascii="仿宋" w:hAnsi="仿宋" w:eastAsia="仿宋" w:cs="Times New Roman"/>
          <w:color w:val="auto"/>
          <w:sz w:val="24"/>
          <w:highlight w:val="none"/>
          <w:lang w:val="en-US" w:eastAsia="zh-CN"/>
        </w:rPr>
        <w:t>续约</w:t>
      </w:r>
      <w:r>
        <w:rPr>
          <w:rFonts w:hint="eastAsia" w:ascii="仿宋" w:hAnsi="仿宋" w:eastAsia="仿宋" w:cs="Times New Roman"/>
          <w:color w:val="auto"/>
          <w:sz w:val="24"/>
          <w:highlight w:val="none"/>
        </w:rPr>
        <w:t>。期内</w:t>
      </w:r>
      <w:r>
        <w:rPr>
          <w:rFonts w:hint="eastAsia" w:ascii="仿宋" w:hAnsi="仿宋" w:eastAsia="仿宋" w:cs="Times New Roman"/>
          <w:color w:val="auto"/>
          <w:sz w:val="24"/>
          <w:highlight w:val="none"/>
          <w:lang w:val="en-US" w:eastAsia="zh-CN"/>
        </w:rPr>
        <w:t>每年考评一次，考评表详见附件，</w:t>
      </w:r>
      <w:r>
        <w:rPr>
          <w:rFonts w:hint="eastAsia" w:ascii="仿宋" w:hAnsi="仿宋" w:eastAsia="仿宋" w:cs="Times New Roman"/>
          <w:color w:val="auto"/>
          <w:sz w:val="24"/>
          <w:highlight w:val="none"/>
        </w:rPr>
        <w:t>考评平均分在90分以上，为优质</w:t>
      </w:r>
      <w:r>
        <w:rPr>
          <w:rFonts w:hint="eastAsia" w:ascii="仿宋" w:hAnsi="仿宋" w:eastAsia="仿宋" w:cs="Times New Roman"/>
          <w:color w:val="auto"/>
          <w:sz w:val="24"/>
          <w:highlight w:val="none"/>
          <w:lang w:val="en-US" w:eastAsia="zh-CN"/>
        </w:rPr>
        <w:t>商</w:t>
      </w:r>
      <w:r>
        <w:rPr>
          <w:rFonts w:hint="eastAsia" w:ascii="仿宋" w:hAnsi="仿宋" w:eastAsia="仿宋" w:cs="Times New Roman"/>
          <w:color w:val="auto"/>
          <w:sz w:val="24"/>
          <w:highlight w:val="none"/>
        </w:rPr>
        <w:t>户。</w:t>
      </w:r>
    </w:p>
    <w:p w14:paraId="522B1036">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第四条 </w:t>
      </w:r>
      <w:r>
        <w:rPr>
          <w:rFonts w:ascii="仿宋" w:hAnsi="仿宋" w:eastAsia="仿宋"/>
          <w:b/>
          <w:color w:val="auto"/>
          <w:sz w:val="24"/>
          <w:highlight w:val="none"/>
        </w:rPr>
        <w:t xml:space="preserve"> </w:t>
      </w:r>
      <w:r>
        <w:rPr>
          <w:rFonts w:hint="eastAsia" w:ascii="仿宋" w:hAnsi="仿宋" w:eastAsia="仿宋"/>
          <w:b/>
          <w:color w:val="auto"/>
          <w:sz w:val="24"/>
          <w:highlight w:val="none"/>
          <w:lang w:val="en-US" w:eastAsia="zh-CN"/>
        </w:rPr>
        <w:t>合同</w:t>
      </w:r>
      <w:r>
        <w:rPr>
          <w:rFonts w:hint="eastAsia" w:ascii="仿宋" w:hAnsi="仿宋" w:eastAsia="仿宋"/>
          <w:b/>
          <w:bCs/>
          <w:color w:val="auto"/>
          <w:sz w:val="24"/>
          <w:highlight w:val="none"/>
        </w:rPr>
        <w:t>费用及其支付</w:t>
      </w:r>
    </w:p>
    <w:p w14:paraId="3C47F36D">
      <w:pPr>
        <w:spacing w:line="360" w:lineRule="auto"/>
        <w:ind w:firstLine="482" w:firstLineChars="200"/>
        <w:rPr>
          <w:rFonts w:hint="default" w:ascii="仿宋" w:hAnsi="仿宋" w:eastAsia="仿宋"/>
          <w:color w:val="auto"/>
          <w:sz w:val="24"/>
          <w:highlight w:val="none"/>
          <w:lang w:val="en-US" w:eastAsia="zh-CN"/>
        </w:rPr>
      </w:pPr>
      <w:r>
        <w:rPr>
          <w:rFonts w:hint="eastAsia" w:ascii="仿宋" w:hAnsi="仿宋" w:eastAsia="仿宋"/>
          <w:b/>
          <w:color w:val="auto"/>
          <w:sz w:val="24"/>
          <w:highlight w:val="none"/>
        </w:rPr>
        <w:t>4.1</w:t>
      </w:r>
      <w:r>
        <w:rPr>
          <w:rFonts w:ascii="仿宋" w:hAnsi="仿宋" w:eastAsia="仿宋"/>
          <w:b/>
          <w:color w:val="auto"/>
          <w:sz w:val="24"/>
          <w:highlight w:val="none"/>
        </w:rPr>
        <w:t xml:space="preserve">  </w:t>
      </w:r>
      <w:r>
        <w:rPr>
          <w:rFonts w:hint="eastAsia" w:ascii="仿宋" w:hAnsi="仿宋" w:eastAsia="仿宋"/>
          <w:color w:val="auto"/>
          <w:sz w:val="24"/>
          <w:highlight w:val="none"/>
          <w:lang w:val="en-US" w:eastAsia="zh-CN"/>
        </w:rPr>
        <w:t>甲方</w:t>
      </w:r>
      <w:r>
        <w:rPr>
          <w:rFonts w:hint="eastAsia" w:ascii="仿宋" w:hAnsi="仿宋" w:eastAsia="仿宋"/>
          <w:color w:val="auto"/>
          <w:sz w:val="24"/>
          <w:highlight w:val="none"/>
        </w:rPr>
        <w:t>提供</w:t>
      </w:r>
      <w:r>
        <w:rPr>
          <w:rFonts w:hint="eastAsia" w:ascii="仿宋" w:hAnsi="仿宋" w:eastAsia="仿宋"/>
          <w:color w:val="auto"/>
          <w:sz w:val="24"/>
          <w:highlight w:val="none"/>
          <w:lang w:val="en-US" w:eastAsia="zh-CN"/>
        </w:rPr>
        <w:t>房屋</w:t>
      </w:r>
      <w:r>
        <w:rPr>
          <w:rFonts w:hint="eastAsia" w:ascii="仿宋" w:hAnsi="仿宋" w:eastAsia="仿宋"/>
          <w:color w:val="auto"/>
          <w:sz w:val="24"/>
          <w:highlight w:val="none"/>
        </w:rPr>
        <w:t>载体，收取</w:t>
      </w:r>
      <w:r>
        <w:rPr>
          <w:rFonts w:hint="eastAsia" w:ascii="仿宋" w:hAnsi="仿宋" w:eastAsia="仿宋"/>
          <w:color w:val="auto"/>
          <w:sz w:val="24"/>
          <w:highlight w:val="none"/>
          <w:lang w:val="en-US" w:eastAsia="zh-CN"/>
        </w:rPr>
        <w:t>保底租金收益及收益分成</w:t>
      </w:r>
      <w:r>
        <w:rPr>
          <w:rFonts w:hint="eastAsia" w:ascii="仿宋" w:hAnsi="仿宋" w:eastAsia="仿宋"/>
          <w:color w:val="auto"/>
          <w:sz w:val="24"/>
          <w:highlight w:val="none"/>
          <w:lang w:eastAsia="zh-CN"/>
        </w:rPr>
        <w:t>，</w:t>
      </w:r>
      <w:r>
        <w:rPr>
          <w:rFonts w:hint="eastAsia" w:ascii="仿宋" w:hAnsi="仿宋" w:eastAsia="仿宋"/>
          <w:b w:val="0"/>
          <w:bCs/>
          <w:color w:val="auto"/>
          <w:sz w:val="24"/>
          <w:highlight w:val="none"/>
          <w:lang w:val="en-US" w:eastAsia="zh-CN"/>
        </w:rPr>
        <w:t>本次合同保底租金费用为</w:t>
      </w:r>
      <w:r>
        <w:rPr>
          <w:rFonts w:hint="eastAsia" w:ascii="仿宋" w:hAnsi="仿宋" w:eastAsia="仿宋"/>
          <w:bCs/>
          <w:color w:val="auto"/>
          <w:sz w:val="24"/>
          <w:highlight w:val="none"/>
        </w:rPr>
        <w:t>总含税</w:t>
      </w:r>
      <w:r>
        <w:rPr>
          <w:rFonts w:hint="eastAsia" w:ascii="仿宋" w:hAnsi="仿宋" w:eastAsia="仿宋"/>
          <w:bCs/>
          <w:color w:val="auto"/>
          <w:sz w:val="24"/>
          <w:highlight w:val="none"/>
          <w:lang w:val="en-US" w:eastAsia="zh-CN"/>
        </w:rPr>
        <w:t>金额</w:t>
      </w:r>
      <w:r>
        <w:rPr>
          <w:rFonts w:hint="eastAsia" w:ascii="仿宋" w:hAnsi="仿宋" w:eastAsia="仿宋"/>
          <w:bCs/>
          <w:color w:val="auto"/>
          <w:sz w:val="24"/>
          <w:highlight w:val="none"/>
        </w:rPr>
        <w:t>为人民币（大写</w:t>
      </w:r>
      <w:r>
        <w:rPr>
          <w:rFonts w:hint="eastAsia" w:ascii="仿宋" w:hAnsi="仿宋" w:eastAsia="仿宋"/>
          <w:bCs/>
          <w:color w:val="auto"/>
          <w:sz w:val="24"/>
          <w:highlight w:val="none"/>
          <w:u w:val="single"/>
        </w:rPr>
        <w:t xml:space="preserve">） </w:t>
      </w:r>
      <w:r>
        <w:rPr>
          <w:rFonts w:hint="eastAsia" w:ascii="仿宋" w:hAnsi="仿宋" w:eastAsia="仿宋"/>
          <w:bCs/>
          <w:color w:val="auto"/>
          <w:sz w:val="24"/>
          <w:highlight w:val="none"/>
          <w:u w:val="single"/>
          <w:lang w:val="en-US" w:eastAsia="zh-CN"/>
        </w:rPr>
        <w:t xml:space="preserve">    </w:t>
      </w:r>
      <w:r>
        <w:rPr>
          <w:rFonts w:hint="eastAsia" w:ascii="仿宋" w:hAnsi="仿宋" w:eastAsia="仿宋"/>
          <w:bCs/>
          <w:color w:val="auto"/>
          <w:sz w:val="24"/>
          <w:highlight w:val="none"/>
        </w:rPr>
        <w:t>（</w:t>
      </w:r>
      <w:r>
        <w:rPr>
          <w:rFonts w:hint="eastAsia" w:ascii="仿宋" w:hAnsi="仿宋" w:eastAsia="仿宋"/>
          <w:color w:val="auto"/>
          <w:sz w:val="24"/>
          <w:highlight w:val="none"/>
          <w:u w:val="single"/>
        </w:rPr>
        <w:t>￥</w:t>
      </w:r>
      <w:r>
        <w:rPr>
          <w:rFonts w:hint="eastAsia" w:ascii="仿宋" w:hAnsi="仿宋" w:eastAsia="仿宋"/>
          <w:color w:val="auto"/>
          <w:sz w:val="24"/>
          <w:highlight w:val="none"/>
          <w:u w:val="single"/>
          <w:lang w:val="en-US" w:eastAsia="zh-CN"/>
        </w:rPr>
        <w:t xml:space="preserve">     </w:t>
      </w:r>
      <w:r>
        <w:rPr>
          <w:rFonts w:hint="eastAsia" w:ascii="仿宋" w:hAnsi="仿宋" w:eastAsia="仿宋"/>
          <w:bCs/>
          <w:color w:val="auto"/>
          <w:sz w:val="24"/>
          <w:highlight w:val="none"/>
        </w:rPr>
        <w:t>）</w:t>
      </w:r>
      <w:r>
        <w:rPr>
          <w:rFonts w:hint="eastAsia" w:ascii="仿宋" w:hAnsi="仿宋" w:eastAsia="仿宋"/>
          <w:bCs/>
          <w:color w:val="auto"/>
          <w:sz w:val="24"/>
          <w:highlight w:val="none"/>
          <w:lang w:eastAsia="zh-CN"/>
        </w:rPr>
        <w:t>。</w:t>
      </w:r>
    </w:p>
    <w:p w14:paraId="5019E45B">
      <w:pPr>
        <w:spacing w:line="360" w:lineRule="auto"/>
        <w:ind w:firstLine="480" w:firstLineChars="200"/>
        <w:rPr>
          <w:rFonts w:ascii="仿宋" w:hAnsi="仿宋" w:eastAsia="仿宋"/>
          <w:color w:val="auto"/>
          <w:sz w:val="24"/>
          <w:highlight w:val="none"/>
        </w:rPr>
      </w:pPr>
      <w:r>
        <w:rPr>
          <w:rFonts w:hint="eastAsia" w:ascii="仿宋" w:hAnsi="仿宋" w:eastAsia="仿宋"/>
          <w:color w:val="auto"/>
          <w:sz w:val="24"/>
          <w:highlight w:val="none"/>
          <w:lang w:val="en-US" w:eastAsia="zh-CN"/>
        </w:rPr>
        <w:t>保底租金</w:t>
      </w:r>
      <w:r>
        <w:rPr>
          <w:rFonts w:hint="eastAsia" w:ascii="仿宋" w:hAnsi="仿宋" w:eastAsia="仿宋"/>
          <w:color w:val="auto"/>
          <w:sz w:val="24"/>
          <w:highlight w:val="none"/>
        </w:rPr>
        <w:t>标准</w:t>
      </w:r>
      <w:r>
        <w:rPr>
          <w:rFonts w:hint="eastAsia" w:ascii="仿宋" w:hAnsi="仿宋" w:eastAsia="仿宋"/>
          <w:color w:val="auto"/>
          <w:sz w:val="24"/>
          <w:highlight w:val="none"/>
          <w:lang w:val="en-US" w:eastAsia="zh-CN"/>
        </w:rPr>
        <w:t>按首年日租金单价</w:t>
      </w:r>
      <w:r>
        <w:rPr>
          <w:rFonts w:hint="eastAsia" w:ascii="仿宋" w:hAnsi="仿宋" w:eastAsia="仿宋" w:cs="仿宋"/>
          <w:b w:val="0"/>
          <w:bCs/>
          <w:color w:val="000000"/>
          <w:sz w:val="24"/>
          <w:highlight w:val="none"/>
          <w:u w:val="single"/>
          <w:lang w:val="en-US" w:eastAsia="zh-CN"/>
        </w:rPr>
        <w:t xml:space="preserve">    </w:t>
      </w:r>
      <w:r>
        <w:rPr>
          <w:rFonts w:hint="eastAsia" w:ascii="仿宋" w:hAnsi="仿宋" w:eastAsia="仿宋" w:cs="仿宋"/>
          <w:b w:val="0"/>
          <w:bCs/>
          <w:color w:val="000000"/>
          <w:sz w:val="24"/>
          <w:highlight w:val="none"/>
          <w:lang w:val="en-US" w:eastAsia="zh-CN"/>
        </w:rPr>
        <w:t>元/㎡/天计取，甲方</w:t>
      </w:r>
      <w:r>
        <w:rPr>
          <w:rFonts w:hint="eastAsia" w:ascii="仿宋" w:hAnsi="仿宋" w:eastAsia="仿宋"/>
          <w:color w:val="auto"/>
          <w:sz w:val="24"/>
          <w:highlight w:val="none"/>
        </w:rPr>
        <w:t>首年</w:t>
      </w:r>
      <w:r>
        <w:rPr>
          <w:rFonts w:hint="eastAsia" w:ascii="仿宋" w:hAnsi="仿宋" w:eastAsia="仿宋"/>
          <w:color w:val="auto"/>
          <w:sz w:val="24"/>
          <w:highlight w:val="none"/>
          <w:lang w:val="en-US" w:eastAsia="zh-CN"/>
        </w:rPr>
        <w:t>保底租金</w:t>
      </w:r>
      <w:r>
        <w:rPr>
          <w:rFonts w:hint="eastAsia" w:ascii="仿宋" w:hAnsi="仿宋" w:eastAsia="仿宋"/>
          <w:color w:val="auto"/>
          <w:sz w:val="24"/>
          <w:highlight w:val="none"/>
        </w:rPr>
        <w:t>人民币（大写）</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 xml:space="preserve">     </w:t>
      </w:r>
      <w:r>
        <w:rPr>
          <w:rFonts w:hint="eastAsia" w:ascii="仿宋" w:hAnsi="仿宋" w:eastAsia="仿宋"/>
          <w:bCs/>
          <w:color w:val="auto"/>
          <w:sz w:val="24"/>
          <w:highlight w:val="none"/>
        </w:rPr>
        <w:t>（</w:t>
      </w:r>
      <w:r>
        <w:rPr>
          <w:rFonts w:hint="eastAsia" w:ascii="仿宋" w:hAnsi="仿宋" w:eastAsia="仿宋"/>
          <w:color w:val="auto"/>
          <w:sz w:val="24"/>
          <w:highlight w:val="none"/>
          <w:u w:val="single"/>
        </w:rPr>
        <w:t>￥</w:t>
      </w:r>
      <w:r>
        <w:rPr>
          <w:rFonts w:hint="eastAsia" w:ascii="仿宋" w:hAnsi="仿宋" w:eastAsia="仿宋"/>
          <w:color w:val="auto"/>
          <w:sz w:val="24"/>
          <w:highlight w:val="none"/>
          <w:u w:val="single"/>
          <w:lang w:val="en-US" w:eastAsia="zh-CN"/>
        </w:rPr>
        <w:t xml:space="preserve">    </w:t>
      </w:r>
      <w:r>
        <w:rPr>
          <w:rFonts w:hint="eastAsia" w:ascii="仿宋" w:hAnsi="仿宋" w:eastAsia="仿宋"/>
          <w:bCs/>
          <w:color w:val="auto"/>
          <w:sz w:val="24"/>
          <w:highlight w:val="none"/>
        </w:rPr>
        <w:t>）</w:t>
      </w:r>
      <w:r>
        <w:rPr>
          <w:rFonts w:hint="eastAsia" w:ascii="仿宋" w:hAnsi="仿宋" w:eastAsia="仿宋"/>
          <w:color w:val="auto"/>
          <w:sz w:val="24"/>
          <w:highlight w:val="none"/>
        </w:rPr>
        <w:t>，第</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年起，在上年基础上逐年递增</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single"/>
          <w:lang w:val="en-US" w:eastAsia="zh-CN"/>
        </w:rPr>
        <w:t>2</w:t>
      </w:r>
      <w:r>
        <w:rPr>
          <w:rFonts w:ascii="仿宋" w:hAnsi="仿宋" w:eastAsia="仿宋"/>
          <w:color w:val="auto"/>
          <w:sz w:val="24"/>
          <w:highlight w:val="none"/>
          <w:u w:val="single"/>
        </w:rPr>
        <w:t xml:space="preserve"> </w:t>
      </w:r>
      <w:r>
        <w:rPr>
          <w:rFonts w:hint="eastAsia" w:ascii="仿宋" w:hAnsi="仿宋" w:eastAsia="仿宋"/>
          <w:color w:val="auto"/>
          <w:sz w:val="24"/>
          <w:highlight w:val="none"/>
          <w:u w:val="none"/>
        </w:rPr>
        <w:t>%</w:t>
      </w:r>
      <w:r>
        <w:rPr>
          <w:rFonts w:hint="eastAsia" w:ascii="仿宋" w:hAnsi="仿宋" w:eastAsia="仿宋"/>
          <w:color w:val="auto"/>
          <w:sz w:val="24"/>
          <w:highlight w:val="none"/>
        </w:rPr>
        <w:t>向乙方收取租金。</w:t>
      </w:r>
      <w:r>
        <w:rPr>
          <w:rFonts w:hint="eastAsia" w:ascii="仿宋" w:hAnsi="仿宋" w:eastAsia="仿宋"/>
          <w:color w:val="auto"/>
          <w:sz w:val="24"/>
          <w:highlight w:val="none"/>
        </w:rPr>
        <w:t>上述租金不包含乙方租赁后使用该租赁房屋产生的各项能源费及公用事业费用等其他费用</w:t>
      </w:r>
      <w:r>
        <w:rPr>
          <w:rFonts w:hint="eastAsia" w:ascii="仿宋" w:hAnsi="仿宋" w:eastAsia="仿宋"/>
          <w:color w:val="auto"/>
          <w:sz w:val="24"/>
          <w:highlight w:val="none"/>
        </w:rPr>
        <w:t>。</w:t>
      </w:r>
    </w:p>
    <w:p w14:paraId="00B5F3C8">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保底租金</w:t>
      </w:r>
      <w:r>
        <w:rPr>
          <w:rFonts w:hint="eastAsia" w:ascii="仿宋" w:hAnsi="仿宋" w:eastAsia="仿宋"/>
          <w:color w:val="auto"/>
          <w:sz w:val="24"/>
          <w:highlight w:val="none"/>
        </w:rPr>
        <w:t>及交纳期限如下：</w:t>
      </w:r>
    </w:p>
    <w:tbl>
      <w:tblPr>
        <w:tblStyle w:val="13"/>
        <w:tblW w:w="8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787"/>
        <w:gridCol w:w="1716"/>
        <w:gridCol w:w="1716"/>
        <w:gridCol w:w="1716"/>
      </w:tblGrid>
      <w:tr w14:paraId="133E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5" w:type="dxa"/>
            <w:noWrap w:val="0"/>
            <w:vAlign w:val="top"/>
          </w:tcPr>
          <w:p w14:paraId="49FCDEEB">
            <w:pPr>
              <w:spacing w:line="240" w:lineRule="auto"/>
              <w:jc w:val="center"/>
              <w:rPr>
                <w:rFonts w:hint="eastAsia" w:ascii="仿宋" w:hAnsi="仿宋" w:eastAsia="仿宋"/>
                <w:b/>
                <w:bCs/>
                <w:color w:val="auto"/>
                <w:sz w:val="21"/>
                <w:szCs w:val="21"/>
                <w:highlight w:val="none"/>
              </w:rPr>
            </w:pPr>
            <w:r>
              <w:rPr>
                <w:rFonts w:hint="eastAsia" w:ascii="仿宋" w:hAnsi="仿宋" w:eastAsia="仿宋" w:cs="仿宋"/>
                <w:b/>
                <w:bCs/>
                <w:color w:val="auto"/>
                <w:sz w:val="21"/>
                <w:szCs w:val="21"/>
                <w:highlight w:val="none"/>
              </w:rPr>
              <w:t>期数</w:t>
            </w:r>
          </w:p>
        </w:tc>
        <w:tc>
          <w:tcPr>
            <w:tcW w:w="1787" w:type="dxa"/>
            <w:noWrap/>
            <w:vAlign w:val="center"/>
          </w:tcPr>
          <w:p w14:paraId="5401460E">
            <w:pPr>
              <w:keepNext w:val="0"/>
              <w:keepLines w:val="0"/>
              <w:widowControl/>
              <w:suppressLineNumbers w:val="0"/>
              <w:spacing w:line="240" w:lineRule="auto"/>
              <w:jc w:val="center"/>
              <w:textAlignment w:val="center"/>
              <w:rPr>
                <w:rFonts w:ascii="仿宋" w:hAnsi="仿宋" w:eastAsia="仿宋"/>
                <w:color w:val="auto"/>
                <w:sz w:val="21"/>
                <w:szCs w:val="21"/>
                <w:highlight w:val="none"/>
              </w:rPr>
            </w:pPr>
            <w:r>
              <w:rPr>
                <w:rFonts w:hint="eastAsia" w:ascii="仿宋" w:hAnsi="仿宋" w:eastAsia="仿宋" w:cs="仿宋"/>
                <w:b/>
                <w:bCs/>
                <w:i w:val="0"/>
                <w:iCs w:val="0"/>
                <w:color w:val="auto"/>
                <w:kern w:val="0"/>
                <w:sz w:val="21"/>
                <w:szCs w:val="21"/>
                <w:u w:val="none"/>
                <w:lang w:val="en-US" w:eastAsia="zh-CN" w:bidi="ar"/>
              </w:rPr>
              <w:t>周期开始时间</w:t>
            </w:r>
          </w:p>
        </w:tc>
        <w:tc>
          <w:tcPr>
            <w:tcW w:w="1716" w:type="dxa"/>
            <w:noWrap/>
            <w:vAlign w:val="center"/>
          </w:tcPr>
          <w:p w14:paraId="24CB76C2">
            <w:pPr>
              <w:keepNext w:val="0"/>
              <w:keepLines w:val="0"/>
              <w:widowControl/>
              <w:suppressLineNumbers w:val="0"/>
              <w:spacing w:line="240" w:lineRule="auto"/>
              <w:jc w:val="center"/>
              <w:textAlignment w:val="center"/>
              <w:rPr>
                <w:rFonts w:hint="eastAsia" w:ascii="仿宋" w:hAnsi="仿宋" w:eastAsia="仿宋"/>
                <w:b/>
                <w:bCs/>
                <w:color w:val="auto"/>
                <w:sz w:val="21"/>
                <w:szCs w:val="21"/>
                <w:highlight w:val="none"/>
              </w:rPr>
            </w:pPr>
            <w:r>
              <w:rPr>
                <w:rFonts w:hint="eastAsia" w:ascii="仿宋" w:hAnsi="仿宋" w:eastAsia="仿宋" w:cs="仿宋"/>
                <w:b/>
                <w:bCs/>
                <w:i w:val="0"/>
                <w:iCs w:val="0"/>
                <w:color w:val="auto"/>
                <w:kern w:val="0"/>
                <w:sz w:val="21"/>
                <w:szCs w:val="21"/>
                <w:u w:val="none"/>
                <w:lang w:val="en-US" w:eastAsia="zh-CN" w:bidi="ar"/>
              </w:rPr>
              <w:t>周期截止时间</w:t>
            </w:r>
          </w:p>
        </w:tc>
        <w:tc>
          <w:tcPr>
            <w:tcW w:w="1716" w:type="dxa"/>
            <w:noWrap/>
            <w:vAlign w:val="center"/>
          </w:tcPr>
          <w:p w14:paraId="16673FAA">
            <w:pPr>
              <w:spacing w:line="240" w:lineRule="auto"/>
              <w:jc w:val="center"/>
              <w:rPr>
                <w:rFonts w:hint="eastAsia" w:ascii="仿宋" w:hAnsi="仿宋" w:eastAsia="仿宋"/>
                <w:b/>
                <w:bCs/>
                <w:color w:val="auto"/>
                <w:sz w:val="21"/>
                <w:szCs w:val="21"/>
                <w:highlight w:val="none"/>
              </w:rPr>
            </w:pPr>
            <w:r>
              <w:rPr>
                <w:rFonts w:hint="eastAsia" w:ascii="仿宋" w:hAnsi="仿宋" w:eastAsia="仿宋" w:cs="仿宋"/>
                <w:b/>
                <w:bCs/>
                <w:color w:val="auto"/>
                <w:sz w:val="21"/>
                <w:szCs w:val="21"/>
                <w:highlight w:val="none"/>
              </w:rPr>
              <w:t>支付金额（元）</w:t>
            </w:r>
          </w:p>
        </w:tc>
        <w:tc>
          <w:tcPr>
            <w:tcW w:w="1716" w:type="dxa"/>
            <w:noWrap/>
            <w:vAlign w:val="center"/>
          </w:tcPr>
          <w:p w14:paraId="78D07AC8">
            <w:pPr>
              <w:spacing w:line="240" w:lineRule="auto"/>
              <w:jc w:val="center"/>
              <w:rPr>
                <w:rFonts w:hint="eastAsia" w:ascii="仿宋" w:hAnsi="仿宋" w:eastAsia="仿宋"/>
                <w:b/>
                <w:bCs/>
                <w:color w:val="auto"/>
                <w:sz w:val="21"/>
                <w:szCs w:val="21"/>
                <w:highlight w:val="none"/>
              </w:rPr>
            </w:pPr>
            <w:r>
              <w:rPr>
                <w:rFonts w:hint="eastAsia" w:ascii="仿宋" w:hAnsi="仿宋" w:eastAsia="仿宋" w:cs="仿宋"/>
                <w:b/>
                <w:bCs/>
                <w:color w:val="auto"/>
                <w:sz w:val="21"/>
                <w:szCs w:val="21"/>
                <w:highlight w:val="none"/>
              </w:rPr>
              <w:t>支付时间</w:t>
            </w:r>
          </w:p>
        </w:tc>
      </w:tr>
      <w:tr w14:paraId="5F7D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3AD56FEF">
            <w:pPr>
              <w:keepNext w:val="0"/>
              <w:keepLines w:val="0"/>
              <w:widowControl/>
              <w:suppressLineNumbers w:val="0"/>
              <w:jc w:val="center"/>
              <w:textAlignment w:val="center"/>
              <w:rPr>
                <w:rFonts w:hint="eastAsia" w:ascii="仿宋" w:hAnsi="仿宋" w:eastAsia="仿宋" w:cs="仿宋"/>
                <w:color w:val="auto"/>
                <w:sz w:val="24"/>
                <w:szCs w:val="24"/>
                <w:highlight w:val="none"/>
              </w:rPr>
            </w:pPr>
            <w:r>
              <w:rPr>
                <w:rFonts w:hint="eastAsia" w:ascii="宋体" w:hAnsi="宋体" w:eastAsia="宋体" w:cs="宋体"/>
                <w:i w:val="0"/>
                <w:iCs w:val="0"/>
                <w:color w:val="auto"/>
                <w:kern w:val="0"/>
                <w:sz w:val="24"/>
                <w:szCs w:val="24"/>
                <w:u w:val="none"/>
                <w:lang w:val="en-US" w:eastAsia="zh-CN" w:bidi="ar"/>
              </w:rPr>
              <w:t>第一期</w:t>
            </w:r>
          </w:p>
        </w:tc>
        <w:tc>
          <w:tcPr>
            <w:tcW w:w="1787" w:type="dxa"/>
            <w:noWrap/>
            <w:vAlign w:val="center"/>
          </w:tcPr>
          <w:p w14:paraId="0CB39CF9">
            <w:pPr>
              <w:keepNext w:val="0"/>
              <w:keepLines w:val="0"/>
              <w:widowControl/>
              <w:suppressLineNumbers w:val="0"/>
              <w:jc w:val="center"/>
              <w:textAlignment w:val="center"/>
              <w:rPr>
                <w:rFonts w:hint="default" w:ascii="仿宋" w:hAnsi="仿宋" w:eastAsia="仿宋" w:cs="仿宋"/>
                <w:color w:val="auto"/>
                <w:sz w:val="24"/>
                <w:szCs w:val="24"/>
                <w:highlight w:val="none"/>
                <w:lang w:val="en-US" w:eastAsia="zh-CN"/>
              </w:rPr>
            </w:pPr>
            <w:r>
              <w:rPr>
                <w:rFonts w:hint="eastAsia" w:ascii="宋体" w:hAnsi="宋体" w:cs="宋体"/>
                <w:i w:val="0"/>
                <w:iCs w:val="0"/>
                <w:color w:val="auto"/>
                <w:kern w:val="0"/>
                <w:sz w:val="24"/>
                <w:szCs w:val="24"/>
                <w:u w:val="none"/>
                <w:lang w:val="en-US" w:eastAsia="zh-CN" w:bidi="ar"/>
              </w:rPr>
              <w:t>2026-12-1</w:t>
            </w:r>
          </w:p>
        </w:tc>
        <w:tc>
          <w:tcPr>
            <w:tcW w:w="1716" w:type="dxa"/>
            <w:noWrap/>
            <w:vAlign w:val="center"/>
          </w:tcPr>
          <w:p w14:paraId="095DFB46">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28</w:t>
            </w:r>
          </w:p>
        </w:tc>
        <w:tc>
          <w:tcPr>
            <w:tcW w:w="1716" w:type="dxa"/>
            <w:noWrap/>
            <w:vAlign w:val="center"/>
          </w:tcPr>
          <w:p w14:paraId="3CFB8429">
            <w:pPr>
              <w:keepNext w:val="0"/>
              <w:keepLines w:val="0"/>
              <w:widowControl/>
              <w:suppressLineNumbers w:val="0"/>
              <w:jc w:val="center"/>
              <w:textAlignment w:val="center"/>
              <w:rPr>
                <w:rFonts w:hint="default" w:ascii="仿宋" w:hAnsi="仿宋" w:eastAsia="仿宋" w:cs="仿宋"/>
                <w:color w:val="auto"/>
                <w:sz w:val="24"/>
                <w:szCs w:val="24"/>
                <w:highlight w:val="none"/>
                <w:lang w:val="en-US"/>
              </w:rPr>
            </w:pPr>
          </w:p>
        </w:tc>
        <w:tc>
          <w:tcPr>
            <w:tcW w:w="1716" w:type="dxa"/>
            <w:noWrap/>
            <w:vAlign w:val="center"/>
          </w:tcPr>
          <w:p w14:paraId="1D916E57">
            <w:pPr>
              <w:keepNext w:val="0"/>
              <w:keepLines w:val="0"/>
              <w:widowControl/>
              <w:suppressLineNumbers w:val="0"/>
              <w:spacing w:line="240" w:lineRule="auto"/>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仿宋" w:hAnsi="仿宋" w:eastAsia="仿宋" w:cs="仿宋"/>
                <w:color w:val="auto"/>
                <w:sz w:val="24"/>
                <w:szCs w:val="24"/>
                <w:highlight w:val="none"/>
              </w:rPr>
              <w:t>合同签订后【</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】个工作日内</w:t>
            </w:r>
          </w:p>
        </w:tc>
      </w:tr>
      <w:tr w14:paraId="6D9B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417711E2">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第二期</w:t>
            </w:r>
          </w:p>
        </w:tc>
        <w:tc>
          <w:tcPr>
            <w:tcW w:w="1787" w:type="dxa"/>
            <w:noWrap/>
            <w:vAlign w:val="center"/>
          </w:tcPr>
          <w:p w14:paraId="6BF34672">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40C87DBB">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1</w:t>
            </w:r>
          </w:p>
        </w:tc>
        <w:tc>
          <w:tcPr>
            <w:tcW w:w="1716" w:type="dxa"/>
            <w:noWrap/>
            <w:vAlign w:val="center"/>
          </w:tcPr>
          <w:p w14:paraId="50EE726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1716" w:type="dxa"/>
            <w:noWrap/>
            <w:vAlign w:val="center"/>
          </w:tcPr>
          <w:p w14:paraId="1C1428AA">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2027-02-15</w:t>
            </w:r>
          </w:p>
        </w:tc>
      </w:tr>
      <w:tr w14:paraId="3CF2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560053F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第三期</w:t>
            </w:r>
          </w:p>
        </w:tc>
        <w:tc>
          <w:tcPr>
            <w:tcW w:w="1787" w:type="dxa"/>
            <w:noWrap/>
            <w:vAlign w:val="center"/>
          </w:tcPr>
          <w:p w14:paraId="75368A6B">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6</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0DB6ACBC">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8</w:t>
            </w:r>
            <w:r>
              <w:rPr>
                <w:rFonts w:hint="eastAsia" w:ascii="宋体" w:hAnsi="宋体" w:eastAsia="宋体" w:cs="宋体"/>
                <w:i w:val="0"/>
                <w:iCs w:val="0"/>
                <w:color w:val="auto"/>
                <w:kern w:val="0"/>
                <w:sz w:val="24"/>
                <w:szCs w:val="24"/>
                <w:u w:val="none"/>
                <w:lang w:val="en-US" w:eastAsia="zh-CN" w:bidi="ar"/>
              </w:rPr>
              <w:t>-31</w:t>
            </w:r>
          </w:p>
        </w:tc>
        <w:tc>
          <w:tcPr>
            <w:tcW w:w="1716" w:type="dxa"/>
            <w:noWrap/>
            <w:vAlign w:val="center"/>
          </w:tcPr>
          <w:p w14:paraId="7735291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7A5095B1">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2027-05-15</w:t>
            </w:r>
          </w:p>
        </w:tc>
      </w:tr>
      <w:tr w14:paraId="14EE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59F5530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第四期</w:t>
            </w:r>
          </w:p>
        </w:tc>
        <w:tc>
          <w:tcPr>
            <w:tcW w:w="1787" w:type="dxa"/>
            <w:noWrap/>
            <w:vAlign w:val="center"/>
          </w:tcPr>
          <w:p w14:paraId="0ED5B62C">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2027-0</w:t>
            </w:r>
            <w:r>
              <w:rPr>
                <w:rFonts w:hint="eastAsia" w:ascii="宋体" w:hAnsi="宋体" w:cs="宋体"/>
                <w:i w:val="0"/>
                <w:iCs w:val="0"/>
                <w:color w:val="auto"/>
                <w:kern w:val="0"/>
                <w:sz w:val="24"/>
                <w:szCs w:val="24"/>
                <w:u w:val="none"/>
                <w:lang w:val="en-US" w:eastAsia="zh-CN" w:bidi="ar"/>
              </w:rPr>
              <w:t>9</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6FD656B8">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2027-1</w:t>
            </w: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0</w:t>
            </w:r>
          </w:p>
        </w:tc>
        <w:tc>
          <w:tcPr>
            <w:tcW w:w="1716" w:type="dxa"/>
            <w:noWrap/>
            <w:vAlign w:val="center"/>
          </w:tcPr>
          <w:p w14:paraId="4620DAE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453EA754">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2027-08-15</w:t>
            </w:r>
          </w:p>
        </w:tc>
      </w:tr>
      <w:tr w14:paraId="1AE4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78D698B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第五期</w:t>
            </w:r>
          </w:p>
        </w:tc>
        <w:tc>
          <w:tcPr>
            <w:tcW w:w="1787" w:type="dxa"/>
            <w:noWrap/>
            <w:vAlign w:val="center"/>
          </w:tcPr>
          <w:p w14:paraId="1568B72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2027-1</w:t>
            </w: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2F35CFAB">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29</w:t>
            </w:r>
          </w:p>
        </w:tc>
        <w:tc>
          <w:tcPr>
            <w:tcW w:w="1716" w:type="dxa"/>
            <w:noWrap/>
            <w:vAlign w:val="center"/>
          </w:tcPr>
          <w:p w14:paraId="39DE154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01F90725">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2027-11-15</w:t>
            </w:r>
          </w:p>
        </w:tc>
      </w:tr>
      <w:tr w14:paraId="14A9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2BD65CE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第六期</w:t>
            </w:r>
          </w:p>
        </w:tc>
        <w:tc>
          <w:tcPr>
            <w:tcW w:w="1787" w:type="dxa"/>
            <w:noWrap/>
            <w:vAlign w:val="center"/>
          </w:tcPr>
          <w:p w14:paraId="0CCCA8EB">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0EE43CB5">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1</w:t>
            </w:r>
          </w:p>
        </w:tc>
        <w:tc>
          <w:tcPr>
            <w:tcW w:w="1716" w:type="dxa"/>
            <w:noWrap/>
            <w:vAlign w:val="center"/>
          </w:tcPr>
          <w:p w14:paraId="27CD4A06">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03B804B9">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2028-02-15</w:t>
            </w:r>
          </w:p>
        </w:tc>
      </w:tr>
      <w:tr w14:paraId="06B7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28C17204">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第七期</w:t>
            </w:r>
          </w:p>
        </w:tc>
        <w:tc>
          <w:tcPr>
            <w:tcW w:w="1787" w:type="dxa"/>
            <w:noWrap/>
            <w:vAlign w:val="center"/>
          </w:tcPr>
          <w:p w14:paraId="7228A7F3">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6</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02D95319">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8</w:t>
            </w:r>
            <w:r>
              <w:rPr>
                <w:rFonts w:hint="eastAsia" w:ascii="宋体" w:hAnsi="宋体" w:eastAsia="宋体" w:cs="宋体"/>
                <w:i w:val="0"/>
                <w:iCs w:val="0"/>
                <w:color w:val="auto"/>
                <w:kern w:val="0"/>
                <w:sz w:val="24"/>
                <w:szCs w:val="24"/>
                <w:u w:val="none"/>
                <w:lang w:val="en-US" w:eastAsia="zh-CN" w:bidi="ar"/>
              </w:rPr>
              <w:t>-31</w:t>
            </w:r>
          </w:p>
        </w:tc>
        <w:tc>
          <w:tcPr>
            <w:tcW w:w="1716" w:type="dxa"/>
            <w:noWrap/>
            <w:vAlign w:val="center"/>
          </w:tcPr>
          <w:p w14:paraId="523666B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2489D674">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2028-05-15</w:t>
            </w:r>
          </w:p>
        </w:tc>
      </w:tr>
      <w:tr w14:paraId="48ED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773F96A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第八期</w:t>
            </w:r>
          </w:p>
        </w:tc>
        <w:tc>
          <w:tcPr>
            <w:tcW w:w="1787" w:type="dxa"/>
            <w:noWrap/>
            <w:vAlign w:val="center"/>
          </w:tcPr>
          <w:p w14:paraId="3FBF1C17">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2028-0</w:t>
            </w:r>
            <w:r>
              <w:rPr>
                <w:rFonts w:hint="eastAsia" w:ascii="宋体" w:hAnsi="宋体" w:cs="宋体"/>
                <w:i w:val="0"/>
                <w:iCs w:val="0"/>
                <w:color w:val="auto"/>
                <w:kern w:val="0"/>
                <w:sz w:val="24"/>
                <w:szCs w:val="24"/>
                <w:u w:val="none"/>
                <w:lang w:val="en-US" w:eastAsia="zh-CN" w:bidi="ar"/>
              </w:rPr>
              <w:t>9</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71B2EB80">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2028-1</w:t>
            </w: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0</w:t>
            </w:r>
          </w:p>
        </w:tc>
        <w:tc>
          <w:tcPr>
            <w:tcW w:w="1716" w:type="dxa"/>
            <w:noWrap/>
            <w:vAlign w:val="center"/>
          </w:tcPr>
          <w:p w14:paraId="4B10122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6248B47E">
            <w:pPr>
              <w:keepNext w:val="0"/>
              <w:keepLines w:val="0"/>
              <w:widowControl/>
              <w:suppressLineNumbers w:val="0"/>
              <w:spacing w:line="240" w:lineRule="auto"/>
              <w:jc w:val="center"/>
              <w:textAlignment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2028-08-15</w:t>
            </w:r>
          </w:p>
        </w:tc>
      </w:tr>
      <w:tr w14:paraId="09E7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78B06D2D">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第九期</w:t>
            </w:r>
          </w:p>
        </w:tc>
        <w:tc>
          <w:tcPr>
            <w:tcW w:w="1787" w:type="dxa"/>
            <w:noWrap/>
            <w:vAlign w:val="center"/>
          </w:tcPr>
          <w:p w14:paraId="7461F4E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2028-1</w:t>
            </w: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01448C4A">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w:t>
            </w:r>
            <w:r>
              <w:rPr>
                <w:rFonts w:hint="eastAsia" w:ascii="宋体" w:hAnsi="宋体" w:cs="宋体"/>
                <w:i w:val="0"/>
                <w:iCs w:val="0"/>
                <w:color w:val="auto"/>
                <w:kern w:val="0"/>
                <w:sz w:val="24"/>
                <w:szCs w:val="24"/>
                <w:u w:val="none"/>
                <w:lang w:val="en-US" w:eastAsia="zh-CN" w:bidi="ar"/>
              </w:rPr>
              <w:t>28</w:t>
            </w:r>
          </w:p>
        </w:tc>
        <w:tc>
          <w:tcPr>
            <w:tcW w:w="1716" w:type="dxa"/>
            <w:shd w:val="clear" w:color="auto" w:fill="auto"/>
            <w:noWrap/>
            <w:vAlign w:val="center"/>
          </w:tcPr>
          <w:p w14:paraId="66DBE794">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p>
        </w:tc>
        <w:tc>
          <w:tcPr>
            <w:tcW w:w="1716" w:type="dxa"/>
            <w:shd w:val="clear" w:color="auto" w:fill="auto"/>
            <w:noWrap/>
            <w:vAlign w:val="center"/>
          </w:tcPr>
          <w:p w14:paraId="58AB3FBE">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2028-11-15</w:t>
            </w:r>
          </w:p>
        </w:tc>
      </w:tr>
      <w:tr w14:paraId="3F7E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4F6F5820">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第十期</w:t>
            </w:r>
          </w:p>
        </w:tc>
        <w:tc>
          <w:tcPr>
            <w:tcW w:w="1787" w:type="dxa"/>
            <w:noWrap/>
            <w:vAlign w:val="center"/>
          </w:tcPr>
          <w:p w14:paraId="3B8A409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5AA5F3B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5</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1</w:t>
            </w:r>
          </w:p>
        </w:tc>
        <w:tc>
          <w:tcPr>
            <w:tcW w:w="1716" w:type="dxa"/>
            <w:shd w:val="clear" w:color="auto" w:fill="auto"/>
            <w:noWrap/>
            <w:vAlign w:val="center"/>
          </w:tcPr>
          <w:p w14:paraId="7F987B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shd w:val="clear" w:color="auto" w:fill="auto"/>
            <w:noWrap/>
            <w:vAlign w:val="center"/>
          </w:tcPr>
          <w:p w14:paraId="165E29E6">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2029-02-15</w:t>
            </w:r>
          </w:p>
        </w:tc>
      </w:tr>
      <w:tr w14:paraId="5410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157EAC55">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第十一期</w:t>
            </w:r>
          </w:p>
        </w:tc>
        <w:tc>
          <w:tcPr>
            <w:tcW w:w="1787" w:type="dxa"/>
            <w:noWrap/>
            <w:vAlign w:val="center"/>
          </w:tcPr>
          <w:p w14:paraId="0709EC0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6</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6241E12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8</w:t>
            </w:r>
            <w:r>
              <w:rPr>
                <w:rFonts w:hint="eastAsia" w:ascii="宋体" w:hAnsi="宋体" w:eastAsia="宋体" w:cs="宋体"/>
                <w:i w:val="0"/>
                <w:iCs w:val="0"/>
                <w:color w:val="auto"/>
                <w:kern w:val="0"/>
                <w:sz w:val="24"/>
                <w:szCs w:val="24"/>
                <w:u w:val="none"/>
                <w:lang w:val="en-US" w:eastAsia="zh-CN" w:bidi="ar"/>
              </w:rPr>
              <w:t>-31</w:t>
            </w:r>
          </w:p>
        </w:tc>
        <w:tc>
          <w:tcPr>
            <w:tcW w:w="1716" w:type="dxa"/>
            <w:shd w:val="clear" w:color="auto" w:fill="auto"/>
            <w:noWrap/>
            <w:vAlign w:val="center"/>
          </w:tcPr>
          <w:p w14:paraId="18143CD5">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shd w:val="clear" w:color="auto" w:fill="auto"/>
            <w:noWrap/>
            <w:vAlign w:val="center"/>
          </w:tcPr>
          <w:p w14:paraId="0EB27056">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2029-05-15</w:t>
            </w:r>
          </w:p>
        </w:tc>
      </w:tr>
      <w:tr w14:paraId="5541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613D57B7">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第十二期</w:t>
            </w:r>
          </w:p>
        </w:tc>
        <w:tc>
          <w:tcPr>
            <w:tcW w:w="1787" w:type="dxa"/>
            <w:noWrap/>
            <w:vAlign w:val="center"/>
          </w:tcPr>
          <w:p w14:paraId="344B568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2029-0</w:t>
            </w:r>
            <w:r>
              <w:rPr>
                <w:rFonts w:hint="eastAsia" w:ascii="宋体" w:hAnsi="宋体" w:cs="宋体"/>
                <w:i w:val="0"/>
                <w:iCs w:val="0"/>
                <w:color w:val="auto"/>
                <w:kern w:val="0"/>
                <w:sz w:val="24"/>
                <w:szCs w:val="24"/>
                <w:u w:val="none"/>
                <w:lang w:val="en-US" w:eastAsia="zh-CN" w:bidi="ar"/>
              </w:rPr>
              <w:t>9</w:t>
            </w:r>
            <w:r>
              <w:rPr>
                <w:rFonts w:hint="eastAsia" w:ascii="宋体" w:hAnsi="宋体" w:eastAsia="宋体" w:cs="宋体"/>
                <w:i w:val="0"/>
                <w:iCs w:val="0"/>
                <w:color w:val="auto"/>
                <w:kern w:val="0"/>
                <w:sz w:val="24"/>
                <w:szCs w:val="24"/>
                <w:u w:val="none"/>
                <w:lang w:val="en-US" w:eastAsia="zh-CN" w:bidi="ar"/>
              </w:rPr>
              <w:t>-01</w:t>
            </w:r>
          </w:p>
        </w:tc>
        <w:tc>
          <w:tcPr>
            <w:tcW w:w="1716" w:type="dxa"/>
            <w:noWrap/>
            <w:vAlign w:val="center"/>
          </w:tcPr>
          <w:p w14:paraId="787D390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2029-1</w:t>
            </w: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-3</w:t>
            </w:r>
            <w:r>
              <w:rPr>
                <w:rFonts w:hint="eastAsia" w:ascii="宋体" w:hAnsi="宋体" w:cs="宋体"/>
                <w:i w:val="0"/>
                <w:iCs w:val="0"/>
                <w:color w:val="auto"/>
                <w:kern w:val="0"/>
                <w:sz w:val="24"/>
                <w:szCs w:val="24"/>
                <w:u w:val="none"/>
                <w:lang w:val="en-US" w:eastAsia="zh-CN" w:bidi="ar"/>
              </w:rPr>
              <w:t>0</w:t>
            </w:r>
          </w:p>
        </w:tc>
        <w:tc>
          <w:tcPr>
            <w:tcW w:w="1716" w:type="dxa"/>
            <w:shd w:val="clear" w:color="auto" w:fill="auto"/>
            <w:noWrap/>
            <w:vAlign w:val="center"/>
          </w:tcPr>
          <w:p w14:paraId="54124A4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shd w:val="clear" w:color="auto" w:fill="auto"/>
            <w:noWrap/>
            <w:vAlign w:val="center"/>
          </w:tcPr>
          <w:p w14:paraId="1DD2A379">
            <w:pPr>
              <w:keepNext w:val="0"/>
              <w:keepLines w:val="0"/>
              <w:widowControl/>
              <w:suppressLineNumbers w:val="0"/>
              <w:spacing w:line="240" w:lineRule="auto"/>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2029-08-15</w:t>
            </w:r>
          </w:p>
        </w:tc>
      </w:tr>
      <w:tr w14:paraId="2370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545" w:type="dxa"/>
            <w:noWrap w:val="0"/>
            <w:vAlign w:val="center"/>
          </w:tcPr>
          <w:p w14:paraId="78120EE4">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c>
          <w:tcPr>
            <w:tcW w:w="1787" w:type="dxa"/>
            <w:noWrap/>
            <w:vAlign w:val="center"/>
          </w:tcPr>
          <w:p w14:paraId="0F31F65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noWrap/>
            <w:vAlign w:val="center"/>
          </w:tcPr>
          <w:p w14:paraId="7D468B8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716" w:type="dxa"/>
            <w:shd w:val="clear" w:color="auto" w:fill="auto"/>
            <w:noWrap/>
            <w:vAlign w:val="center"/>
          </w:tcPr>
          <w:p w14:paraId="4C9733B8">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p>
        </w:tc>
        <w:tc>
          <w:tcPr>
            <w:tcW w:w="1716" w:type="dxa"/>
            <w:noWrap/>
            <w:vAlign w:val="center"/>
          </w:tcPr>
          <w:p w14:paraId="1A2C31E8">
            <w:pPr>
              <w:keepNext w:val="0"/>
              <w:keepLines w:val="0"/>
              <w:widowControl/>
              <w:suppressLineNumbers w:val="0"/>
              <w:spacing w:line="240" w:lineRule="auto"/>
              <w:jc w:val="center"/>
              <w:textAlignment w:val="center"/>
              <w:rPr>
                <w:rFonts w:hint="eastAsia" w:ascii="仿宋" w:hAnsi="仿宋" w:eastAsia="仿宋" w:cs="仿宋"/>
                <w:color w:val="auto"/>
                <w:sz w:val="24"/>
                <w:szCs w:val="24"/>
                <w:highlight w:val="none"/>
                <w:lang w:val="en-US" w:eastAsia="zh-CN"/>
              </w:rPr>
            </w:pPr>
          </w:p>
        </w:tc>
      </w:tr>
    </w:tbl>
    <w:p w14:paraId="2F4F2947">
      <w:pPr>
        <w:spacing w:line="360" w:lineRule="auto"/>
        <w:ind w:firstLine="480" w:firstLineChars="200"/>
        <w:rPr>
          <w:rFonts w:hint="eastAsia" w:ascii="仿宋" w:hAnsi="仿宋" w:eastAsia="仿宋"/>
          <w:strike/>
          <w:color w:val="auto"/>
          <w:sz w:val="24"/>
          <w:highlight w:val="none"/>
        </w:rPr>
      </w:pPr>
      <w:r>
        <w:rPr>
          <w:rFonts w:hint="eastAsia" w:ascii="仿宋" w:hAnsi="仿宋" w:eastAsia="仿宋"/>
          <w:color w:val="auto"/>
          <w:sz w:val="24"/>
          <w:highlight w:val="none"/>
        </w:rPr>
        <w:t>注：</w:t>
      </w:r>
      <w:r>
        <w:rPr>
          <w:rFonts w:hint="eastAsia" w:ascii="仿宋" w:hAnsi="仿宋" w:eastAsia="仿宋"/>
          <w:color w:val="auto"/>
          <w:sz w:val="24"/>
          <w:highlight w:val="none"/>
          <w:lang w:val="en-US" w:eastAsia="zh-CN"/>
        </w:rPr>
        <w:t>首期实际交付日为起始日，费用</w:t>
      </w:r>
      <w:r>
        <w:rPr>
          <w:rFonts w:hint="eastAsia" w:ascii="仿宋" w:hAnsi="仿宋" w:eastAsia="仿宋"/>
          <w:color w:val="auto"/>
          <w:sz w:val="24"/>
          <w:highlight w:val="none"/>
        </w:rPr>
        <w:t>时段及支付时间（第一期支付时间除外）按照实际交付时间逐期</w:t>
      </w:r>
      <w:r>
        <w:rPr>
          <w:rFonts w:hint="eastAsia" w:ascii="仿宋" w:hAnsi="仿宋" w:eastAsia="仿宋"/>
          <w:color w:val="auto"/>
          <w:sz w:val="24"/>
          <w:highlight w:val="none"/>
          <w:lang w:val="en-US" w:eastAsia="zh-CN"/>
        </w:rPr>
        <w:t>调整</w:t>
      </w:r>
      <w:r>
        <w:rPr>
          <w:rFonts w:hint="eastAsia" w:ascii="仿宋" w:hAnsi="仿宋" w:eastAsia="仿宋"/>
          <w:color w:val="auto"/>
          <w:sz w:val="24"/>
          <w:highlight w:val="none"/>
        </w:rPr>
        <w:t>。</w:t>
      </w:r>
    </w:p>
    <w:p w14:paraId="3153C79A">
      <w:pPr>
        <w:spacing w:line="360" w:lineRule="auto"/>
        <w:ind w:firstLine="482" w:firstLineChars="200"/>
        <w:jc w:val="both"/>
        <w:rPr>
          <w:rFonts w:hint="default" w:ascii="仿宋" w:hAnsi="仿宋" w:eastAsia="仿宋"/>
          <w:b/>
          <w:color w:val="auto"/>
          <w:sz w:val="24"/>
          <w:highlight w:val="none"/>
          <w:lang w:val="en-US" w:eastAsia="zh-CN"/>
        </w:rPr>
      </w:pPr>
      <w:r>
        <w:rPr>
          <w:rFonts w:hint="eastAsia" w:ascii="仿宋" w:hAnsi="仿宋" w:eastAsia="仿宋"/>
          <w:b/>
          <w:color w:val="auto"/>
          <w:sz w:val="24"/>
          <w:highlight w:val="none"/>
        </w:rPr>
        <w:t>4.</w:t>
      </w:r>
      <w:r>
        <w:rPr>
          <w:rFonts w:hint="eastAsia" w:ascii="仿宋" w:hAnsi="仿宋" w:eastAsia="仿宋"/>
          <w:b/>
          <w:color w:val="auto"/>
          <w:sz w:val="24"/>
          <w:highlight w:val="none"/>
          <w:lang w:val="en-US" w:eastAsia="zh-CN"/>
        </w:rPr>
        <w:t>2</w:t>
      </w:r>
      <w:r>
        <w:rPr>
          <w:rFonts w:ascii="仿宋" w:hAnsi="仿宋" w:eastAsia="仿宋"/>
          <w:b/>
          <w:color w:val="auto"/>
          <w:sz w:val="24"/>
          <w:highlight w:val="none"/>
        </w:rPr>
        <w:t xml:space="preserve"> </w:t>
      </w:r>
      <w:r>
        <w:rPr>
          <w:rFonts w:hint="eastAsia" w:ascii="仿宋" w:hAnsi="仿宋" w:eastAsia="仿宋"/>
          <w:b w:val="0"/>
          <w:bCs/>
          <w:color w:val="auto"/>
          <w:sz w:val="24"/>
          <w:highlight w:val="none"/>
          <w:lang w:val="en-US" w:eastAsia="zh-CN"/>
        </w:rPr>
        <w:t xml:space="preserve"> 收益分成：</w:t>
      </w:r>
      <w:r>
        <w:rPr>
          <w:rFonts w:hint="eastAsia" w:ascii="仿宋" w:hAnsi="仿宋" w:eastAsia="仿宋"/>
          <w:color w:val="auto"/>
          <w:sz w:val="24"/>
          <w:highlight w:val="none"/>
          <w:lang w:val="en-US" w:eastAsia="zh-CN"/>
        </w:rPr>
        <w:t>乙方</w:t>
      </w:r>
      <w:r>
        <w:rPr>
          <w:rFonts w:hint="eastAsia" w:ascii="仿宋" w:hAnsi="仿宋" w:eastAsia="仿宋"/>
          <w:color w:val="auto"/>
          <w:sz w:val="24"/>
          <w:highlight w:val="none"/>
        </w:rPr>
        <w:t>必须满足公寓房间作为园区专属配套用房的使用需求，优先保障园区入驻企业职工、项目合作客户、研学及培训参训人员、园区商户等群体入住。</w:t>
      </w:r>
      <w:r>
        <w:rPr>
          <w:rFonts w:hint="eastAsia" w:ascii="仿宋" w:hAnsi="仿宋" w:eastAsia="仿宋"/>
          <w:color w:val="auto"/>
          <w:sz w:val="24"/>
          <w:highlight w:val="none"/>
          <w:lang w:val="en-US" w:eastAsia="zh-CN"/>
        </w:rPr>
        <w:t>甲方</w:t>
      </w:r>
      <w:r>
        <w:rPr>
          <w:rFonts w:hint="eastAsia" w:ascii="仿宋" w:hAnsi="仿宋" w:eastAsia="仿宋"/>
          <w:color w:val="auto"/>
          <w:sz w:val="24"/>
          <w:highlight w:val="none"/>
        </w:rPr>
        <w:t>推荐客户使用专属配套用房，</w:t>
      </w:r>
      <w:r>
        <w:rPr>
          <w:rFonts w:hint="eastAsia" w:ascii="仿宋" w:hAnsi="仿宋" w:eastAsia="仿宋"/>
          <w:color w:val="auto"/>
          <w:sz w:val="24"/>
          <w:highlight w:val="none"/>
          <w:lang w:val="en-US" w:eastAsia="zh-CN"/>
        </w:rPr>
        <w:t>乙方给客户的结算价需</w:t>
      </w:r>
      <w:r>
        <w:rPr>
          <w:rFonts w:hint="eastAsia" w:ascii="仿宋" w:hAnsi="仿宋" w:eastAsia="仿宋"/>
          <w:color w:val="auto"/>
          <w:sz w:val="24"/>
          <w:highlight w:val="none"/>
        </w:rPr>
        <w:t>按对外门市价的8.5折结算，单套月租金最高不超过1000元/月。</w:t>
      </w:r>
      <w:r>
        <w:rPr>
          <w:rFonts w:hint="eastAsia" w:ascii="仿宋" w:hAnsi="仿宋" w:eastAsia="仿宋"/>
          <w:color w:val="auto"/>
          <w:sz w:val="24"/>
          <w:highlight w:val="none"/>
          <w:lang w:val="en-US" w:eastAsia="zh-CN"/>
        </w:rPr>
        <w:t>同时</w:t>
      </w:r>
      <w:r>
        <w:rPr>
          <w:rFonts w:hint="eastAsia" w:ascii="仿宋" w:hAnsi="仿宋" w:eastAsia="仿宋"/>
          <w:color w:val="auto"/>
          <w:sz w:val="24"/>
          <w:highlight w:val="none"/>
        </w:rPr>
        <w:t>按推荐客户最终成交协议总价的5%</w:t>
      </w:r>
      <w:r>
        <w:rPr>
          <w:rFonts w:hint="eastAsia" w:ascii="仿宋" w:hAnsi="仿宋" w:eastAsia="仿宋"/>
          <w:color w:val="auto"/>
          <w:sz w:val="24"/>
          <w:highlight w:val="none"/>
          <w:lang w:val="en-US" w:eastAsia="zh-CN"/>
        </w:rPr>
        <w:t>给予甲方收益</w:t>
      </w:r>
      <w:r>
        <w:rPr>
          <w:rFonts w:hint="eastAsia" w:ascii="仿宋" w:hAnsi="仿宋" w:eastAsia="仿宋"/>
          <w:color w:val="auto"/>
          <w:sz w:val="24"/>
          <w:highlight w:val="none"/>
        </w:rPr>
        <w:t>分成</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分成按月结算，乙方应在每月XX日之前向甲方支付收益分成。</w:t>
      </w:r>
    </w:p>
    <w:p w14:paraId="20B30C0C">
      <w:pPr>
        <w:spacing w:line="360" w:lineRule="auto"/>
        <w:ind w:firstLine="482" w:firstLineChars="200"/>
        <w:jc w:val="both"/>
        <w:rPr>
          <w:rFonts w:ascii="仿宋" w:hAnsi="仿宋" w:eastAsia="仿宋"/>
          <w:color w:val="auto"/>
          <w:sz w:val="24"/>
          <w:highlight w:val="none"/>
        </w:rPr>
      </w:pPr>
      <w:r>
        <w:rPr>
          <w:rFonts w:hint="eastAsia" w:ascii="仿宋" w:hAnsi="仿宋" w:eastAsia="仿宋"/>
          <w:b/>
          <w:color w:val="auto"/>
          <w:sz w:val="24"/>
          <w:highlight w:val="none"/>
        </w:rPr>
        <w:t>4</w:t>
      </w:r>
      <w:r>
        <w:rPr>
          <w:rFonts w:ascii="仿宋" w:hAnsi="仿宋" w:eastAsia="仿宋"/>
          <w:b/>
          <w:color w:val="auto"/>
          <w:sz w:val="24"/>
          <w:highlight w:val="none"/>
        </w:rPr>
        <w:t>.</w:t>
      </w:r>
      <w:r>
        <w:rPr>
          <w:rFonts w:hint="eastAsia" w:ascii="仿宋" w:hAnsi="仿宋" w:eastAsia="仿宋"/>
          <w:b/>
          <w:color w:val="auto"/>
          <w:sz w:val="24"/>
          <w:highlight w:val="none"/>
          <w:lang w:val="en-US" w:eastAsia="zh-CN"/>
        </w:rPr>
        <w:t>3</w:t>
      </w:r>
      <w:r>
        <w:rPr>
          <w:rFonts w:ascii="仿宋" w:hAnsi="仿宋" w:eastAsia="仿宋"/>
          <w:b/>
          <w:color w:val="auto"/>
          <w:sz w:val="24"/>
          <w:highlight w:val="none"/>
        </w:rPr>
        <w:t xml:space="preserve">  </w:t>
      </w:r>
      <w:r>
        <w:rPr>
          <w:rFonts w:hint="eastAsia" w:ascii="仿宋" w:hAnsi="仿宋" w:eastAsia="仿宋"/>
          <w:color w:val="auto"/>
          <w:sz w:val="24"/>
          <w:highlight w:val="none"/>
        </w:rPr>
        <w:t>履约保证金：乙方缴纳第一期</w:t>
      </w:r>
      <w:r>
        <w:rPr>
          <w:rFonts w:hint="eastAsia" w:ascii="仿宋" w:hAnsi="仿宋" w:eastAsia="仿宋"/>
          <w:color w:val="auto"/>
          <w:sz w:val="24"/>
          <w:highlight w:val="none"/>
          <w:lang w:val="en-US" w:eastAsia="zh-CN"/>
        </w:rPr>
        <w:t>费用</w:t>
      </w:r>
      <w:r>
        <w:rPr>
          <w:rFonts w:hint="eastAsia" w:ascii="仿宋" w:hAnsi="仿宋" w:eastAsia="仿宋"/>
          <w:color w:val="auto"/>
          <w:sz w:val="24"/>
          <w:highlight w:val="none"/>
        </w:rPr>
        <w:t>时，应同时向</w:t>
      </w:r>
      <w:r>
        <w:rPr>
          <w:rFonts w:hint="eastAsia" w:ascii="仿宋" w:hAnsi="仿宋" w:eastAsia="仿宋"/>
          <w:color w:val="auto"/>
          <w:sz w:val="24"/>
          <w:highlight w:val="none"/>
          <w:u w:val="single"/>
          <w:lang w:val="en-US" w:eastAsia="zh-CN"/>
        </w:rPr>
        <w:t xml:space="preserve"> 甲方 </w:t>
      </w:r>
      <w:r>
        <w:rPr>
          <w:rFonts w:hint="eastAsia" w:ascii="仿宋" w:hAnsi="仿宋" w:eastAsia="仿宋"/>
          <w:color w:val="auto"/>
          <w:sz w:val="24"/>
          <w:highlight w:val="none"/>
        </w:rPr>
        <w:t>指定账户交纳履约保证金人民币（</w:t>
      </w:r>
      <w:r>
        <w:rPr>
          <w:rFonts w:hint="eastAsia" w:ascii="仿宋" w:hAnsi="仿宋" w:eastAsia="仿宋"/>
          <w:b/>
          <w:bCs/>
          <w:color w:val="auto"/>
          <w:sz w:val="24"/>
          <w:highlight w:val="none"/>
          <w:lang w:val="en-US" w:eastAsia="zh-CN"/>
        </w:rPr>
        <w:t>最后一个年度2个月保底租金收益</w:t>
      </w:r>
      <w:r>
        <w:rPr>
          <w:rFonts w:hint="eastAsia" w:ascii="仿宋" w:hAnsi="仿宋" w:eastAsia="仿宋"/>
          <w:color w:val="auto"/>
          <w:sz w:val="24"/>
          <w:highlight w:val="none"/>
          <w:shd w:val="clear" w:color="auto" w:fill="FFFFFF"/>
        </w:rPr>
        <w:t>）</w:t>
      </w:r>
      <w:r>
        <w:rPr>
          <w:rFonts w:hint="eastAsia" w:ascii="仿宋" w:hAnsi="仿宋" w:eastAsia="仿宋"/>
          <w:color w:val="auto"/>
          <w:sz w:val="24"/>
          <w:highlight w:val="none"/>
          <w:shd w:val="clear" w:color="auto" w:fill="FFFFFF"/>
          <w:lang w:val="en-US" w:eastAsia="zh-CN"/>
        </w:rPr>
        <w:t xml:space="preserve">     </w:t>
      </w:r>
      <w:r>
        <w:rPr>
          <w:rFonts w:hint="eastAsia" w:ascii="仿宋" w:hAnsi="仿宋" w:eastAsia="仿宋"/>
          <w:color w:val="auto"/>
          <w:sz w:val="24"/>
          <w:szCs w:val="24"/>
          <w:highlight w:val="none"/>
        </w:rPr>
        <w:t>元</w:t>
      </w:r>
      <w:r>
        <w:rPr>
          <w:rFonts w:hint="eastAsia" w:ascii="仿宋" w:hAnsi="仿宋" w:eastAsia="仿宋"/>
          <w:color w:val="auto"/>
          <w:sz w:val="24"/>
          <w:highlight w:val="none"/>
        </w:rPr>
        <w:t>（</w:t>
      </w:r>
      <w:r>
        <w:rPr>
          <w:rFonts w:hint="eastAsia" w:ascii="仿宋" w:hAnsi="仿宋" w:eastAsia="仿宋"/>
          <w:b/>
          <w:bCs/>
          <w:color w:val="auto"/>
          <w:sz w:val="24"/>
          <w:highlight w:val="none"/>
        </w:rPr>
        <w:t>履约保证金不计息</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期届满或双方因其他原因解除本合同时，乙方在没有违约以及付清本合同项下全部应付款项并按本合同要求交还该</w:t>
      </w:r>
      <w:r>
        <w:rPr>
          <w:rFonts w:hint="eastAsia" w:ascii="仿宋" w:hAnsi="仿宋" w:eastAsia="仿宋"/>
          <w:color w:val="auto"/>
          <w:sz w:val="24"/>
          <w:highlight w:val="none"/>
          <w:lang w:val="en-US" w:eastAsia="zh-CN"/>
        </w:rPr>
        <w:t>房屋</w:t>
      </w:r>
      <w:r>
        <w:rPr>
          <w:rFonts w:hint="eastAsia" w:ascii="仿宋" w:hAnsi="仿宋" w:eastAsia="仿宋"/>
          <w:color w:val="auto"/>
          <w:sz w:val="24"/>
          <w:highlight w:val="none"/>
        </w:rPr>
        <w:t>的，甲方收取的保证金除用以抵充合同约定由乙方承担的款项外，剩余部分无息归还乙方。</w:t>
      </w:r>
    </w:p>
    <w:p w14:paraId="36F0EB4A">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该履约保证金是乙方履行本合同约定义务的担保。如乙方违反本合同约定，拖欠</w:t>
      </w:r>
      <w:r>
        <w:rPr>
          <w:rFonts w:hint="eastAsia" w:ascii="仿宋" w:hAnsi="仿宋" w:eastAsia="仿宋"/>
          <w:color w:val="auto"/>
          <w:sz w:val="24"/>
          <w:highlight w:val="none"/>
          <w:lang w:val="en-US" w:eastAsia="zh-CN"/>
        </w:rPr>
        <w:t>费用</w:t>
      </w:r>
      <w:r>
        <w:rPr>
          <w:rFonts w:hint="eastAsia" w:ascii="仿宋" w:hAnsi="仿宋" w:eastAsia="仿宋"/>
          <w:color w:val="auto"/>
          <w:sz w:val="24"/>
          <w:highlight w:val="none"/>
        </w:rPr>
        <w:t>或本合同项下由其支付的赔偿款、违约金、相关费用等，甲方有权直接抵扣相应金额的履约保证金，并书面通知乙方。乙方有异议的，应在收到通知之日起五日内提出。抵扣顺序为由其支付的赔偿款、相关费用、违约金、</w:t>
      </w:r>
      <w:r>
        <w:rPr>
          <w:rFonts w:hint="eastAsia" w:ascii="仿宋" w:hAnsi="仿宋" w:eastAsia="仿宋"/>
          <w:color w:val="auto"/>
          <w:sz w:val="24"/>
          <w:highlight w:val="none"/>
          <w:lang w:val="en-US" w:eastAsia="zh-CN"/>
        </w:rPr>
        <w:t>保底租金收益</w:t>
      </w:r>
      <w:r>
        <w:rPr>
          <w:rFonts w:hint="eastAsia" w:ascii="仿宋" w:hAnsi="仿宋" w:eastAsia="仿宋"/>
          <w:color w:val="auto"/>
          <w:sz w:val="24"/>
          <w:highlight w:val="none"/>
        </w:rPr>
        <w:t>。除非甲方主动抵扣履约保证金，否则乙方不得要求甲方抵扣履约保证金而拒绝支付拖欠款项或者赔偿。</w:t>
      </w:r>
    </w:p>
    <w:p w14:paraId="5C51BDE5">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lang w:val="en-US" w:eastAsia="zh-CN"/>
        </w:rPr>
        <w:t>在整个合同期限内，乙方应保证履约保证金保持足额。若</w:t>
      </w:r>
      <w:r>
        <w:rPr>
          <w:rFonts w:hint="eastAsia" w:ascii="仿宋" w:hAnsi="仿宋" w:eastAsia="仿宋"/>
          <w:color w:val="auto"/>
          <w:sz w:val="24"/>
          <w:highlight w:val="none"/>
        </w:rPr>
        <w:t>甲方按照合同约定抵扣履约保证金后，</w:t>
      </w:r>
      <w:r>
        <w:rPr>
          <w:rFonts w:hint="eastAsia" w:ascii="仿宋" w:hAnsi="仿宋" w:eastAsia="仿宋"/>
          <w:color w:val="auto"/>
          <w:sz w:val="24"/>
          <w:highlight w:val="none"/>
          <w:lang w:val="en-US" w:eastAsia="zh-CN"/>
        </w:rPr>
        <w:t>乙方应在扣除后30日内补足履约保证金。若</w:t>
      </w:r>
      <w:r>
        <w:rPr>
          <w:rFonts w:hint="eastAsia" w:ascii="仿宋" w:hAnsi="仿宋" w:eastAsia="仿宋"/>
          <w:color w:val="auto"/>
          <w:sz w:val="24"/>
          <w:highlight w:val="none"/>
        </w:rPr>
        <w:t>乙方在接到甲方书面通知后</w:t>
      </w:r>
      <w:r>
        <w:rPr>
          <w:rFonts w:hint="eastAsia" w:ascii="仿宋" w:hAnsi="仿宋" w:eastAsia="仿宋"/>
          <w:color w:val="auto"/>
          <w:sz w:val="24"/>
          <w:highlight w:val="none"/>
          <w:lang w:val="en-US" w:eastAsia="zh-CN"/>
        </w:rPr>
        <w:t>未按期</w:t>
      </w:r>
      <w:r>
        <w:rPr>
          <w:rFonts w:hint="eastAsia" w:ascii="仿宋" w:hAnsi="仿宋" w:eastAsia="仿宋"/>
          <w:color w:val="auto"/>
          <w:sz w:val="24"/>
          <w:highlight w:val="none"/>
        </w:rPr>
        <w:t>补足</w:t>
      </w:r>
      <w:r>
        <w:rPr>
          <w:rFonts w:hint="eastAsia" w:ascii="仿宋" w:hAnsi="仿宋" w:eastAsia="仿宋"/>
          <w:color w:val="auto"/>
          <w:sz w:val="24"/>
          <w:highlight w:val="none"/>
          <w:lang w:val="en-US" w:eastAsia="zh-CN"/>
        </w:rPr>
        <w:t>履约保证金</w:t>
      </w:r>
      <w:r>
        <w:rPr>
          <w:rFonts w:hint="eastAsia" w:ascii="仿宋" w:hAnsi="仿宋" w:eastAsia="仿宋"/>
          <w:color w:val="auto"/>
          <w:sz w:val="24"/>
          <w:highlight w:val="none"/>
        </w:rPr>
        <w:t>的，按</w:t>
      </w:r>
      <w:r>
        <w:rPr>
          <w:rFonts w:hint="eastAsia" w:ascii="仿宋" w:hAnsi="仿宋" w:eastAsia="仿宋"/>
          <w:color w:val="auto"/>
          <w:sz w:val="24"/>
          <w:highlight w:val="none"/>
          <w:lang w:val="en-US" w:eastAsia="zh-CN"/>
        </w:rPr>
        <w:t>本合同第4.5条和11.3条</w:t>
      </w:r>
      <w:r>
        <w:rPr>
          <w:rFonts w:hint="eastAsia" w:ascii="仿宋" w:hAnsi="仿宋" w:eastAsia="仿宋"/>
          <w:color w:val="auto"/>
          <w:sz w:val="24"/>
          <w:highlight w:val="none"/>
        </w:rPr>
        <w:t>承担</w:t>
      </w:r>
      <w:r>
        <w:rPr>
          <w:rFonts w:hint="eastAsia" w:ascii="仿宋" w:hAnsi="仿宋" w:eastAsia="仿宋"/>
          <w:color w:val="auto"/>
          <w:sz w:val="24"/>
          <w:highlight w:val="none"/>
          <w:lang w:val="en-US" w:eastAsia="zh-CN"/>
        </w:rPr>
        <w:t>相应</w:t>
      </w:r>
      <w:r>
        <w:rPr>
          <w:rFonts w:hint="eastAsia" w:ascii="仿宋" w:hAnsi="仿宋" w:eastAsia="仿宋"/>
          <w:color w:val="auto"/>
          <w:sz w:val="24"/>
          <w:highlight w:val="none"/>
        </w:rPr>
        <w:t>违约责任。</w:t>
      </w:r>
    </w:p>
    <w:p w14:paraId="044C29E0">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4.</w:t>
      </w:r>
      <w:r>
        <w:rPr>
          <w:rFonts w:hint="eastAsia" w:ascii="仿宋" w:hAnsi="仿宋" w:eastAsia="仿宋"/>
          <w:b/>
          <w:color w:val="auto"/>
          <w:sz w:val="24"/>
          <w:highlight w:val="none"/>
          <w:lang w:val="en-US" w:eastAsia="zh-CN"/>
        </w:rPr>
        <w:t>4</w:t>
      </w:r>
      <w:r>
        <w:rPr>
          <w:rFonts w:ascii="仿宋" w:hAnsi="仿宋" w:eastAsia="仿宋"/>
          <w:b/>
          <w:color w:val="auto"/>
          <w:sz w:val="24"/>
          <w:highlight w:val="none"/>
        </w:rPr>
        <w:t xml:space="preserve">  </w:t>
      </w:r>
      <w:r>
        <w:rPr>
          <w:rFonts w:hint="eastAsia" w:ascii="仿宋" w:hAnsi="仿宋" w:eastAsia="仿宋"/>
          <w:color w:val="auto"/>
          <w:sz w:val="24"/>
          <w:highlight w:val="none"/>
        </w:rPr>
        <w:t>支付方式：</w:t>
      </w:r>
      <w:r>
        <w:rPr>
          <w:rFonts w:hint="eastAsia" w:ascii="仿宋" w:hAnsi="仿宋" w:eastAsia="仿宋"/>
          <w:color w:val="auto"/>
          <w:sz w:val="24"/>
          <w:highlight w:val="none"/>
          <w:lang w:val="en-US" w:eastAsia="zh-CN"/>
        </w:rPr>
        <w:t>保底租金收益等费用</w:t>
      </w:r>
      <w:r>
        <w:rPr>
          <w:rFonts w:hint="eastAsia" w:ascii="仿宋" w:hAnsi="仿宋" w:eastAsia="仿宋"/>
          <w:color w:val="auto"/>
          <w:sz w:val="24"/>
          <w:highlight w:val="none"/>
        </w:rPr>
        <w:t>应于规定支付时间以银行转账缴纳到甲方以下账户：</w:t>
      </w:r>
    </w:p>
    <w:p w14:paraId="243B1B55">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color w:val="auto"/>
          <w:sz w:val="24"/>
          <w:highlight w:val="none"/>
        </w:rPr>
        <w:t>户  名：</w:t>
      </w:r>
      <w:r>
        <w:rPr>
          <w:rFonts w:hint="eastAsia" w:ascii="仿宋" w:hAnsi="仿宋" w:eastAsia="仿宋" w:cs="仿宋"/>
          <w:color w:val="auto"/>
          <w:sz w:val="24"/>
          <w:highlight w:val="none"/>
          <w:u w:val="single"/>
        </w:rPr>
        <w:t xml:space="preserve"> </w:t>
      </w:r>
      <w:r>
        <w:rPr>
          <w:rFonts w:hint="eastAsia" w:ascii="仿宋" w:hAnsi="仿宋" w:eastAsia="仿宋" w:cs="仿宋"/>
          <w:sz w:val="24"/>
          <w:u w:val="single"/>
        </w:rPr>
        <w:t>中国工商银行景华支行</w:t>
      </w:r>
      <w:r>
        <w:rPr>
          <w:rFonts w:hint="eastAsia" w:ascii="仿宋" w:hAnsi="仿宋" w:eastAsia="仿宋" w:cs="仿宋"/>
          <w:sz w:val="24"/>
          <w:u w:val="single"/>
          <w:lang w:val="en-US" w:eastAsia="zh-CN"/>
        </w:rPr>
        <w:t xml:space="preserve">                 </w:t>
      </w:r>
    </w:p>
    <w:p w14:paraId="7FC86C91">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rPr>
        <w:t>户名：</w:t>
      </w:r>
      <w:r>
        <w:rPr>
          <w:rFonts w:hint="eastAsia" w:ascii="仿宋" w:hAnsi="仿宋" w:eastAsia="仿宋" w:cs="仿宋"/>
          <w:sz w:val="24"/>
          <w:u w:val="single"/>
        </w:rPr>
        <w:t>杭州运河辰祥工业遗址综合保护开发有限公司</w:t>
      </w:r>
      <w:r>
        <w:rPr>
          <w:rFonts w:hint="eastAsia" w:ascii="仿宋" w:hAnsi="仿宋" w:eastAsia="仿宋" w:cs="仿宋"/>
          <w:sz w:val="24"/>
          <w:u w:val="single"/>
          <w:lang w:val="en-US" w:eastAsia="zh-CN"/>
        </w:rPr>
        <w:t xml:space="preserve"> </w:t>
      </w:r>
    </w:p>
    <w:p w14:paraId="725987F3">
      <w:pPr>
        <w:spacing w:line="360" w:lineRule="auto"/>
        <w:ind w:firstLine="480" w:firstLineChars="200"/>
        <w:rPr>
          <w:rFonts w:ascii="仿宋" w:hAnsi="仿宋" w:eastAsia="仿宋"/>
          <w:color w:val="auto"/>
          <w:sz w:val="24"/>
          <w:highlight w:val="none"/>
        </w:rPr>
      </w:pPr>
      <w:r>
        <w:rPr>
          <w:rFonts w:hint="eastAsia" w:ascii="仿宋" w:hAnsi="仿宋" w:eastAsia="仿宋" w:cs="仿宋"/>
          <w:sz w:val="24"/>
        </w:rPr>
        <w:t>银行账号：</w:t>
      </w:r>
      <w:r>
        <w:rPr>
          <w:rFonts w:hint="eastAsia" w:ascii="仿宋" w:hAnsi="仿宋" w:eastAsia="仿宋" w:cs="仿宋"/>
          <w:sz w:val="24"/>
          <w:u w:val="single"/>
        </w:rPr>
        <w:t>1202008219100006459</w:t>
      </w:r>
      <w:r>
        <w:rPr>
          <w:rFonts w:hint="eastAsia" w:ascii="仿宋" w:hAnsi="仿宋" w:eastAsia="仿宋" w:cs="仿宋"/>
          <w:sz w:val="24"/>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olor w:val="auto"/>
          <w:sz w:val="24"/>
          <w:highlight w:val="none"/>
        </w:rPr>
        <w:t>。</w:t>
      </w:r>
    </w:p>
    <w:p w14:paraId="04DCA022">
      <w:pPr>
        <w:spacing w:line="360" w:lineRule="auto"/>
        <w:ind w:firstLine="482" w:firstLineChars="200"/>
        <w:rPr>
          <w:rFonts w:ascii="仿宋" w:hAnsi="仿宋" w:eastAsia="仿宋"/>
          <w:color w:val="auto"/>
          <w:sz w:val="24"/>
          <w:highlight w:val="none"/>
        </w:rPr>
      </w:pPr>
      <w:r>
        <w:rPr>
          <w:rFonts w:hint="eastAsia" w:ascii="仿宋" w:hAnsi="仿宋" w:eastAsia="仿宋"/>
          <w:b/>
          <w:color w:val="auto"/>
          <w:sz w:val="24"/>
          <w:highlight w:val="none"/>
        </w:rPr>
        <w:t>4.4</w:t>
      </w:r>
      <w:r>
        <w:rPr>
          <w:rFonts w:ascii="仿宋" w:hAnsi="仿宋" w:eastAsia="仿宋"/>
          <w:b/>
          <w:color w:val="auto"/>
          <w:sz w:val="24"/>
          <w:highlight w:val="none"/>
        </w:rPr>
        <w:t xml:space="preserve">  </w:t>
      </w:r>
      <w:r>
        <w:rPr>
          <w:rFonts w:hint="eastAsia" w:ascii="仿宋" w:hAnsi="仿宋" w:eastAsia="仿宋"/>
          <w:color w:val="auto"/>
          <w:sz w:val="24"/>
          <w:highlight w:val="none"/>
        </w:rPr>
        <w:t>其他费用：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期间涉及到的包括但不限于水费、电费、燃气费、通讯费、卫生保洁费、治安费、税费</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如有</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等经营或社会费用均由乙方承担</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相关费用标准及支付等相关事宜另行签订合同约定</w:t>
      </w:r>
      <w:r>
        <w:rPr>
          <w:rFonts w:hint="eastAsia" w:ascii="仿宋" w:hAnsi="仿宋" w:eastAsia="仿宋"/>
          <w:color w:val="auto"/>
          <w:sz w:val="24"/>
          <w:highlight w:val="none"/>
        </w:rPr>
        <w:t>。甲方有权要求乙方出示缴费凭证。合同终止时，乙方应结清本合同需自行承担的各项费用，并向甲方出具已结清各项费用的相关证明。</w:t>
      </w:r>
    </w:p>
    <w:p w14:paraId="57D1982B">
      <w:pPr>
        <w:spacing w:line="360" w:lineRule="auto"/>
        <w:ind w:firstLine="480" w:firstLineChars="200"/>
        <w:rPr>
          <w:rFonts w:hint="eastAsia" w:ascii="仿宋" w:hAnsi="仿宋" w:eastAsia="仿宋"/>
          <w:strike w:val="0"/>
          <w:color w:val="auto"/>
          <w:sz w:val="24"/>
          <w:highlight w:val="none"/>
        </w:rPr>
      </w:pPr>
      <w:r>
        <w:rPr>
          <w:rFonts w:hint="eastAsia" w:ascii="仿宋" w:hAnsi="仿宋" w:eastAsia="仿宋"/>
          <w:strike w:val="0"/>
          <w:color w:val="auto"/>
          <w:sz w:val="24"/>
          <w:highlight w:val="none"/>
        </w:rPr>
        <w:t>若发生需甲方垫付的费用，甲方可代为乙方垫付，由甲方凭有关部门的收款发票复印件向乙方开具收据收取。</w:t>
      </w:r>
    </w:p>
    <w:p w14:paraId="320C105A">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4.5</w:t>
      </w:r>
      <w:r>
        <w:rPr>
          <w:rFonts w:ascii="仿宋" w:hAnsi="仿宋" w:eastAsia="仿宋"/>
          <w:b/>
          <w:color w:val="auto"/>
          <w:sz w:val="24"/>
          <w:highlight w:val="none"/>
        </w:rPr>
        <w:t xml:space="preserve">  </w:t>
      </w:r>
      <w:r>
        <w:rPr>
          <w:rFonts w:hint="eastAsia" w:ascii="仿宋" w:hAnsi="仿宋" w:eastAsia="仿宋"/>
          <w:color w:val="auto"/>
          <w:sz w:val="24"/>
          <w:highlight w:val="none"/>
        </w:rPr>
        <w:t>乙方必须按时交纳</w:t>
      </w:r>
      <w:r>
        <w:rPr>
          <w:rFonts w:hint="eastAsia" w:ascii="仿宋" w:hAnsi="仿宋" w:eastAsia="仿宋"/>
          <w:color w:val="auto"/>
          <w:sz w:val="24"/>
          <w:highlight w:val="none"/>
          <w:lang w:val="en-US" w:eastAsia="zh-CN"/>
        </w:rPr>
        <w:t>合同约定</w:t>
      </w:r>
      <w:r>
        <w:rPr>
          <w:rFonts w:hint="eastAsia" w:ascii="仿宋" w:hAnsi="仿宋" w:eastAsia="仿宋"/>
          <w:color w:val="auto"/>
          <w:sz w:val="24"/>
          <w:highlight w:val="none"/>
        </w:rPr>
        <w:t>各项费用。若逾期未交的，甲方有权每天收取逾期金额的</w:t>
      </w:r>
      <w:r>
        <w:rPr>
          <w:rFonts w:hint="eastAsia" w:ascii="仿宋" w:hAnsi="仿宋" w:eastAsia="仿宋"/>
          <w:b/>
          <w:bCs/>
          <w:color w:val="auto"/>
          <w:sz w:val="24"/>
          <w:highlight w:val="none"/>
        </w:rPr>
        <w:t>万分之五</w:t>
      </w:r>
      <w:r>
        <w:rPr>
          <w:rFonts w:hint="eastAsia" w:ascii="仿宋" w:hAnsi="仿宋" w:eastAsia="仿宋"/>
          <w:color w:val="auto"/>
          <w:sz w:val="24"/>
          <w:highlight w:val="none"/>
        </w:rPr>
        <w:t>作为逾期违约金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其中</w:t>
      </w:r>
      <w:r>
        <w:rPr>
          <w:rFonts w:hint="eastAsia" w:ascii="仿宋" w:hAnsi="仿宋" w:eastAsia="仿宋" w:cs="仿宋"/>
          <w:color w:val="auto"/>
          <w:sz w:val="24"/>
          <w:szCs w:val="24"/>
          <w:highlight w:val="none"/>
          <w:lang w:val="en-US" w:eastAsia="zh-CN"/>
        </w:rPr>
        <w:t>租金</w:t>
      </w:r>
      <w:r>
        <w:rPr>
          <w:rFonts w:hint="eastAsia" w:ascii="仿宋" w:hAnsi="仿宋" w:eastAsia="仿宋" w:cs="仿宋"/>
          <w:color w:val="auto"/>
          <w:sz w:val="24"/>
          <w:szCs w:val="24"/>
          <w:highlight w:val="none"/>
          <w:lang w:val="en-US" w:eastAsia="zh-CN"/>
        </w:rPr>
        <w:t>自当期计租日起计收。</w:t>
      </w:r>
    </w:p>
    <w:p w14:paraId="667B7C82">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4.6 </w:t>
      </w:r>
      <w:r>
        <w:rPr>
          <w:rFonts w:ascii="仿宋" w:hAnsi="仿宋" w:eastAsia="仿宋"/>
          <w:b/>
          <w:color w:val="auto"/>
          <w:sz w:val="24"/>
          <w:highlight w:val="none"/>
        </w:rPr>
        <w:t xml:space="preserve"> </w:t>
      </w:r>
      <w:r>
        <w:rPr>
          <w:rFonts w:hint="eastAsia" w:ascii="仿宋" w:hAnsi="仿宋" w:eastAsia="仿宋"/>
          <w:color w:val="auto"/>
          <w:sz w:val="24"/>
          <w:highlight w:val="none"/>
        </w:rPr>
        <w:t>乙方因自身原因不能行使房屋的使用权的，不得免除其交付合同期限内的</w:t>
      </w:r>
      <w:r>
        <w:rPr>
          <w:rFonts w:hint="eastAsia" w:ascii="仿宋" w:hAnsi="仿宋" w:eastAsia="仿宋"/>
          <w:color w:val="auto"/>
          <w:sz w:val="24"/>
          <w:highlight w:val="none"/>
          <w:lang w:val="en-US" w:eastAsia="zh-CN"/>
        </w:rPr>
        <w:t>保底租金收益和相关费用</w:t>
      </w:r>
      <w:r>
        <w:rPr>
          <w:rFonts w:hint="eastAsia" w:ascii="仿宋" w:hAnsi="仿宋" w:eastAsia="仿宋"/>
          <w:color w:val="auto"/>
          <w:sz w:val="24"/>
          <w:highlight w:val="none"/>
        </w:rPr>
        <w:t>的义务。</w:t>
      </w:r>
    </w:p>
    <w:p w14:paraId="038B2A70">
      <w:pPr>
        <w:spacing w:line="360" w:lineRule="auto"/>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4.7</w:t>
      </w:r>
      <w:r>
        <w:rPr>
          <w:rFonts w:ascii="仿宋" w:hAnsi="仿宋" w:eastAsia="仿宋"/>
          <w:b/>
          <w:bCs/>
          <w:color w:val="auto"/>
          <w:sz w:val="24"/>
          <w:highlight w:val="none"/>
        </w:rPr>
        <w:t xml:space="preserve">  </w:t>
      </w:r>
      <w:r>
        <w:rPr>
          <w:rFonts w:hint="eastAsia" w:ascii="仿宋" w:hAnsi="仿宋" w:eastAsia="仿宋"/>
          <w:b/>
          <w:bCs/>
          <w:color w:val="auto"/>
          <w:sz w:val="24"/>
          <w:highlight w:val="none"/>
        </w:rPr>
        <w:t>开票信息：甲方</w:t>
      </w:r>
      <w:r>
        <w:rPr>
          <w:rFonts w:hint="eastAsia" w:ascii="仿宋" w:hAnsi="仿宋" w:eastAsia="仿宋"/>
          <w:b/>
          <w:bCs/>
          <w:color w:val="auto"/>
          <w:sz w:val="24"/>
          <w:highlight w:val="none"/>
          <w:lang w:val="en-US" w:eastAsia="zh-CN"/>
        </w:rPr>
        <w:t>向乙方</w:t>
      </w:r>
      <w:r>
        <w:rPr>
          <w:rFonts w:hint="eastAsia" w:ascii="仿宋" w:hAnsi="仿宋" w:eastAsia="仿宋"/>
          <w:b/>
          <w:bCs/>
          <w:color w:val="auto"/>
          <w:sz w:val="24"/>
          <w:highlight w:val="none"/>
        </w:rPr>
        <w:t>开具增值税发票（专用发票</w:t>
      </w:r>
      <w:r>
        <w:rPr>
          <w:rFonts w:hint="eastAsia" w:ascii="仿宋" w:hAnsi="仿宋" w:eastAsia="仿宋"/>
          <w:b/>
          <w:bCs/>
          <w:color w:val="auto"/>
          <w:sz w:val="24"/>
          <w:highlight w:val="none"/>
        </w:rPr>
        <w:sym w:font="Wingdings 2" w:char="0052"/>
      </w:r>
      <w:r>
        <w:rPr>
          <w:rFonts w:hint="eastAsia" w:ascii="仿宋" w:hAnsi="仿宋" w:eastAsia="仿宋"/>
          <w:b/>
          <w:bCs/>
          <w:color w:val="auto"/>
          <w:sz w:val="24"/>
          <w:highlight w:val="none"/>
        </w:rPr>
        <w:t xml:space="preserve"> 普通发票</w:t>
      </w:r>
      <w:r>
        <w:rPr>
          <w:rFonts w:hint="eastAsia" w:ascii="仿宋" w:hAnsi="仿宋" w:eastAsia="仿宋"/>
          <w:b/>
          <w:bCs/>
          <w:color w:val="auto"/>
          <w:sz w:val="24"/>
          <w:highlight w:val="none"/>
        </w:rPr>
        <w:sym w:font="Wingdings 2" w:char="00A3"/>
      </w:r>
      <w:r>
        <w:rPr>
          <w:rFonts w:hint="eastAsia" w:ascii="仿宋" w:hAnsi="仿宋" w:eastAsia="仿宋"/>
          <w:b/>
          <w:bCs/>
          <w:color w:val="auto"/>
          <w:sz w:val="24"/>
          <w:highlight w:val="none"/>
        </w:rPr>
        <w:t>），具体开票信息：</w:t>
      </w:r>
    </w:p>
    <w:p w14:paraId="4269AE0A">
      <w:pPr>
        <w:spacing w:line="360" w:lineRule="auto"/>
        <w:ind w:firstLine="482" w:firstLineChars="200"/>
        <w:rPr>
          <w:rFonts w:hint="default" w:ascii="仿宋" w:hAnsi="仿宋" w:eastAsia="仿宋" w:cs="仿宋"/>
          <w:b w:val="0"/>
          <w:bCs/>
          <w:color w:val="auto"/>
          <w:sz w:val="24"/>
          <w:szCs w:val="24"/>
          <w:highlight w:val="none"/>
          <w:u w:val="single"/>
          <w:lang w:val="en-US" w:eastAsia="zh-CN"/>
        </w:rPr>
      </w:pPr>
      <w:r>
        <w:rPr>
          <w:rFonts w:hint="eastAsia" w:ascii="仿宋" w:hAnsi="仿宋" w:eastAsia="仿宋" w:cs="仿宋"/>
          <w:b/>
          <w:color w:val="auto"/>
          <w:sz w:val="24"/>
          <w:highlight w:val="none"/>
          <w:lang w:bidi="ar"/>
        </w:rPr>
        <w:t>乙方名称</w:t>
      </w:r>
      <w:r>
        <w:rPr>
          <w:rFonts w:hint="eastAsia" w:ascii="仿宋" w:hAnsi="仿宋" w:eastAsia="仿宋" w:cs="仿宋"/>
          <w:color w:val="auto"/>
          <w:sz w:val="24"/>
          <w:highlight w:val="none"/>
          <w:lang w:bidi="ar"/>
        </w:rPr>
        <w:t>：</w:t>
      </w:r>
      <w:r>
        <w:rPr>
          <w:rFonts w:hint="eastAsia" w:ascii="仿宋" w:hAnsi="仿宋" w:eastAsia="仿宋" w:cs="仿宋"/>
          <w:color w:val="auto"/>
          <w:sz w:val="24"/>
          <w:highlight w:val="none"/>
          <w:u w:val="single"/>
          <w:lang w:val="en-US" w:eastAsia="zh-CN" w:bidi="ar"/>
        </w:rPr>
        <w:t xml:space="preserve">         </w:t>
      </w:r>
    </w:p>
    <w:p w14:paraId="75E38042">
      <w:pPr>
        <w:tabs>
          <w:tab w:val="left" w:pos="2640"/>
        </w:tabs>
        <w:spacing w:line="360" w:lineRule="auto"/>
        <w:ind w:firstLine="482" w:firstLineChars="200"/>
        <w:rPr>
          <w:rFonts w:hint="default" w:ascii="仿宋" w:hAnsi="仿宋" w:eastAsia="仿宋" w:cs="仿宋"/>
          <w:b w:val="0"/>
          <w:bCs/>
          <w:color w:val="auto"/>
          <w:sz w:val="24"/>
          <w:szCs w:val="24"/>
          <w:highlight w:val="none"/>
          <w:u w:val="single"/>
          <w:lang w:val="en-US" w:eastAsia="zh-CN"/>
        </w:rPr>
      </w:pPr>
      <w:r>
        <w:rPr>
          <w:rFonts w:hint="eastAsia" w:ascii="仿宋" w:hAnsi="仿宋" w:eastAsia="仿宋" w:cs="仿宋"/>
          <w:b/>
          <w:bCs w:val="0"/>
          <w:color w:val="auto"/>
          <w:sz w:val="24"/>
          <w:szCs w:val="24"/>
          <w:highlight w:val="none"/>
          <w:lang w:bidi="ar"/>
        </w:rPr>
        <w:t>纳税人识别号</w:t>
      </w:r>
      <w:r>
        <w:rPr>
          <w:rFonts w:hint="eastAsia" w:ascii="仿宋" w:hAnsi="仿宋" w:eastAsia="仿宋" w:cs="仿宋"/>
          <w:b w:val="0"/>
          <w:bCs/>
          <w:color w:val="auto"/>
          <w:sz w:val="24"/>
          <w:szCs w:val="24"/>
          <w:highlight w:val="none"/>
          <w:lang w:bidi="ar"/>
        </w:rPr>
        <w:t>：</w:t>
      </w:r>
      <w:r>
        <w:rPr>
          <w:rFonts w:hint="eastAsia" w:ascii="仿宋" w:hAnsi="仿宋" w:eastAsia="仿宋" w:cs="仿宋"/>
          <w:b w:val="0"/>
          <w:bCs/>
          <w:color w:val="auto"/>
          <w:sz w:val="24"/>
          <w:szCs w:val="24"/>
          <w:highlight w:val="none"/>
          <w:u w:val="single"/>
          <w:lang w:val="en-US" w:eastAsia="zh-CN" w:bidi="ar"/>
        </w:rPr>
        <w:t xml:space="preserve">                     </w:t>
      </w:r>
    </w:p>
    <w:p w14:paraId="3BEA3094">
      <w:pPr>
        <w:spacing w:line="360" w:lineRule="auto"/>
        <w:ind w:firstLine="482" w:firstLineChars="200"/>
        <w:jc w:val="left"/>
        <w:rPr>
          <w:rFonts w:hint="default" w:ascii="仿宋" w:hAnsi="仿宋" w:eastAsia="仿宋" w:cs="仿宋"/>
          <w:b w:val="0"/>
          <w:bCs/>
          <w:color w:val="auto"/>
          <w:sz w:val="24"/>
          <w:szCs w:val="24"/>
          <w:highlight w:val="none"/>
          <w:u w:val="single"/>
          <w:lang w:val="en-US"/>
        </w:rPr>
      </w:pPr>
      <w:r>
        <w:rPr>
          <w:rFonts w:hint="eastAsia" w:ascii="仿宋" w:hAnsi="仿宋" w:eastAsia="仿宋" w:cs="仿宋"/>
          <w:b/>
          <w:bCs w:val="0"/>
          <w:color w:val="auto"/>
          <w:sz w:val="24"/>
          <w:szCs w:val="24"/>
          <w:highlight w:val="none"/>
          <w:lang w:bidi="ar"/>
        </w:rPr>
        <w:t>地址、电话</w:t>
      </w:r>
      <w:r>
        <w:rPr>
          <w:rFonts w:hint="eastAsia" w:ascii="仿宋" w:hAnsi="仿宋" w:eastAsia="仿宋" w:cs="仿宋"/>
          <w:b w:val="0"/>
          <w:bCs/>
          <w:color w:val="auto"/>
          <w:sz w:val="24"/>
          <w:szCs w:val="24"/>
          <w:highlight w:val="none"/>
          <w:lang w:bidi="ar"/>
        </w:rPr>
        <w:t>：</w:t>
      </w:r>
      <w:r>
        <w:rPr>
          <w:rFonts w:hint="eastAsia" w:ascii="仿宋" w:hAnsi="仿宋" w:eastAsia="仿宋" w:cs="仿宋"/>
          <w:b w:val="0"/>
          <w:bCs/>
          <w:color w:val="auto"/>
          <w:sz w:val="24"/>
          <w:szCs w:val="24"/>
          <w:highlight w:val="none"/>
          <w:u w:val="none"/>
          <w:lang w:bidi="ar"/>
        </w:rPr>
        <w:t xml:space="preserve"> </w:t>
      </w:r>
      <w:r>
        <w:rPr>
          <w:rFonts w:hint="eastAsia" w:ascii="仿宋" w:hAnsi="仿宋" w:eastAsia="仿宋" w:cs="仿宋"/>
          <w:b w:val="0"/>
          <w:bCs/>
          <w:sz w:val="24"/>
          <w:szCs w:val="24"/>
          <w:u w:val="single"/>
          <w:lang w:val="en-US" w:eastAsia="zh-CN"/>
        </w:rPr>
        <w:t xml:space="preserve">   </w:t>
      </w:r>
    </w:p>
    <w:p w14:paraId="4BC5F683">
      <w:pPr>
        <w:spacing w:line="360" w:lineRule="auto"/>
        <w:ind w:firstLine="482" w:firstLineChars="200"/>
        <w:jc w:val="left"/>
        <w:rPr>
          <w:rFonts w:hint="default" w:ascii="仿宋" w:hAnsi="仿宋" w:eastAsia="仿宋" w:cs="仿宋"/>
          <w:color w:val="auto"/>
          <w:sz w:val="24"/>
          <w:highlight w:val="none"/>
          <w:u w:val="single"/>
          <w:lang w:val="en-US" w:eastAsia="zh-CN"/>
        </w:rPr>
      </w:pPr>
      <w:r>
        <w:rPr>
          <w:rFonts w:hint="eastAsia" w:ascii="仿宋" w:hAnsi="仿宋" w:eastAsia="仿宋" w:cs="仿宋"/>
          <w:b/>
          <w:bCs w:val="0"/>
          <w:color w:val="auto"/>
          <w:sz w:val="24"/>
          <w:szCs w:val="24"/>
          <w:highlight w:val="none"/>
          <w:lang w:bidi="ar"/>
        </w:rPr>
        <w:t>开户行及账号</w:t>
      </w:r>
      <w:r>
        <w:rPr>
          <w:rFonts w:hint="eastAsia" w:ascii="仿宋" w:hAnsi="仿宋" w:eastAsia="仿宋" w:cs="仿宋"/>
          <w:b w:val="0"/>
          <w:bCs/>
          <w:color w:val="auto"/>
          <w:sz w:val="24"/>
          <w:szCs w:val="24"/>
          <w:highlight w:val="none"/>
          <w:lang w:bidi="ar"/>
        </w:rPr>
        <w:t>：</w:t>
      </w:r>
      <w:r>
        <w:rPr>
          <w:rFonts w:hint="eastAsia" w:ascii="仿宋" w:hAnsi="仿宋" w:eastAsia="仿宋" w:cs="仿宋"/>
          <w:b w:val="0"/>
          <w:bCs/>
          <w:color w:val="auto"/>
          <w:sz w:val="24"/>
          <w:szCs w:val="24"/>
          <w:highlight w:val="none"/>
          <w:u w:val="single"/>
          <w:lang w:val="en-US" w:eastAsia="zh-CN" w:bidi="ar"/>
        </w:rPr>
        <w:t xml:space="preserve">    </w:t>
      </w:r>
    </w:p>
    <w:p w14:paraId="1E3BE17C">
      <w:pPr>
        <w:spacing w:line="360" w:lineRule="auto"/>
        <w:ind w:firstLine="482" w:firstLineChars="200"/>
        <w:jc w:val="left"/>
        <w:rPr>
          <w:rFonts w:ascii="仿宋" w:hAnsi="仿宋" w:eastAsia="仿宋"/>
          <w:b/>
          <w:bCs/>
          <w:color w:val="auto"/>
          <w:sz w:val="24"/>
          <w:highlight w:val="none"/>
        </w:rPr>
      </w:pPr>
      <w:r>
        <w:rPr>
          <w:rFonts w:hint="eastAsia" w:ascii="仿宋" w:hAnsi="仿宋" w:eastAsia="仿宋"/>
          <w:b/>
          <w:bCs/>
          <w:color w:val="auto"/>
          <w:sz w:val="24"/>
          <w:highlight w:val="none"/>
        </w:rPr>
        <w:t xml:space="preserve">第五条   </w:t>
      </w:r>
      <w:r>
        <w:rPr>
          <w:rFonts w:hint="eastAsia" w:ascii="仿宋" w:hAnsi="仿宋" w:eastAsia="仿宋"/>
          <w:b/>
          <w:bCs/>
          <w:color w:val="auto"/>
          <w:sz w:val="24"/>
          <w:highlight w:val="none"/>
          <w:lang w:val="en-US" w:eastAsia="zh-CN"/>
        </w:rPr>
        <w:t>房屋</w:t>
      </w:r>
      <w:r>
        <w:rPr>
          <w:rFonts w:hint="eastAsia" w:ascii="仿宋" w:hAnsi="仿宋" w:eastAsia="仿宋"/>
          <w:b/>
          <w:bCs/>
          <w:color w:val="auto"/>
          <w:sz w:val="24"/>
          <w:highlight w:val="none"/>
        </w:rPr>
        <w:t>管理</w:t>
      </w:r>
    </w:p>
    <w:p w14:paraId="419239FC">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5.1</w:t>
      </w:r>
      <w:r>
        <w:rPr>
          <w:rFonts w:hint="eastAsia" w:ascii="仿宋" w:hAnsi="仿宋" w:eastAsia="仿宋"/>
          <w:color w:val="auto"/>
          <w:sz w:val="24"/>
          <w:highlight w:val="none"/>
        </w:rPr>
        <w:t xml:space="preserve">  乙方</w:t>
      </w:r>
      <w:r>
        <w:rPr>
          <w:rFonts w:hint="eastAsia" w:ascii="仿宋" w:hAnsi="仿宋" w:eastAsia="仿宋"/>
          <w:color w:val="auto"/>
          <w:sz w:val="24"/>
          <w:highlight w:val="none"/>
          <w:lang w:val="en-US" w:eastAsia="zh-CN"/>
        </w:rPr>
        <w:t>使用房屋</w:t>
      </w:r>
      <w:r>
        <w:rPr>
          <w:rFonts w:hint="eastAsia" w:ascii="仿宋" w:hAnsi="仿宋" w:eastAsia="仿宋"/>
          <w:color w:val="auto"/>
          <w:sz w:val="24"/>
          <w:highlight w:val="none"/>
        </w:rPr>
        <w:t>用以经营活动的，应依法办理经营所需手续，保证合法经营，不得从事各类违法活动或损害社会公共利益的行为。</w:t>
      </w:r>
    </w:p>
    <w:p w14:paraId="1AE013AC">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5.2 </w:t>
      </w:r>
      <w:r>
        <w:rPr>
          <w:rFonts w:hint="eastAsia" w:ascii="仿宋" w:hAnsi="仿宋" w:eastAsia="仿宋"/>
          <w:color w:val="auto"/>
          <w:sz w:val="24"/>
          <w:highlight w:val="none"/>
        </w:rPr>
        <w:t xml:space="preserve"> </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间甲、乙双方必须严格遵守国家的有关法律法规，独立对外承担民事法律责任，服从辖区内公安、治安、消防等有关职能部门的管理，同时乙方应服从甲方的安全管理、监督，认真做好治安、门前三包和消防安全保卫等工作。</w:t>
      </w:r>
    </w:p>
    <w:p w14:paraId="76E0C0FB">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rPr>
        <w:t xml:space="preserve">5.3 </w:t>
      </w:r>
      <w:r>
        <w:rPr>
          <w:rFonts w:hint="eastAsia" w:ascii="仿宋" w:hAnsi="仿宋" w:eastAsia="仿宋"/>
          <w:color w:val="auto"/>
          <w:sz w:val="24"/>
          <w:highlight w:val="none"/>
        </w:rPr>
        <w:t xml:space="preserve"> 乙方法定代表人为安全生产、消防治安责任人。凡在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期间内发生的安全生产、消防治安问题，一切经济损失、责任处罚均由乙方承担全部责任，并负责赔偿甲方的损失。</w:t>
      </w:r>
    </w:p>
    <w:p w14:paraId="0A3D84FA">
      <w:pPr>
        <w:spacing w:line="360" w:lineRule="auto"/>
        <w:ind w:firstLine="480" w:firstLineChars="200"/>
        <w:jc w:val="left"/>
        <w:rPr>
          <w:rFonts w:hint="eastAsia" w:ascii="仿宋" w:hAnsi="仿宋" w:eastAsia="仿宋" w:cs="Times New Roman"/>
          <w:b w:val="0"/>
          <w:color w:val="auto"/>
          <w:sz w:val="24"/>
          <w:highlight w:val="none"/>
        </w:rPr>
      </w:pPr>
      <w:r>
        <w:rPr>
          <w:rFonts w:hint="eastAsia" w:ascii="仿宋" w:hAnsi="仿宋" w:eastAsia="仿宋" w:cs="Times New Roman"/>
          <w:b w:val="0"/>
          <w:color w:val="auto"/>
          <w:sz w:val="24"/>
          <w:highlight w:val="none"/>
        </w:rPr>
        <w:t>5.</w:t>
      </w:r>
      <w:r>
        <w:rPr>
          <w:rFonts w:hint="eastAsia" w:ascii="仿宋" w:hAnsi="仿宋" w:eastAsia="仿宋" w:cs="Times New Roman"/>
          <w:b w:val="0"/>
          <w:color w:val="auto"/>
          <w:sz w:val="24"/>
          <w:highlight w:val="none"/>
          <w:lang w:val="en-US" w:eastAsia="zh-CN"/>
        </w:rPr>
        <w:t>4</w:t>
      </w:r>
      <w:r>
        <w:rPr>
          <w:rFonts w:hint="eastAsia" w:ascii="仿宋" w:hAnsi="仿宋" w:eastAsia="仿宋" w:cs="Times New Roman"/>
          <w:b w:val="0"/>
          <w:color w:val="auto"/>
          <w:sz w:val="24"/>
          <w:highlight w:val="none"/>
        </w:rPr>
        <w:t xml:space="preserve">  </w:t>
      </w:r>
      <w:r>
        <w:rPr>
          <w:rFonts w:hint="eastAsia" w:ascii="仿宋" w:hAnsi="仿宋" w:eastAsia="仿宋" w:cs="Times New Roman"/>
          <w:color w:val="auto"/>
          <w:sz w:val="24"/>
          <w:szCs w:val="24"/>
          <w:highlight w:val="none"/>
        </w:rPr>
        <w:t>甲方按照本合同约定时间交付</w:t>
      </w:r>
      <w:r>
        <w:rPr>
          <w:rFonts w:hint="eastAsia" w:ascii="仿宋" w:hAnsi="仿宋" w:eastAsia="仿宋" w:cs="Times New Roman"/>
          <w:color w:val="auto"/>
          <w:sz w:val="24"/>
          <w:szCs w:val="24"/>
          <w:highlight w:val="none"/>
          <w:lang w:val="en-US" w:eastAsia="zh-CN"/>
        </w:rPr>
        <w:t>房屋</w:t>
      </w:r>
      <w:r>
        <w:rPr>
          <w:rFonts w:hint="eastAsia" w:ascii="仿宋" w:hAnsi="仿宋" w:eastAsia="仿宋" w:cs="Times New Roman"/>
          <w:color w:val="auto"/>
          <w:sz w:val="24"/>
          <w:szCs w:val="24"/>
          <w:highlight w:val="none"/>
        </w:rPr>
        <w:t>，乙方承诺不晚于</w:t>
      </w:r>
      <w:r>
        <w:rPr>
          <w:rFonts w:hint="eastAsia" w:ascii="仿宋" w:hAnsi="仿宋" w:eastAsia="仿宋" w:cs="Times New Roman"/>
          <w:color w:val="auto"/>
          <w:sz w:val="24"/>
          <w:szCs w:val="24"/>
          <w:highlight w:val="none"/>
          <w:u w:val="none"/>
          <w:lang w:val="en-US" w:eastAsia="zh-CN"/>
        </w:rPr>
        <w:t>2026</w:t>
      </w:r>
      <w:r>
        <w:rPr>
          <w:rFonts w:hint="eastAsia" w:ascii="仿宋" w:hAnsi="仿宋" w:eastAsia="仿宋" w:cs="Times New Roman"/>
          <w:color w:val="auto"/>
          <w:sz w:val="24"/>
          <w:szCs w:val="24"/>
          <w:highlight w:val="none"/>
        </w:rPr>
        <w:t>年</w:t>
      </w:r>
      <w:r>
        <w:rPr>
          <w:rFonts w:hint="eastAsia" w:ascii="仿宋" w:hAnsi="仿宋" w:eastAsia="仿宋" w:cs="Times New Roman"/>
          <w:color w:val="auto"/>
          <w:sz w:val="24"/>
          <w:szCs w:val="24"/>
          <w:highlight w:val="none"/>
          <w:lang w:val="en-US" w:eastAsia="zh-CN"/>
        </w:rPr>
        <w:t>12</w:t>
      </w:r>
      <w:r>
        <w:rPr>
          <w:rFonts w:hint="eastAsia" w:ascii="仿宋" w:hAnsi="仿宋" w:eastAsia="仿宋" w:cs="Times New Roman"/>
          <w:color w:val="auto"/>
          <w:sz w:val="24"/>
          <w:szCs w:val="24"/>
          <w:highlight w:val="none"/>
        </w:rPr>
        <w:t>月</w:t>
      </w:r>
      <w:r>
        <w:rPr>
          <w:rFonts w:hint="eastAsia" w:ascii="仿宋" w:hAnsi="仿宋" w:eastAsia="仿宋" w:cs="Times New Roman"/>
          <w:color w:val="auto"/>
          <w:sz w:val="24"/>
          <w:szCs w:val="24"/>
          <w:highlight w:val="none"/>
          <w:lang w:val="en-US" w:eastAsia="zh-CN"/>
        </w:rPr>
        <w:t>1</w:t>
      </w:r>
      <w:r>
        <w:rPr>
          <w:rFonts w:hint="eastAsia" w:ascii="仿宋" w:hAnsi="仿宋" w:eastAsia="仿宋" w:cs="Times New Roman"/>
          <w:color w:val="auto"/>
          <w:sz w:val="24"/>
          <w:szCs w:val="24"/>
          <w:highlight w:val="none"/>
        </w:rPr>
        <w:t>日开业。若乙方逾期未开业的，甲方有权每日按</w:t>
      </w:r>
      <w:r>
        <w:rPr>
          <w:rFonts w:hint="eastAsia" w:ascii="仿宋" w:hAnsi="仿宋" w:eastAsia="仿宋" w:cs="Times New Roman"/>
          <w:color w:val="auto"/>
          <w:sz w:val="24"/>
          <w:szCs w:val="24"/>
          <w:highlight w:val="none"/>
          <w:lang w:val="en-US" w:eastAsia="zh-CN"/>
        </w:rPr>
        <w:t>当期</w:t>
      </w:r>
      <w:r>
        <w:rPr>
          <w:rFonts w:hint="eastAsia" w:ascii="仿宋" w:hAnsi="仿宋" w:eastAsia="仿宋" w:cs="Times New Roman"/>
          <w:color w:val="auto"/>
          <w:sz w:val="24"/>
          <w:szCs w:val="24"/>
          <w:highlight w:val="none"/>
        </w:rPr>
        <w:t>日</w:t>
      </w:r>
      <w:r>
        <w:rPr>
          <w:rFonts w:hint="eastAsia" w:ascii="仿宋" w:hAnsi="仿宋" w:eastAsia="仿宋" w:cs="Times New Roman"/>
          <w:color w:val="auto"/>
          <w:sz w:val="24"/>
          <w:szCs w:val="24"/>
          <w:highlight w:val="none"/>
          <w:lang w:val="en-US" w:eastAsia="zh-CN"/>
        </w:rPr>
        <w:t>保底租金收益</w:t>
      </w:r>
      <w:r>
        <w:rPr>
          <w:rFonts w:hint="eastAsia" w:ascii="仿宋" w:hAnsi="仿宋" w:eastAsia="仿宋" w:cs="Times New Roman"/>
          <w:color w:val="auto"/>
          <w:sz w:val="24"/>
          <w:szCs w:val="24"/>
          <w:highlight w:val="none"/>
        </w:rPr>
        <w:t>标准</w:t>
      </w:r>
      <w:r>
        <w:rPr>
          <w:rFonts w:hint="eastAsia" w:ascii="仿宋" w:hAnsi="仿宋" w:eastAsia="仿宋" w:cs="Times New Roman"/>
          <w:color w:val="auto"/>
          <w:sz w:val="24"/>
          <w:szCs w:val="24"/>
          <w:highlight w:val="none"/>
          <w:lang w:val="en-US" w:eastAsia="zh-CN"/>
        </w:rPr>
        <w:t>3</w:t>
      </w:r>
      <w:r>
        <w:rPr>
          <w:rFonts w:hint="eastAsia" w:ascii="仿宋" w:hAnsi="仿宋" w:eastAsia="仿宋" w:cs="Times New Roman"/>
          <w:color w:val="auto"/>
          <w:sz w:val="24"/>
          <w:szCs w:val="24"/>
          <w:highlight w:val="none"/>
        </w:rPr>
        <w:t>倍向乙方收取逾期开业的违约金，如乙方逾期</w:t>
      </w:r>
      <w:r>
        <w:rPr>
          <w:rFonts w:hint="eastAsia" w:ascii="仿宋" w:hAnsi="仿宋" w:eastAsia="仿宋" w:cs="Times New Roman"/>
          <w:color w:val="auto"/>
          <w:sz w:val="24"/>
          <w:szCs w:val="24"/>
          <w:highlight w:val="none"/>
          <w:lang w:val="en-US" w:eastAsia="zh-CN"/>
        </w:rPr>
        <w:t>30日</w:t>
      </w:r>
      <w:r>
        <w:rPr>
          <w:rFonts w:hint="eastAsia" w:ascii="仿宋" w:hAnsi="仿宋" w:eastAsia="仿宋" w:cs="Times New Roman"/>
          <w:color w:val="auto"/>
          <w:sz w:val="24"/>
          <w:szCs w:val="24"/>
          <w:highlight w:val="none"/>
        </w:rPr>
        <w:t>仍未开业的，甲方有权解除本合同并要求乙方按本合同承担违约责任。若</w:t>
      </w:r>
      <w:r>
        <w:rPr>
          <w:rFonts w:hint="eastAsia" w:ascii="仿宋" w:hAnsi="仿宋" w:eastAsia="仿宋" w:cs="Times New Roman"/>
          <w:color w:val="auto"/>
          <w:sz w:val="24"/>
          <w:szCs w:val="24"/>
          <w:highlight w:val="none"/>
          <w:lang w:val="en-US" w:eastAsia="zh-CN"/>
        </w:rPr>
        <w:t>因</w:t>
      </w:r>
      <w:r>
        <w:rPr>
          <w:rFonts w:hint="eastAsia" w:ascii="仿宋" w:hAnsi="仿宋" w:eastAsia="仿宋" w:cs="Times New Roman"/>
          <w:color w:val="auto"/>
          <w:sz w:val="24"/>
          <w:szCs w:val="24"/>
          <w:highlight w:val="none"/>
        </w:rPr>
        <w:t>甲方</w:t>
      </w:r>
      <w:r>
        <w:rPr>
          <w:rFonts w:hint="eastAsia" w:ascii="仿宋" w:hAnsi="仿宋" w:eastAsia="仿宋" w:cs="Times New Roman"/>
          <w:color w:val="auto"/>
          <w:sz w:val="24"/>
          <w:szCs w:val="24"/>
          <w:highlight w:val="none"/>
          <w:lang w:val="en-US" w:eastAsia="zh-CN"/>
        </w:rPr>
        <w:t>原因影响开业的</w:t>
      </w:r>
      <w:r>
        <w:rPr>
          <w:rFonts w:hint="eastAsia" w:ascii="仿宋" w:hAnsi="仿宋" w:eastAsia="仿宋" w:cs="Times New Roman"/>
          <w:color w:val="auto"/>
          <w:sz w:val="24"/>
          <w:szCs w:val="24"/>
          <w:highlight w:val="none"/>
        </w:rPr>
        <w:t>，则乙方最晚开业日相应顺延。</w:t>
      </w:r>
    </w:p>
    <w:p w14:paraId="02A92D8D">
      <w:pPr>
        <w:spacing w:line="360" w:lineRule="auto"/>
        <w:ind w:firstLine="482" w:firstLineChars="200"/>
        <w:jc w:val="left"/>
        <w:rPr>
          <w:rFonts w:ascii="仿宋" w:hAnsi="仿宋" w:eastAsia="仿宋"/>
          <w:b/>
          <w:color w:val="auto"/>
          <w:sz w:val="24"/>
          <w:highlight w:val="none"/>
        </w:rPr>
      </w:pPr>
      <w:r>
        <w:rPr>
          <w:rFonts w:hint="eastAsia" w:ascii="仿宋" w:hAnsi="仿宋" w:eastAsia="仿宋"/>
          <w:b/>
          <w:color w:val="auto"/>
          <w:sz w:val="24"/>
          <w:highlight w:val="none"/>
        </w:rPr>
        <w:t>第六条  甲方的权利义务</w:t>
      </w:r>
    </w:p>
    <w:p w14:paraId="0F469063">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6.</w:t>
      </w:r>
      <w:r>
        <w:rPr>
          <w:rFonts w:hint="eastAsia" w:ascii="仿宋" w:hAnsi="仿宋" w:eastAsia="仿宋"/>
          <w:b/>
          <w:color w:val="auto"/>
          <w:sz w:val="24"/>
          <w:highlight w:val="none"/>
          <w:lang w:val="en-US" w:eastAsia="zh-CN"/>
        </w:rPr>
        <w:t>1</w:t>
      </w:r>
      <w:r>
        <w:rPr>
          <w:rFonts w:hint="eastAsia" w:ascii="仿宋" w:hAnsi="仿宋" w:eastAsia="仿宋"/>
          <w:b/>
          <w:color w:val="auto"/>
          <w:sz w:val="24"/>
          <w:highlight w:val="none"/>
        </w:rPr>
        <w:t xml:space="preserve">  </w:t>
      </w:r>
      <w:r>
        <w:rPr>
          <w:rFonts w:hint="eastAsia" w:ascii="仿宋" w:hAnsi="仿宋" w:eastAsia="仿宋"/>
          <w:color w:val="auto"/>
          <w:sz w:val="24"/>
          <w:highlight w:val="none"/>
        </w:rPr>
        <w:t>甲方依合同约定向乙方收取</w:t>
      </w:r>
      <w:r>
        <w:rPr>
          <w:rFonts w:hint="eastAsia" w:ascii="仿宋" w:hAnsi="仿宋" w:eastAsia="仿宋"/>
          <w:color w:val="auto"/>
          <w:sz w:val="24"/>
          <w:highlight w:val="none"/>
          <w:lang w:val="en-US" w:eastAsia="zh-CN"/>
        </w:rPr>
        <w:t>保底租金收益</w:t>
      </w:r>
      <w:r>
        <w:rPr>
          <w:rFonts w:hint="eastAsia" w:ascii="仿宋" w:hAnsi="仿宋" w:eastAsia="仿宋"/>
          <w:color w:val="auto"/>
          <w:sz w:val="24"/>
          <w:highlight w:val="none"/>
        </w:rPr>
        <w:t>及其他费用。</w:t>
      </w:r>
    </w:p>
    <w:p w14:paraId="7F9775E2">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6.</w:t>
      </w:r>
      <w:r>
        <w:rPr>
          <w:rFonts w:hint="eastAsia" w:ascii="仿宋" w:hAnsi="仿宋" w:eastAsia="仿宋"/>
          <w:b/>
          <w:color w:val="auto"/>
          <w:sz w:val="24"/>
          <w:highlight w:val="none"/>
          <w:lang w:val="en-US" w:eastAsia="zh-CN"/>
        </w:rPr>
        <w:t>2</w:t>
      </w:r>
      <w:r>
        <w:rPr>
          <w:rFonts w:hint="eastAsia" w:ascii="仿宋" w:hAnsi="仿宋" w:eastAsia="仿宋"/>
          <w:b/>
          <w:color w:val="auto"/>
          <w:sz w:val="24"/>
          <w:highlight w:val="none"/>
        </w:rPr>
        <w:t xml:space="preserve">  </w:t>
      </w:r>
      <w:r>
        <w:rPr>
          <w:rFonts w:hint="eastAsia" w:ascii="仿宋" w:hAnsi="仿宋" w:eastAsia="仿宋"/>
          <w:color w:val="auto"/>
          <w:sz w:val="24"/>
          <w:highlight w:val="none"/>
        </w:rPr>
        <w:t>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期内，甲方变更房屋权属时，不影响本合同的有效性，甲方将提前书面通知乙方，并根据“买卖不破</w:t>
      </w:r>
      <w:r>
        <w:rPr>
          <w:rFonts w:hint="default" w:ascii="仿宋" w:hAnsi="仿宋" w:eastAsia="仿宋"/>
          <w:color w:val="auto"/>
          <w:sz w:val="24"/>
          <w:highlight w:val="none"/>
          <w:lang w:val="en-US"/>
        </w:rPr>
        <w:t>租赁</w:t>
      </w:r>
      <w:r>
        <w:rPr>
          <w:rFonts w:hint="eastAsia" w:ascii="仿宋" w:hAnsi="仿宋" w:eastAsia="仿宋"/>
          <w:color w:val="auto"/>
          <w:sz w:val="24"/>
          <w:highlight w:val="none"/>
        </w:rPr>
        <w:t>”的相关法规，将甲方在本房屋</w:t>
      </w:r>
      <w:r>
        <w:rPr>
          <w:rFonts w:ascii="仿宋" w:hAnsi="仿宋" w:eastAsia="仿宋"/>
          <w:color w:val="auto"/>
          <w:sz w:val="24"/>
          <w:highlight w:val="none"/>
        </w:rPr>
        <w:t>合同</w:t>
      </w:r>
      <w:r>
        <w:rPr>
          <w:rFonts w:hint="eastAsia" w:ascii="仿宋" w:hAnsi="仿宋" w:eastAsia="仿宋"/>
          <w:color w:val="auto"/>
          <w:sz w:val="24"/>
          <w:highlight w:val="none"/>
        </w:rPr>
        <w:t>项下享有的权利和承担的义务转至买受人由其承继。因前述原因导致合同变更，不属于甲方违约，甲方无须向乙方支付任何经济补偿，也不承担任何违约责任。</w:t>
      </w:r>
    </w:p>
    <w:p w14:paraId="1E4B47D9">
      <w:pPr>
        <w:spacing w:line="360" w:lineRule="auto"/>
        <w:ind w:firstLine="482" w:firstLineChars="200"/>
        <w:jc w:val="left"/>
        <w:rPr>
          <w:rFonts w:ascii="仿宋" w:hAnsi="仿宋" w:eastAsia="仿宋"/>
          <w:b/>
          <w:bCs/>
          <w:color w:val="auto"/>
          <w:sz w:val="24"/>
          <w:highlight w:val="none"/>
        </w:rPr>
      </w:pPr>
      <w:r>
        <w:rPr>
          <w:rFonts w:hint="eastAsia" w:ascii="仿宋" w:hAnsi="仿宋" w:eastAsia="仿宋"/>
          <w:b/>
          <w:bCs/>
          <w:color w:val="auto"/>
          <w:sz w:val="24"/>
          <w:highlight w:val="none"/>
        </w:rPr>
        <w:t>第七条  乙方的权利义务</w:t>
      </w:r>
    </w:p>
    <w:p w14:paraId="3063849B">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7.1  </w:t>
      </w:r>
      <w:r>
        <w:rPr>
          <w:rFonts w:hint="eastAsia" w:ascii="仿宋" w:hAnsi="仿宋" w:eastAsia="仿宋"/>
          <w:color w:val="auto"/>
          <w:sz w:val="24"/>
          <w:highlight w:val="none"/>
        </w:rPr>
        <w:t>乙方在</w:t>
      </w:r>
      <w:r>
        <w:rPr>
          <w:rFonts w:hint="default" w:ascii="仿宋" w:hAnsi="仿宋" w:eastAsia="仿宋"/>
          <w:color w:val="auto"/>
          <w:sz w:val="24"/>
          <w:highlight w:val="none"/>
          <w:lang w:val="en-US"/>
        </w:rPr>
        <w:t>承</w:t>
      </w:r>
      <w:r>
        <w:rPr>
          <w:rFonts w:hint="eastAsia" w:ascii="仿宋" w:hAnsi="仿宋" w:eastAsia="仿宋"/>
          <w:color w:val="auto"/>
          <w:sz w:val="24"/>
          <w:highlight w:val="none"/>
          <w:lang w:val="en-US" w:eastAsia="zh-CN"/>
        </w:rPr>
        <w:t>接</w:t>
      </w:r>
      <w:r>
        <w:rPr>
          <w:rFonts w:hint="eastAsia" w:ascii="仿宋" w:hAnsi="仿宋" w:eastAsia="仿宋"/>
          <w:color w:val="auto"/>
          <w:sz w:val="24"/>
          <w:highlight w:val="none"/>
        </w:rPr>
        <w:t>甲方房屋之前，有义务向甲方提供营业执照、法定代表人身份证明、个体工商户的登记和实际经营的人身份证明等甲方要求的有效证件，并在甲方处留存复印件。</w:t>
      </w:r>
    </w:p>
    <w:p w14:paraId="10353B50">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7.2  </w:t>
      </w:r>
      <w:r>
        <w:rPr>
          <w:rFonts w:hint="eastAsia" w:ascii="仿宋" w:hAnsi="仿宋" w:eastAsia="仿宋"/>
          <w:color w:val="auto"/>
          <w:sz w:val="24"/>
          <w:highlight w:val="none"/>
        </w:rPr>
        <w:t>乙方应</w:t>
      </w:r>
      <w:r>
        <w:rPr>
          <w:rFonts w:ascii="仿宋" w:hAnsi="仿宋" w:eastAsia="仿宋"/>
          <w:color w:val="auto"/>
          <w:sz w:val="24"/>
          <w:highlight w:val="none"/>
        </w:rPr>
        <w:t>按合同</w:t>
      </w:r>
      <w:r>
        <w:rPr>
          <w:rFonts w:hint="eastAsia" w:ascii="仿宋" w:hAnsi="仿宋" w:eastAsia="仿宋"/>
          <w:color w:val="auto"/>
          <w:sz w:val="24"/>
          <w:highlight w:val="none"/>
        </w:rPr>
        <w:t>约定</w:t>
      </w:r>
      <w:r>
        <w:rPr>
          <w:rFonts w:ascii="仿宋" w:hAnsi="仿宋" w:eastAsia="仿宋"/>
          <w:color w:val="auto"/>
          <w:sz w:val="24"/>
          <w:highlight w:val="none"/>
        </w:rPr>
        <w:t>交纳</w:t>
      </w:r>
      <w:r>
        <w:rPr>
          <w:rFonts w:hint="eastAsia" w:ascii="仿宋" w:hAnsi="仿宋" w:eastAsia="仿宋"/>
          <w:color w:val="auto"/>
          <w:sz w:val="24"/>
          <w:highlight w:val="none"/>
        </w:rPr>
        <w:t>履约保证金、</w:t>
      </w:r>
      <w:r>
        <w:rPr>
          <w:rFonts w:hint="eastAsia" w:ascii="仿宋" w:hAnsi="仿宋" w:eastAsia="仿宋"/>
          <w:color w:val="auto"/>
          <w:sz w:val="24"/>
          <w:highlight w:val="none"/>
          <w:lang w:val="en-US" w:eastAsia="zh-CN"/>
        </w:rPr>
        <w:t>保底租金收益</w:t>
      </w:r>
      <w:r>
        <w:rPr>
          <w:rFonts w:hint="eastAsia" w:ascii="仿宋" w:hAnsi="仿宋" w:eastAsia="仿宋"/>
          <w:color w:val="auto"/>
          <w:sz w:val="24"/>
          <w:highlight w:val="none"/>
        </w:rPr>
        <w:t>和各项费用</w:t>
      </w:r>
      <w:r>
        <w:rPr>
          <w:rFonts w:ascii="仿宋" w:hAnsi="仿宋" w:eastAsia="仿宋"/>
          <w:color w:val="auto"/>
          <w:sz w:val="24"/>
          <w:highlight w:val="none"/>
        </w:rPr>
        <w:t>。</w:t>
      </w:r>
    </w:p>
    <w:p w14:paraId="1B7DEB06">
      <w:pPr>
        <w:spacing w:line="360" w:lineRule="auto"/>
        <w:ind w:firstLine="482" w:firstLineChars="200"/>
        <w:jc w:val="left"/>
        <w:rPr>
          <w:rFonts w:ascii="仿宋" w:hAnsi="仿宋" w:eastAsia="仿宋"/>
          <w:color w:val="auto"/>
          <w:sz w:val="24"/>
          <w:highlight w:val="none"/>
        </w:rPr>
      </w:pPr>
      <w:r>
        <w:rPr>
          <w:rFonts w:hint="eastAsia" w:ascii="仿宋" w:hAnsi="仿宋" w:eastAsia="仿宋"/>
          <w:b/>
          <w:bCs/>
          <w:color w:val="auto"/>
          <w:sz w:val="24"/>
          <w:highlight w:val="none"/>
          <w:lang w:val="en-US" w:eastAsia="zh-CN"/>
        </w:rPr>
        <w:t>7.3</w:t>
      </w:r>
      <w:r>
        <w:rPr>
          <w:rFonts w:hint="eastAsia" w:ascii="仿宋" w:hAnsi="仿宋" w:eastAsia="仿宋"/>
          <w:color w:val="auto"/>
          <w:sz w:val="24"/>
          <w:highlight w:val="none"/>
          <w:lang w:val="en-US" w:eastAsia="zh-CN"/>
        </w:rPr>
        <w:t xml:space="preserve">  </w:t>
      </w:r>
      <w:r>
        <w:rPr>
          <w:rFonts w:ascii="仿宋" w:hAnsi="仿宋" w:eastAsia="仿宋"/>
          <w:color w:val="auto"/>
          <w:sz w:val="24"/>
          <w:highlight w:val="none"/>
        </w:rPr>
        <w:t>使用房屋前，</w:t>
      </w:r>
      <w:r>
        <w:rPr>
          <w:rFonts w:hint="eastAsia" w:ascii="仿宋" w:hAnsi="仿宋" w:eastAsia="仿宋"/>
          <w:color w:val="auto"/>
          <w:sz w:val="24"/>
          <w:highlight w:val="none"/>
        </w:rPr>
        <w:t>乙方应已</w:t>
      </w:r>
      <w:r>
        <w:rPr>
          <w:rFonts w:ascii="仿宋" w:hAnsi="仿宋" w:eastAsia="仿宋"/>
          <w:color w:val="auto"/>
          <w:sz w:val="24"/>
          <w:highlight w:val="none"/>
        </w:rPr>
        <w:t>检查好所用房屋及附属设施</w:t>
      </w:r>
      <w:r>
        <w:rPr>
          <w:rFonts w:hint="eastAsia" w:ascii="仿宋" w:hAnsi="仿宋" w:eastAsia="仿宋"/>
          <w:color w:val="auto"/>
          <w:sz w:val="24"/>
          <w:highlight w:val="none"/>
        </w:rPr>
        <w:t>，自签订本</w:t>
      </w:r>
      <w:r>
        <w:rPr>
          <w:rFonts w:ascii="仿宋" w:hAnsi="仿宋" w:eastAsia="仿宋"/>
          <w:color w:val="auto"/>
          <w:sz w:val="24"/>
          <w:highlight w:val="none"/>
        </w:rPr>
        <w:t>合同</w:t>
      </w:r>
      <w:r>
        <w:rPr>
          <w:rFonts w:hint="eastAsia" w:ascii="仿宋" w:hAnsi="仿宋" w:eastAsia="仿宋"/>
          <w:color w:val="auto"/>
          <w:sz w:val="24"/>
          <w:highlight w:val="none"/>
        </w:rPr>
        <w:t>前乙方已对房屋</w:t>
      </w:r>
      <w:r>
        <w:rPr>
          <w:rFonts w:ascii="仿宋" w:hAnsi="仿宋" w:eastAsia="仿宋"/>
          <w:color w:val="auto"/>
          <w:sz w:val="24"/>
          <w:highlight w:val="none"/>
        </w:rPr>
        <w:t>及附属设施</w:t>
      </w:r>
      <w:r>
        <w:rPr>
          <w:rFonts w:hint="eastAsia" w:ascii="仿宋" w:hAnsi="仿宋" w:eastAsia="仿宋"/>
          <w:color w:val="auto"/>
          <w:sz w:val="24"/>
          <w:highlight w:val="none"/>
        </w:rPr>
        <w:t>的质量、正常使用等现状问题予以确认完好，乙方对房屋交付现状没有任何异议，后续</w:t>
      </w:r>
      <w:r>
        <w:rPr>
          <w:rFonts w:hint="eastAsia" w:ascii="仿宋" w:hAnsi="仿宋" w:eastAsia="仿宋"/>
          <w:color w:val="auto"/>
          <w:sz w:val="24"/>
          <w:highlight w:val="none"/>
          <w:lang w:val="en-US" w:eastAsia="zh-CN"/>
        </w:rPr>
        <w:t>交付后</w:t>
      </w:r>
      <w:r>
        <w:rPr>
          <w:rFonts w:hint="eastAsia" w:ascii="仿宋" w:hAnsi="仿宋" w:eastAsia="仿宋"/>
          <w:bCs/>
          <w:color w:val="auto"/>
          <w:sz w:val="24"/>
          <w:highlight w:val="none"/>
        </w:rPr>
        <w:t>不得以物业、消防、水电无人接管为由而擅自终止</w:t>
      </w:r>
      <w:r>
        <w:rPr>
          <w:rFonts w:ascii="仿宋" w:hAnsi="仿宋" w:eastAsia="仿宋"/>
          <w:bCs/>
          <w:color w:val="auto"/>
          <w:sz w:val="24"/>
          <w:highlight w:val="none"/>
        </w:rPr>
        <w:t>合同</w:t>
      </w:r>
      <w:r>
        <w:rPr>
          <w:rFonts w:hint="eastAsia" w:ascii="仿宋" w:hAnsi="仿宋" w:eastAsia="仿宋"/>
          <w:bCs/>
          <w:color w:val="auto"/>
          <w:sz w:val="24"/>
          <w:highlight w:val="none"/>
        </w:rPr>
        <w:t>。</w:t>
      </w:r>
    </w:p>
    <w:p w14:paraId="300F7115">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lang w:val="en-US" w:eastAsia="zh-CN"/>
        </w:rPr>
        <w:t>7.4</w:t>
      </w:r>
      <w:r>
        <w:rPr>
          <w:rFonts w:hint="eastAsia" w:ascii="仿宋" w:hAnsi="仿宋" w:eastAsia="仿宋"/>
          <w:color w:val="auto"/>
          <w:sz w:val="24"/>
          <w:highlight w:val="none"/>
          <w:lang w:val="en-US" w:eastAsia="zh-CN"/>
        </w:rPr>
        <w:t xml:space="preserve">  合同</w:t>
      </w:r>
      <w:r>
        <w:rPr>
          <w:rFonts w:hint="eastAsia" w:ascii="仿宋" w:hAnsi="仿宋" w:eastAsia="仿宋"/>
          <w:color w:val="auto"/>
          <w:sz w:val="24"/>
          <w:highlight w:val="none"/>
        </w:rPr>
        <w:t>期间乙方应</w:t>
      </w:r>
      <w:r>
        <w:rPr>
          <w:rFonts w:hint="eastAsia" w:ascii="仿宋" w:hAnsi="仿宋" w:eastAsia="仿宋"/>
          <w:color w:val="auto"/>
          <w:sz w:val="24"/>
          <w:highlight w:val="none"/>
          <w:lang w:val="en-US" w:eastAsia="zh-CN"/>
        </w:rPr>
        <w:t>按</w:t>
      </w:r>
      <w:r>
        <w:rPr>
          <w:rFonts w:hint="eastAsia" w:ascii="仿宋" w:hAnsi="仿宋" w:eastAsia="仿宋"/>
          <w:color w:val="auto"/>
          <w:sz w:val="24"/>
          <w:highlight w:val="none"/>
        </w:rPr>
        <w:t>合同约定</w:t>
      </w:r>
      <w:r>
        <w:rPr>
          <w:rFonts w:ascii="仿宋" w:hAnsi="仿宋" w:eastAsia="仿宋"/>
          <w:color w:val="auto"/>
          <w:sz w:val="24"/>
          <w:highlight w:val="none"/>
        </w:rPr>
        <w:t>维护房屋整体结构</w:t>
      </w:r>
      <w:r>
        <w:rPr>
          <w:rFonts w:hint="eastAsia" w:ascii="仿宋" w:hAnsi="仿宋" w:eastAsia="仿宋"/>
          <w:color w:val="auto"/>
          <w:sz w:val="24"/>
          <w:highlight w:val="none"/>
        </w:rPr>
        <w:t>安全</w:t>
      </w:r>
      <w:r>
        <w:rPr>
          <w:rFonts w:ascii="仿宋" w:hAnsi="仿宋" w:eastAsia="仿宋"/>
          <w:color w:val="auto"/>
          <w:sz w:val="24"/>
          <w:highlight w:val="none"/>
        </w:rPr>
        <w:t>，不得私自拆除和改建房屋</w:t>
      </w:r>
      <w:r>
        <w:rPr>
          <w:rFonts w:hint="eastAsia" w:ascii="仿宋" w:hAnsi="仿宋" w:eastAsia="仿宋"/>
          <w:color w:val="auto"/>
          <w:sz w:val="24"/>
          <w:highlight w:val="none"/>
        </w:rPr>
        <w:t>，</w:t>
      </w:r>
      <w:r>
        <w:rPr>
          <w:rFonts w:hint="eastAsia" w:ascii="仿宋" w:hAnsi="仿宋" w:eastAsia="仿宋"/>
          <w:bCs/>
          <w:color w:val="auto"/>
          <w:sz w:val="24"/>
          <w:highlight w:val="none"/>
        </w:rPr>
        <w:t>并做好除主体结构（非人为原因造成的损害）外一切日常维护工作（包括但不限于渗漏水、门窗维修、强弱电维修、消防设备设施维修安装等），</w:t>
      </w:r>
      <w:r>
        <w:rPr>
          <w:rFonts w:hint="eastAsia" w:ascii="仿宋" w:hAnsi="仿宋" w:eastAsia="仿宋"/>
          <w:color w:val="auto"/>
          <w:sz w:val="24"/>
          <w:highlight w:val="none"/>
        </w:rPr>
        <w:t>若乙方违反上述约定的，乙方应自行</w:t>
      </w:r>
      <w:r>
        <w:rPr>
          <w:rFonts w:ascii="仿宋" w:hAnsi="仿宋" w:eastAsia="仿宋"/>
          <w:color w:val="auto"/>
          <w:sz w:val="24"/>
          <w:highlight w:val="none"/>
        </w:rPr>
        <w:t>承担</w:t>
      </w:r>
      <w:r>
        <w:rPr>
          <w:rFonts w:hint="eastAsia" w:ascii="仿宋" w:hAnsi="仿宋" w:eastAsia="仿宋"/>
          <w:color w:val="auto"/>
          <w:sz w:val="24"/>
          <w:highlight w:val="none"/>
        </w:rPr>
        <w:t>因</w:t>
      </w:r>
      <w:r>
        <w:rPr>
          <w:rFonts w:ascii="仿宋" w:hAnsi="仿宋" w:eastAsia="仿宋"/>
          <w:color w:val="auto"/>
          <w:sz w:val="24"/>
          <w:highlight w:val="none"/>
        </w:rPr>
        <w:t>修复</w:t>
      </w:r>
      <w:r>
        <w:rPr>
          <w:rFonts w:hint="eastAsia" w:ascii="仿宋" w:hAnsi="仿宋" w:eastAsia="仿宋"/>
          <w:color w:val="auto"/>
          <w:sz w:val="24"/>
          <w:highlight w:val="none"/>
        </w:rPr>
        <w:t>等维护工作而产生的相关费用和违约行为</w:t>
      </w:r>
      <w:r>
        <w:rPr>
          <w:rFonts w:ascii="仿宋" w:hAnsi="仿宋" w:eastAsia="仿宋"/>
          <w:color w:val="auto"/>
          <w:sz w:val="24"/>
          <w:highlight w:val="none"/>
        </w:rPr>
        <w:t>给</w:t>
      </w:r>
      <w:r>
        <w:rPr>
          <w:rFonts w:hint="eastAsia" w:ascii="仿宋" w:hAnsi="仿宋" w:eastAsia="仿宋"/>
          <w:color w:val="auto"/>
          <w:sz w:val="24"/>
          <w:highlight w:val="none"/>
          <w:lang w:val="en-US" w:eastAsia="zh-CN"/>
        </w:rPr>
        <w:t>甲方及</w:t>
      </w:r>
      <w:r>
        <w:rPr>
          <w:rFonts w:ascii="仿宋" w:hAnsi="仿宋" w:eastAsia="仿宋"/>
          <w:color w:val="auto"/>
          <w:sz w:val="24"/>
          <w:highlight w:val="none"/>
        </w:rPr>
        <w:t>任何</w:t>
      </w:r>
      <w:r>
        <w:rPr>
          <w:rFonts w:hint="eastAsia" w:ascii="仿宋" w:hAnsi="仿宋" w:eastAsia="仿宋"/>
          <w:color w:val="auto"/>
          <w:sz w:val="24"/>
          <w:highlight w:val="none"/>
        </w:rPr>
        <w:t>第三方</w:t>
      </w:r>
      <w:r>
        <w:rPr>
          <w:rFonts w:ascii="仿宋" w:hAnsi="仿宋" w:eastAsia="仿宋"/>
          <w:color w:val="auto"/>
          <w:sz w:val="24"/>
          <w:highlight w:val="none"/>
        </w:rPr>
        <w:t>造成的损害</w:t>
      </w:r>
      <w:r>
        <w:rPr>
          <w:rFonts w:hint="eastAsia" w:ascii="仿宋" w:hAnsi="仿宋" w:eastAsia="仿宋"/>
          <w:color w:val="auto"/>
          <w:sz w:val="24"/>
          <w:highlight w:val="none"/>
        </w:rPr>
        <w:t>赔偿</w:t>
      </w:r>
      <w:r>
        <w:rPr>
          <w:rFonts w:ascii="仿宋" w:hAnsi="仿宋" w:eastAsia="仿宋"/>
          <w:color w:val="auto"/>
          <w:sz w:val="24"/>
          <w:highlight w:val="none"/>
        </w:rPr>
        <w:t>责任</w:t>
      </w:r>
      <w:r>
        <w:rPr>
          <w:rFonts w:hint="eastAsia" w:ascii="仿宋" w:hAnsi="仿宋" w:eastAsia="仿宋"/>
          <w:color w:val="auto"/>
          <w:sz w:val="24"/>
          <w:highlight w:val="none"/>
        </w:rPr>
        <w:t>。</w:t>
      </w:r>
    </w:p>
    <w:p w14:paraId="544E2129">
      <w:pPr>
        <w:spacing w:line="360" w:lineRule="auto"/>
        <w:ind w:firstLine="480" w:firstLineChars="200"/>
        <w:jc w:val="left"/>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7.4.1 主体结构及相关设备本身存在问题或因甲方原因造成相关设备损坏的，由甲方承担修缮责任。因乙方原因造成损坏或处于乙方管理区域内乙方未尽到监管义务造成的损坏，由乙方承担修缮责任。</w:t>
      </w:r>
    </w:p>
    <w:p w14:paraId="239FB8A9">
      <w:pPr>
        <w:spacing w:line="360" w:lineRule="auto"/>
        <w:ind w:firstLine="480" w:firstLineChars="200"/>
        <w:jc w:val="left"/>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7.4.2 乙方</w:t>
      </w:r>
      <w:r>
        <w:rPr>
          <w:rFonts w:ascii="仿宋" w:hAnsi="仿宋" w:eastAsia="仿宋"/>
          <w:color w:val="auto"/>
          <w:sz w:val="24"/>
          <w:highlight w:val="none"/>
        </w:rPr>
        <w:t>如需对房屋内的</w:t>
      </w:r>
      <w:r>
        <w:rPr>
          <w:rFonts w:hint="eastAsia" w:ascii="仿宋" w:hAnsi="仿宋" w:eastAsia="仿宋"/>
          <w:color w:val="auto"/>
          <w:sz w:val="24"/>
          <w:highlight w:val="none"/>
          <w:lang w:val="en-US" w:eastAsia="zh-CN"/>
        </w:rPr>
        <w:t>门窗、</w:t>
      </w:r>
      <w:r>
        <w:rPr>
          <w:rFonts w:ascii="仿宋" w:hAnsi="仿宋" w:eastAsia="仿宋"/>
          <w:color w:val="auto"/>
          <w:sz w:val="24"/>
          <w:highlight w:val="none"/>
        </w:rPr>
        <w:t>配电设备</w:t>
      </w:r>
      <w:r>
        <w:rPr>
          <w:rFonts w:hint="eastAsia" w:ascii="仿宋" w:hAnsi="仿宋" w:eastAsia="仿宋"/>
          <w:color w:val="auto"/>
          <w:sz w:val="24"/>
          <w:highlight w:val="none"/>
        </w:rPr>
        <w:t>、</w:t>
      </w:r>
      <w:r>
        <w:rPr>
          <w:rFonts w:ascii="仿宋" w:hAnsi="仿宋" w:eastAsia="仿宋"/>
          <w:color w:val="auto"/>
          <w:sz w:val="24"/>
          <w:highlight w:val="none"/>
        </w:rPr>
        <w:t>给排水设备</w:t>
      </w:r>
      <w:r>
        <w:rPr>
          <w:rFonts w:hint="eastAsia" w:ascii="仿宋" w:hAnsi="仿宋" w:eastAsia="仿宋"/>
          <w:color w:val="auto"/>
          <w:sz w:val="24"/>
          <w:highlight w:val="none"/>
          <w:lang w:val="en-US" w:eastAsia="zh-CN"/>
        </w:rPr>
        <w:t>以及空调等设施设备</w:t>
      </w:r>
      <w:r>
        <w:rPr>
          <w:rFonts w:ascii="仿宋" w:hAnsi="仿宋" w:eastAsia="仿宋"/>
          <w:color w:val="auto"/>
          <w:sz w:val="24"/>
          <w:highlight w:val="none"/>
        </w:rPr>
        <w:t>进行更改</w:t>
      </w:r>
      <w:r>
        <w:rPr>
          <w:rFonts w:hint="eastAsia" w:ascii="仿宋" w:hAnsi="仿宋" w:eastAsia="仿宋"/>
          <w:color w:val="auto"/>
          <w:sz w:val="24"/>
          <w:highlight w:val="none"/>
        </w:rPr>
        <w:t>或</w:t>
      </w:r>
      <w:r>
        <w:rPr>
          <w:rFonts w:ascii="仿宋" w:hAnsi="仿宋" w:eastAsia="仿宋"/>
          <w:color w:val="auto"/>
          <w:sz w:val="24"/>
          <w:highlight w:val="none"/>
        </w:rPr>
        <w:t>对房屋进行装修</w:t>
      </w:r>
      <w:r>
        <w:rPr>
          <w:rFonts w:hint="eastAsia" w:ascii="仿宋" w:hAnsi="仿宋" w:eastAsia="仿宋"/>
          <w:color w:val="auto"/>
          <w:sz w:val="24"/>
          <w:highlight w:val="none"/>
        </w:rPr>
        <w:t>的</w:t>
      </w:r>
      <w:r>
        <w:rPr>
          <w:rFonts w:ascii="仿宋" w:hAnsi="仿宋" w:eastAsia="仿宋"/>
          <w:color w:val="auto"/>
          <w:sz w:val="24"/>
          <w:highlight w:val="none"/>
        </w:rPr>
        <w:t>，</w:t>
      </w:r>
      <w:r>
        <w:rPr>
          <w:rFonts w:hint="eastAsia" w:ascii="仿宋" w:hAnsi="仿宋" w:eastAsia="仿宋"/>
          <w:color w:val="auto"/>
          <w:sz w:val="24"/>
          <w:highlight w:val="none"/>
        </w:rPr>
        <w:t>应符合相关法律法规规定，并</w:t>
      </w:r>
      <w:r>
        <w:rPr>
          <w:rFonts w:hint="eastAsia" w:ascii="仿宋" w:hAnsi="仿宋" w:eastAsia="仿宋"/>
          <w:color w:val="auto"/>
          <w:sz w:val="24"/>
          <w:highlight w:val="none"/>
          <w:lang w:val="en-US" w:eastAsia="zh-CN"/>
        </w:rPr>
        <w:t>提前</w:t>
      </w:r>
      <w:r>
        <w:rPr>
          <w:rFonts w:hint="eastAsia" w:ascii="仿宋" w:hAnsi="仿宋" w:eastAsia="仿宋"/>
          <w:color w:val="auto"/>
          <w:sz w:val="24"/>
          <w:highlight w:val="none"/>
        </w:rPr>
        <w:t>向甲方</w:t>
      </w:r>
      <w:r>
        <w:rPr>
          <w:rFonts w:hint="eastAsia" w:ascii="仿宋" w:hAnsi="仿宋" w:eastAsia="仿宋"/>
          <w:color w:val="auto"/>
          <w:sz w:val="24"/>
          <w:highlight w:val="none"/>
          <w:lang w:val="en-US" w:eastAsia="zh-CN"/>
        </w:rPr>
        <w:t>申请</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经甲方同意后方可实施。</w:t>
      </w:r>
      <w:r>
        <w:rPr>
          <w:rFonts w:hint="eastAsia" w:ascii="仿宋" w:hAnsi="仿宋" w:eastAsia="仿宋"/>
          <w:bCs/>
          <w:color w:val="auto"/>
          <w:sz w:val="24"/>
          <w:highlight w:val="none"/>
        </w:rPr>
        <w:t>装修完成后3个工作日内，乙方应向甲方提供竣工图备案，因装修</w:t>
      </w:r>
      <w:r>
        <w:rPr>
          <w:rFonts w:hint="eastAsia" w:ascii="仿宋" w:hAnsi="仿宋" w:eastAsia="仿宋"/>
          <w:bCs/>
          <w:color w:val="auto"/>
          <w:sz w:val="24"/>
          <w:highlight w:val="none"/>
          <w:lang w:val="en-US" w:eastAsia="zh-CN"/>
        </w:rPr>
        <w:t>和</w:t>
      </w:r>
      <w:r>
        <w:rPr>
          <w:rFonts w:hint="eastAsia" w:ascii="仿宋" w:hAnsi="仿宋" w:eastAsia="仿宋"/>
          <w:bCs/>
          <w:color w:val="auto"/>
          <w:sz w:val="24"/>
          <w:highlight w:val="none"/>
        </w:rPr>
        <w:t>改造行为产生的相关</w:t>
      </w:r>
      <w:r>
        <w:rPr>
          <w:rFonts w:hint="eastAsia" w:ascii="仿宋" w:hAnsi="仿宋" w:eastAsia="仿宋"/>
          <w:color w:val="auto"/>
          <w:sz w:val="24"/>
          <w:highlight w:val="none"/>
        </w:rPr>
        <w:t>费用由乙方自行承担。若乙方施工过程中给</w:t>
      </w:r>
      <w:r>
        <w:rPr>
          <w:rFonts w:hint="eastAsia" w:ascii="仿宋" w:hAnsi="仿宋" w:eastAsia="仿宋"/>
          <w:color w:val="auto"/>
          <w:sz w:val="24"/>
          <w:highlight w:val="none"/>
          <w:lang w:val="en-US" w:eastAsia="zh-CN"/>
        </w:rPr>
        <w:t>甲方及</w:t>
      </w:r>
      <w:r>
        <w:rPr>
          <w:rFonts w:hint="eastAsia" w:ascii="仿宋" w:hAnsi="仿宋" w:eastAsia="仿宋"/>
          <w:color w:val="auto"/>
          <w:sz w:val="24"/>
          <w:highlight w:val="none"/>
        </w:rPr>
        <w:t>任何第三方造成损害的，乙方应承担赔偿责任。合同解除后，乙方无权向甲方主张其因设备更换、升级而自行支出的费用。</w:t>
      </w:r>
      <w:r>
        <w:rPr>
          <w:rFonts w:hint="eastAsia" w:ascii="仿宋" w:hAnsi="仿宋" w:eastAsia="仿宋"/>
          <w:color w:val="auto"/>
          <w:sz w:val="24"/>
          <w:highlight w:val="none"/>
          <w:lang w:val="en-US" w:eastAsia="zh-CN"/>
        </w:rPr>
        <w:t>乙方改造和装修的部分，由乙方自行承担维护保养和修缮责任。</w:t>
      </w:r>
    </w:p>
    <w:p w14:paraId="24923630">
      <w:pPr>
        <w:spacing w:line="360" w:lineRule="auto"/>
        <w:ind w:firstLine="482" w:firstLineChars="200"/>
        <w:rPr>
          <w:rFonts w:ascii="仿宋" w:hAnsi="仿宋" w:eastAsia="仿宋"/>
          <w:color w:val="auto"/>
          <w:sz w:val="24"/>
          <w:highlight w:val="none"/>
        </w:rPr>
      </w:pPr>
      <w:r>
        <w:rPr>
          <w:rFonts w:hint="eastAsia" w:ascii="仿宋" w:hAnsi="仿宋" w:eastAsia="仿宋"/>
          <w:b/>
          <w:color w:val="auto"/>
          <w:sz w:val="24"/>
          <w:highlight w:val="none"/>
        </w:rPr>
        <w:t>7.</w:t>
      </w:r>
      <w:r>
        <w:rPr>
          <w:rFonts w:hint="eastAsia" w:ascii="仿宋" w:hAnsi="仿宋" w:eastAsia="仿宋"/>
          <w:b/>
          <w:color w:val="auto"/>
          <w:sz w:val="24"/>
          <w:highlight w:val="none"/>
          <w:lang w:val="en-US" w:eastAsia="zh-CN"/>
        </w:rPr>
        <w:t>5</w:t>
      </w:r>
      <w:r>
        <w:rPr>
          <w:rFonts w:hint="eastAsia" w:ascii="仿宋" w:hAnsi="仿宋" w:eastAsia="仿宋"/>
          <w:b/>
          <w:color w:val="auto"/>
          <w:sz w:val="24"/>
          <w:highlight w:val="none"/>
        </w:rPr>
        <w:t xml:space="preserve"> </w:t>
      </w:r>
      <w:r>
        <w:rPr>
          <w:rFonts w:ascii="仿宋" w:hAnsi="仿宋" w:eastAsia="仿宋"/>
          <w:color w:val="auto"/>
          <w:sz w:val="24"/>
          <w:highlight w:val="none"/>
        </w:rPr>
        <w:t>乙方应当依法经营，若发生诉讼给甲方造成损失（</w:t>
      </w:r>
      <w:r>
        <w:rPr>
          <w:rFonts w:ascii="仿宋" w:hAnsi="仿宋" w:eastAsia="仿宋"/>
          <w:b/>
          <w:color w:val="auto"/>
          <w:sz w:val="24"/>
          <w:highlight w:val="none"/>
        </w:rPr>
        <w:t>包括</w:t>
      </w:r>
      <w:r>
        <w:rPr>
          <w:rFonts w:hint="eastAsia" w:ascii="仿宋" w:hAnsi="仿宋" w:eastAsia="仿宋"/>
          <w:b/>
          <w:color w:val="auto"/>
          <w:sz w:val="24"/>
          <w:highlight w:val="none"/>
        </w:rPr>
        <w:t>但不限于</w:t>
      </w:r>
      <w:r>
        <w:rPr>
          <w:rFonts w:ascii="仿宋" w:hAnsi="仿宋" w:eastAsia="仿宋"/>
          <w:b/>
          <w:color w:val="auto"/>
          <w:sz w:val="24"/>
          <w:highlight w:val="none"/>
        </w:rPr>
        <w:t>乙方被财产保全导致甲方房屋</w:t>
      </w:r>
      <w:r>
        <w:rPr>
          <w:rFonts w:hint="eastAsia" w:ascii="仿宋" w:hAnsi="仿宋" w:eastAsia="仿宋"/>
          <w:b/>
          <w:color w:val="auto"/>
          <w:sz w:val="24"/>
          <w:highlight w:val="none"/>
        </w:rPr>
        <w:t>连带</w:t>
      </w:r>
      <w:r>
        <w:rPr>
          <w:rFonts w:ascii="仿宋" w:hAnsi="仿宋" w:eastAsia="仿宋"/>
          <w:b/>
          <w:color w:val="auto"/>
          <w:sz w:val="24"/>
          <w:highlight w:val="none"/>
        </w:rPr>
        <w:t>被查封</w:t>
      </w:r>
      <w:r>
        <w:rPr>
          <w:rFonts w:hint="eastAsia" w:ascii="仿宋" w:hAnsi="仿宋" w:eastAsia="仿宋"/>
          <w:b/>
          <w:color w:val="auto"/>
          <w:sz w:val="24"/>
          <w:highlight w:val="none"/>
        </w:rPr>
        <w:t>等</w:t>
      </w:r>
      <w:r>
        <w:rPr>
          <w:rFonts w:ascii="仿宋" w:hAnsi="仿宋" w:eastAsia="仿宋"/>
          <w:b/>
          <w:color w:val="auto"/>
          <w:sz w:val="24"/>
          <w:highlight w:val="none"/>
        </w:rPr>
        <w:t>），</w:t>
      </w:r>
      <w:r>
        <w:rPr>
          <w:rFonts w:hint="eastAsia" w:ascii="仿宋" w:hAnsi="仿宋" w:eastAsia="仿宋"/>
          <w:b/>
          <w:color w:val="auto"/>
          <w:sz w:val="24"/>
          <w:highlight w:val="none"/>
        </w:rPr>
        <w:t>乙方需赔偿给甲方造成的所有直接和间接损失（若损失无法计算的，乙方应按合同第四条的</w:t>
      </w:r>
      <w:r>
        <w:rPr>
          <w:rFonts w:hint="eastAsia" w:ascii="仿宋" w:hAnsi="仿宋" w:eastAsia="仿宋"/>
          <w:b/>
          <w:color w:val="auto"/>
          <w:sz w:val="24"/>
          <w:highlight w:val="none"/>
          <w:lang w:val="en-US" w:eastAsia="zh-CN"/>
        </w:rPr>
        <w:t>保底租金</w:t>
      </w:r>
      <w:r>
        <w:rPr>
          <w:rFonts w:hint="eastAsia" w:ascii="仿宋" w:hAnsi="仿宋" w:eastAsia="仿宋"/>
          <w:b/>
          <w:color w:val="auto"/>
          <w:sz w:val="24"/>
          <w:highlight w:val="none"/>
        </w:rPr>
        <w:t>标准向甲方支付查封期间的房屋空置费）</w:t>
      </w:r>
      <w:r>
        <w:rPr>
          <w:rFonts w:ascii="仿宋" w:hAnsi="仿宋" w:eastAsia="仿宋"/>
          <w:color w:val="auto"/>
          <w:sz w:val="24"/>
          <w:highlight w:val="none"/>
        </w:rPr>
        <w:t>。</w:t>
      </w:r>
    </w:p>
    <w:p w14:paraId="1857553C">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7.</w:t>
      </w:r>
      <w:r>
        <w:rPr>
          <w:rFonts w:hint="eastAsia" w:ascii="仿宋" w:hAnsi="仿宋" w:eastAsia="仿宋"/>
          <w:b/>
          <w:color w:val="auto"/>
          <w:sz w:val="24"/>
          <w:highlight w:val="none"/>
          <w:lang w:val="en-US" w:eastAsia="zh-CN"/>
        </w:rPr>
        <w:t>6</w:t>
      </w:r>
      <w:r>
        <w:rPr>
          <w:rFonts w:hint="eastAsia" w:ascii="仿宋" w:hAnsi="仿宋" w:eastAsia="仿宋"/>
          <w:color w:val="auto"/>
          <w:sz w:val="24"/>
          <w:highlight w:val="none"/>
        </w:rPr>
        <w:t xml:space="preserve"> 乙方的经营业态必须符合国家环境保护规定、杭州市有关消防安全条例等相关法律法规。</w:t>
      </w:r>
    </w:p>
    <w:p w14:paraId="07B0360D">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7.</w:t>
      </w:r>
      <w:r>
        <w:rPr>
          <w:rFonts w:hint="eastAsia" w:ascii="仿宋" w:hAnsi="仿宋" w:eastAsia="仿宋"/>
          <w:b/>
          <w:color w:val="auto"/>
          <w:sz w:val="24"/>
          <w:highlight w:val="none"/>
          <w:lang w:val="en-US" w:eastAsia="zh-CN"/>
        </w:rPr>
        <w:t>7</w:t>
      </w:r>
      <w:r>
        <w:rPr>
          <w:rFonts w:hint="eastAsia" w:ascii="仿宋" w:hAnsi="仿宋" w:eastAsia="仿宋"/>
          <w:color w:val="auto"/>
          <w:sz w:val="24"/>
          <w:highlight w:val="none"/>
        </w:rPr>
        <w:t xml:space="preserve">  乙方需严格遵守甲方及房屋所在地管理部门制定的消防、治安保卫及其他管理方面的规章制度，负责房屋的消防和安全工作，按规定配备好消防设施，有义务培训职工具备一定的消防安全知识。不得在房屋内存放易燃、易爆等危险品，做好防火防盗工作。如发生事故而给甲方造成损失的，应由乙方负责赔偿，并承担由此而产生的民事和刑事责任。</w:t>
      </w:r>
    </w:p>
    <w:p w14:paraId="156BA570">
      <w:pPr>
        <w:spacing w:line="360" w:lineRule="auto"/>
        <w:ind w:firstLine="482" w:firstLineChars="200"/>
        <w:jc w:val="left"/>
        <w:rPr>
          <w:rFonts w:ascii="仿宋" w:hAnsi="仿宋" w:eastAsia="仿宋"/>
          <w:b/>
          <w:color w:val="auto"/>
          <w:sz w:val="24"/>
          <w:highlight w:val="none"/>
        </w:rPr>
      </w:pPr>
      <w:r>
        <w:rPr>
          <w:rFonts w:hint="eastAsia" w:ascii="仿宋" w:hAnsi="仿宋" w:eastAsia="仿宋"/>
          <w:b/>
          <w:color w:val="auto"/>
          <w:sz w:val="24"/>
          <w:highlight w:val="none"/>
        </w:rPr>
        <w:t>7.</w:t>
      </w:r>
      <w:r>
        <w:rPr>
          <w:rFonts w:hint="eastAsia" w:ascii="仿宋" w:hAnsi="仿宋" w:eastAsia="仿宋"/>
          <w:b/>
          <w:color w:val="auto"/>
          <w:sz w:val="24"/>
          <w:highlight w:val="none"/>
          <w:lang w:val="en-US" w:eastAsia="zh-CN"/>
        </w:rPr>
        <w:t>8</w:t>
      </w:r>
      <w:r>
        <w:rPr>
          <w:rFonts w:hint="eastAsia" w:ascii="仿宋" w:hAnsi="仿宋" w:eastAsia="仿宋"/>
          <w:b/>
          <w:color w:val="auto"/>
          <w:sz w:val="24"/>
          <w:highlight w:val="none"/>
        </w:rPr>
        <w:t xml:space="preserve">  </w:t>
      </w:r>
      <w:r>
        <w:rPr>
          <w:rFonts w:hint="eastAsia" w:ascii="仿宋" w:hAnsi="仿宋" w:eastAsia="仿宋"/>
          <w:color w:val="auto"/>
          <w:sz w:val="24"/>
          <w:highlight w:val="none"/>
        </w:rPr>
        <w:t>乙方未经甲方书面同意及相关部门批准，不得在该房屋外展示、设置任何文字、标识或广告。</w:t>
      </w:r>
    </w:p>
    <w:p w14:paraId="70AAAA6C">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7.</w:t>
      </w:r>
      <w:r>
        <w:rPr>
          <w:rFonts w:hint="eastAsia" w:ascii="仿宋" w:hAnsi="仿宋" w:eastAsia="仿宋"/>
          <w:b/>
          <w:color w:val="auto"/>
          <w:sz w:val="24"/>
          <w:highlight w:val="none"/>
          <w:lang w:val="en-US" w:eastAsia="zh-CN"/>
        </w:rPr>
        <w:t xml:space="preserve">9 </w:t>
      </w:r>
      <w:r>
        <w:rPr>
          <w:rFonts w:hint="eastAsia" w:ascii="仿宋" w:hAnsi="仿宋" w:eastAsia="仿宋"/>
          <w:b/>
          <w:color w:val="auto"/>
          <w:sz w:val="24"/>
          <w:highlight w:val="none"/>
        </w:rPr>
        <w:t xml:space="preserve"> </w:t>
      </w:r>
      <w:r>
        <w:rPr>
          <w:rFonts w:hint="eastAsia" w:ascii="仿宋" w:hAnsi="仿宋" w:eastAsia="仿宋"/>
          <w:color w:val="auto"/>
          <w:sz w:val="24"/>
          <w:highlight w:val="none"/>
        </w:rPr>
        <w:t>乙方对其在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期间内的一切经营行为、经济往来自行承担责任。</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期满，若乙方的经营活动有尚未了结的纠纷的，应由乙方自行处理解决。若乙方未能妥善解决该纠纷，则甲方有权扣留乙方的履约保证金作为可能赔偿第三方之用。若履约保证金不足以赔偿，甲方有权追偿。</w:t>
      </w:r>
    </w:p>
    <w:p w14:paraId="2F948679">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rPr>
        <w:t>7</w:t>
      </w:r>
      <w:r>
        <w:rPr>
          <w:rFonts w:ascii="仿宋" w:hAnsi="仿宋" w:eastAsia="仿宋"/>
          <w:b/>
          <w:bCs/>
          <w:color w:val="auto"/>
          <w:sz w:val="24"/>
          <w:highlight w:val="none"/>
        </w:rPr>
        <w:t>.</w:t>
      </w:r>
      <w:r>
        <w:rPr>
          <w:rFonts w:hint="eastAsia" w:ascii="仿宋" w:hAnsi="仿宋" w:eastAsia="仿宋"/>
          <w:b/>
          <w:bCs/>
          <w:color w:val="auto"/>
          <w:sz w:val="24"/>
          <w:highlight w:val="none"/>
          <w:lang w:val="en-US" w:eastAsia="zh-CN"/>
        </w:rPr>
        <w:t>10</w:t>
      </w:r>
      <w:r>
        <w:rPr>
          <w:rFonts w:ascii="仿宋" w:hAnsi="仿宋" w:eastAsia="仿宋"/>
          <w:color w:val="auto"/>
          <w:sz w:val="24"/>
          <w:highlight w:val="none"/>
        </w:rPr>
        <w:t xml:space="preserve"> </w:t>
      </w:r>
      <w:r>
        <w:rPr>
          <w:rFonts w:hint="eastAsia" w:ascii="仿宋" w:hAnsi="仿宋" w:eastAsia="仿宋"/>
          <w:color w:val="auto"/>
          <w:sz w:val="24"/>
          <w:highlight w:val="none"/>
          <w:lang w:val="en-US" w:eastAsia="zh-CN"/>
        </w:rPr>
        <w:t xml:space="preserve"> 合同</w:t>
      </w:r>
      <w:r>
        <w:rPr>
          <w:rFonts w:hint="eastAsia" w:ascii="仿宋" w:hAnsi="仿宋" w:eastAsia="仿宋"/>
          <w:color w:val="auto"/>
          <w:sz w:val="24"/>
          <w:highlight w:val="none"/>
        </w:rPr>
        <w:t>期间，因乙方行为可能影响通行、通风等相邻关系的，应提前</w:t>
      </w:r>
      <w:r>
        <w:rPr>
          <w:rFonts w:hint="eastAsia" w:ascii="仿宋" w:hAnsi="仿宋" w:eastAsia="仿宋"/>
          <w:color w:val="auto"/>
          <w:sz w:val="24"/>
          <w:highlight w:val="none"/>
          <w:lang w:val="en-US" w:eastAsia="zh-CN"/>
        </w:rPr>
        <w:t>10</w:t>
      </w:r>
      <w:r>
        <w:rPr>
          <w:rFonts w:hint="eastAsia" w:ascii="仿宋" w:hAnsi="仿宋" w:eastAsia="仿宋"/>
          <w:color w:val="auto"/>
          <w:sz w:val="24"/>
          <w:highlight w:val="none"/>
        </w:rPr>
        <w:t>日（需要立即施工的除外）书面通知甲方及可能受影响的第三方，并提出解决方案。在合理范围内，甲方应予以理解并配合。因此产生费用或造成甲方及第三方损失的，均由乙方承担。</w:t>
      </w:r>
    </w:p>
    <w:p w14:paraId="33CD235B">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rPr>
        <w:t>7.1</w:t>
      </w:r>
      <w:r>
        <w:rPr>
          <w:rFonts w:hint="eastAsia" w:ascii="仿宋" w:hAnsi="仿宋" w:eastAsia="仿宋"/>
          <w:b/>
          <w:bCs/>
          <w:color w:val="auto"/>
          <w:sz w:val="24"/>
          <w:highlight w:val="none"/>
          <w:lang w:val="en-US" w:eastAsia="zh-CN"/>
        </w:rPr>
        <w:t>1</w:t>
      </w:r>
      <w:r>
        <w:rPr>
          <w:rFonts w:hint="eastAsia" w:ascii="仿宋" w:hAnsi="仿宋" w:eastAsia="仿宋"/>
          <w:color w:val="auto"/>
          <w:sz w:val="24"/>
          <w:highlight w:val="none"/>
        </w:rPr>
        <w:t xml:space="preserve"> </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未经甲方书面同意，乙方不得转租、分租或变更用途，若确需转租的，需甲方出具书面同意转租函后方能转租。</w:t>
      </w:r>
    </w:p>
    <w:p w14:paraId="4E03A974">
      <w:pPr>
        <w:spacing w:line="360" w:lineRule="auto"/>
        <w:ind w:firstLine="480" w:firstLineChars="200"/>
        <w:jc w:val="left"/>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7.12  合同期间，房屋整体移交乙方管理使用，乙方应承担房屋内一切管理责任及安全责任，乙方应自行根据实际需要购买公众责任险等保险。</w:t>
      </w:r>
    </w:p>
    <w:p w14:paraId="759BBA87">
      <w:pPr>
        <w:spacing w:line="360" w:lineRule="auto"/>
        <w:ind w:firstLine="480" w:firstLineChars="200"/>
        <w:jc w:val="left"/>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7.13 乙方应服从园区管理，听从甲方及甲方委托的物业公司指挥，在甲方组织各种活动中配合进行己方人员管理，不影响活动开展。</w:t>
      </w:r>
    </w:p>
    <w:p w14:paraId="3FF45734">
      <w:pPr>
        <w:spacing w:line="360" w:lineRule="auto"/>
        <w:ind w:firstLine="480" w:firstLineChars="200"/>
        <w:jc w:val="left"/>
        <w:rPr>
          <w:rFonts w:hint="default"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7.14 乙方应按甲方规定时间营业，不得无故闭店。（用途为办公的不受本条限制）</w:t>
      </w:r>
    </w:p>
    <w:p w14:paraId="4C380133">
      <w:pPr>
        <w:spacing w:line="360" w:lineRule="auto"/>
        <w:ind w:firstLine="482" w:firstLineChars="200"/>
        <w:jc w:val="left"/>
        <w:rPr>
          <w:rFonts w:ascii="仿宋" w:hAnsi="仿宋" w:eastAsia="仿宋"/>
          <w:color w:val="auto"/>
          <w:sz w:val="24"/>
          <w:highlight w:val="none"/>
        </w:rPr>
      </w:pPr>
      <w:r>
        <w:rPr>
          <w:rFonts w:hint="eastAsia" w:ascii="仿宋" w:hAnsi="仿宋" w:eastAsia="仿宋"/>
          <w:b/>
          <w:bCs/>
          <w:color w:val="auto"/>
          <w:sz w:val="24"/>
          <w:highlight w:val="none"/>
        </w:rPr>
        <w:t xml:space="preserve">第八条  </w:t>
      </w:r>
      <w:r>
        <w:rPr>
          <w:rFonts w:ascii="仿宋" w:hAnsi="仿宋" w:eastAsia="仿宋"/>
          <w:b/>
          <w:color w:val="auto"/>
          <w:sz w:val="24"/>
          <w:highlight w:val="none"/>
        </w:rPr>
        <w:t>房屋修缮和装饰</w:t>
      </w:r>
    </w:p>
    <w:p w14:paraId="0AC301AC">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rPr>
        <w:t>8.1</w:t>
      </w:r>
      <w:r>
        <w:rPr>
          <w:rFonts w:hint="eastAsia" w:ascii="仿宋" w:hAnsi="仿宋" w:eastAsia="仿宋"/>
          <w:color w:val="auto"/>
          <w:sz w:val="24"/>
          <w:highlight w:val="none"/>
        </w:rPr>
        <w:t xml:space="preserve">  甲方应保证房屋的建筑结构和设备设施符合建筑、消防、治安、卫生等方面的安全条件，保持房屋符合约定的用途。</w:t>
      </w:r>
    </w:p>
    <w:p w14:paraId="7E9158D2">
      <w:pPr>
        <w:spacing w:line="360" w:lineRule="auto"/>
        <w:ind w:firstLine="482" w:firstLineChars="200"/>
        <w:jc w:val="left"/>
        <w:rPr>
          <w:rFonts w:ascii="仿宋" w:hAnsi="仿宋" w:eastAsia="仿宋"/>
          <w:color w:val="auto"/>
          <w:sz w:val="24"/>
          <w:highlight w:val="none"/>
        </w:rPr>
      </w:pPr>
      <w:r>
        <w:rPr>
          <w:rFonts w:hint="eastAsia" w:ascii="仿宋" w:hAnsi="仿宋" w:eastAsia="仿宋"/>
          <w:b/>
          <w:bCs/>
          <w:color w:val="auto"/>
          <w:sz w:val="24"/>
          <w:highlight w:val="none"/>
        </w:rPr>
        <w:t>8.2</w:t>
      </w:r>
      <w:r>
        <w:rPr>
          <w:rFonts w:hint="eastAsia" w:ascii="仿宋" w:hAnsi="仿宋" w:eastAsia="仿宋"/>
          <w:color w:val="auto"/>
          <w:sz w:val="24"/>
          <w:highlight w:val="none"/>
        </w:rPr>
        <w:t xml:space="preserve">  乙方在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间要维护房屋及设施设备，保证房屋及设施设备的完好，针对乙方原因产生的维修事项由乙方负责，乙方可委托甲方代行维修，维修费由乙方承担。若发生（甲方认为）需由乙方维修之事项时，乙方应在甲方通知之日起10日内修缮完毕，逾期30日仍未修缮完毕的，甲方有权选择自行修缮，相关修缮费用应由乙方承担。</w:t>
      </w:r>
    </w:p>
    <w:p w14:paraId="768652E8">
      <w:pPr>
        <w:spacing w:line="360" w:lineRule="auto"/>
        <w:ind w:firstLine="482" w:firstLineChars="200"/>
        <w:jc w:val="left"/>
        <w:rPr>
          <w:rFonts w:hint="eastAsia" w:ascii="仿宋" w:hAnsi="仿宋" w:eastAsia="仿宋"/>
          <w:bCs/>
          <w:color w:val="auto"/>
          <w:sz w:val="24"/>
          <w:highlight w:val="none"/>
        </w:rPr>
      </w:pPr>
      <w:r>
        <w:rPr>
          <w:rFonts w:hint="eastAsia" w:ascii="仿宋" w:hAnsi="仿宋" w:eastAsia="仿宋"/>
          <w:b/>
          <w:color w:val="auto"/>
          <w:sz w:val="24"/>
          <w:highlight w:val="none"/>
        </w:rPr>
        <w:t xml:space="preserve">8.3  </w:t>
      </w:r>
      <w:r>
        <w:rPr>
          <w:rFonts w:hint="eastAsia" w:ascii="仿宋" w:hAnsi="仿宋" w:eastAsia="仿宋"/>
          <w:bCs/>
          <w:color w:val="auto"/>
          <w:sz w:val="24"/>
          <w:highlight w:val="none"/>
        </w:rPr>
        <w:t>因第三方原因导致房屋或设施设备出现损坏的，合同期内由乙方负责向第三方主张维修责任及经营损失。</w:t>
      </w:r>
    </w:p>
    <w:p w14:paraId="0B4EF7ED">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8.4  </w:t>
      </w:r>
      <w:r>
        <w:rPr>
          <w:rFonts w:hint="eastAsia" w:ascii="仿宋" w:hAnsi="仿宋" w:eastAsia="仿宋"/>
          <w:bCs/>
          <w:color w:val="auto"/>
          <w:sz w:val="24"/>
          <w:highlight w:val="none"/>
        </w:rPr>
        <w:t>针对房屋及其设施设备维修责任划分存在争议事项，</w:t>
      </w:r>
      <w:r>
        <w:rPr>
          <w:rFonts w:hint="eastAsia" w:ascii="仿宋" w:hAnsi="仿宋" w:eastAsia="仿宋"/>
          <w:color w:val="auto"/>
          <w:sz w:val="24"/>
          <w:highlight w:val="none"/>
        </w:rPr>
        <w:t>若甲方可选择主动维修，乙方应积极协助配合，且不向甲方追究因维修产生的影响其正常运营等相关责任。因乙方阻挠甲方进行维修，或者因为乙方未尽到维修义务而造成损失的，由乙方负责。</w:t>
      </w:r>
    </w:p>
    <w:p w14:paraId="38291E2F">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rPr>
        <w:t xml:space="preserve">8.5  </w:t>
      </w:r>
      <w:r>
        <w:rPr>
          <w:rFonts w:hint="eastAsia" w:ascii="仿宋" w:hAnsi="仿宋" w:eastAsia="仿宋"/>
          <w:color w:val="auto"/>
          <w:sz w:val="24"/>
          <w:highlight w:val="none"/>
        </w:rPr>
        <w:t>乙方未事先征得甲方书面同意，</w:t>
      </w:r>
      <w:r>
        <w:rPr>
          <w:rFonts w:hint="eastAsia" w:ascii="仿宋" w:hAnsi="仿宋" w:eastAsia="仿宋"/>
          <w:color w:val="auto"/>
          <w:sz w:val="24"/>
          <w:highlight w:val="none"/>
          <w:lang w:val="en-US" w:eastAsia="zh-CN"/>
        </w:rPr>
        <w:t>且</w:t>
      </w:r>
      <w:r>
        <w:rPr>
          <w:rFonts w:hint="eastAsia" w:ascii="仿宋" w:hAnsi="仿宋" w:eastAsia="仿宋"/>
          <w:color w:val="auto"/>
          <w:sz w:val="24"/>
          <w:highlight w:val="none"/>
        </w:rPr>
        <w:t>未按规定向有关部门办理审批手续的，不得擅自改变房屋的结构和使用性质，不能随意对房屋进行装修或增设他物，不能破坏墙体结构、拆墙、移墙、开门等。若甲方书面同意，并经规划和消防等有关部门许可后，乙方</w:t>
      </w:r>
      <w:r>
        <w:rPr>
          <w:rFonts w:ascii="仿宋" w:hAnsi="仿宋" w:eastAsia="仿宋"/>
          <w:color w:val="auto"/>
          <w:sz w:val="24"/>
          <w:highlight w:val="none"/>
        </w:rPr>
        <w:t>在不影响房屋结构的前提下，</w:t>
      </w:r>
      <w:r>
        <w:rPr>
          <w:rFonts w:hint="eastAsia" w:ascii="仿宋" w:hAnsi="仿宋" w:eastAsia="仿宋"/>
          <w:color w:val="auto"/>
          <w:sz w:val="24"/>
          <w:highlight w:val="none"/>
        </w:rPr>
        <w:t>可以严格按照相关规定</w:t>
      </w:r>
      <w:r>
        <w:rPr>
          <w:rFonts w:ascii="仿宋" w:hAnsi="仿宋" w:eastAsia="仿宋"/>
          <w:color w:val="auto"/>
          <w:sz w:val="24"/>
          <w:highlight w:val="none"/>
        </w:rPr>
        <w:t>对房屋进行装饰</w:t>
      </w:r>
      <w:r>
        <w:rPr>
          <w:rFonts w:hint="eastAsia" w:ascii="仿宋" w:hAnsi="仿宋" w:eastAsia="仿宋"/>
          <w:color w:val="auto"/>
          <w:sz w:val="24"/>
          <w:highlight w:val="none"/>
        </w:rPr>
        <w:t>。</w:t>
      </w:r>
    </w:p>
    <w:p w14:paraId="4F8C0043">
      <w:pPr>
        <w:tabs>
          <w:tab w:val="left" w:pos="3900"/>
        </w:tabs>
        <w:spacing w:line="360" w:lineRule="auto"/>
        <w:ind w:firstLine="482" w:firstLineChars="200"/>
        <w:jc w:val="left"/>
        <w:rPr>
          <w:rFonts w:hint="default"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第九条  房屋交接</w:t>
      </w:r>
    </w:p>
    <w:p w14:paraId="3208497A">
      <w:pPr>
        <w:spacing w:line="360" w:lineRule="auto"/>
        <w:ind w:firstLine="482" w:firstLineChars="200"/>
        <w:jc w:val="left"/>
        <w:rPr>
          <w:rFonts w:hint="default" w:ascii="仿宋" w:hAnsi="仿宋" w:eastAsia="仿宋"/>
          <w:color w:val="auto"/>
          <w:sz w:val="24"/>
          <w:highlight w:val="none"/>
          <w:lang w:val="en-US" w:eastAsia="zh-CN"/>
        </w:rPr>
      </w:pPr>
      <w:r>
        <w:rPr>
          <w:rFonts w:hint="eastAsia" w:ascii="仿宋" w:hAnsi="仿宋" w:eastAsia="仿宋"/>
          <w:b/>
          <w:bCs/>
          <w:color w:val="auto"/>
          <w:sz w:val="24"/>
          <w:highlight w:val="none"/>
          <w:lang w:val="en-US" w:eastAsia="zh-CN"/>
        </w:rPr>
        <w:t xml:space="preserve">9.1  </w:t>
      </w:r>
      <w:r>
        <w:rPr>
          <w:rFonts w:hint="eastAsia" w:ascii="仿宋" w:hAnsi="仿宋" w:eastAsia="仿宋"/>
          <w:color w:val="auto"/>
          <w:sz w:val="24"/>
          <w:highlight w:val="none"/>
        </w:rPr>
        <w:t>在乙方全额支付履约保证金和首期</w:t>
      </w:r>
      <w:r>
        <w:rPr>
          <w:rFonts w:hint="eastAsia" w:ascii="仿宋" w:hAnsi="仿宋" w:eastAsia="仿宋"/>
          <w:color w:val="auto"/>
          <w:sz w:val="24"/>
          <w:highlight w:val="none"/>
          <w:lang w:val="en-US" w:eastAsia="zh-CN"/>
        </w:rPr>
        <w:t>保底租金费用</w:t>
      </w:r>
      <w:r>
        <w:rPr>
          <w:rFonts w:hint="eastAsia" w:ascii="仿宋" w:hAnsi="仿宋" w:eastAsia="仿宋"/>
          <w:color w:val="auto"/>
          <w:sz w:val="24"/>
          <w:highlight w:val="none"/>
        </w:rPr>
        <w:t>后，甲方在收到上述全额费用后，向乙方交付本合同项下的房屋</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该房屋计划交付日为 2026年12月 1日。如乙方迟延付款，甲方可不交付房屋，不视甲方为违约。</w:t>
      </w:r>
    </w:p>
    <w:p w14:paraId="298B3698">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b w:val="0"/>
          <w:bCs w:val="0"/>
          <w:color w:val="auto"/>
          <w:sz w:val="24"/>
          <w:highlight w:val="none"/>
          <w:lang w:val="en-US" w:eastAsia="zh-CN"/>
        </w:rPr>
        <w:t>双方明确，如本合同签订时，房屋未完成竣工备案的，甲方将在房屋竣工备案完成后交付给乙方使用，不得提前交付，不允许乙方提前进场装修。如有需要，乙方可开展测量、设计等前期工作。乙方不得以房产未完成竣工备案导致其受到损失为由，要求甲方进行任何赔偿或补偿。并且，</w:t>
      </w:r>
      <w:r>
        <w:rPr>
          <w:rFonts w:hint="eastAsia" w:ascii="仿宋" w:hAnsi="仿宋" w:eastAsia="仿宋"/>
          <w:color w:val="auto"/>
          <w:sz w:val="24"/>
          <w:highlight w:val="none"/>
          <w:lang w:val="en-US" w:eastAsia="zh-CN"/>
        </w:rPr>
        <w:t>乙方理解甲方在办理竣工备案等手续时的复杂性，延迟时间不超过90日的，乙方同意不视为甲方违约</w:t>
      </w:r>
      <w:r>
        <w:rPr>
          <w:rFonts w:hint="eastAsia" w:ascii="仿宋" w:hAnsi="仿宋" w:eastAsia="仿宋"/>
          <w:color w:val="auto"/>
          <w:sz w:val="24"/>
          <w:highlight w:val="none"/>
        </w:rPr>
        <w:t>。</w:t>
      </w:r>
    </w:p>
    <w:p w14:paraId="433A1678">
      <w:pPr>
        <w:spacing w:line="360" w:lineRule="auto"/>
        <w:ind w:firstLine="480" w:firstLineChars="200"/>
        <w:jc w:val="left"/>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乙方应于甲方通知的日期前往本项目办理该房屋的交接手续。若乙方未于甲方通知的日期前往本项目办理该房屋的交接手续，则甲方通知的交付日视为该房屋的交付日。</w:t>
      </w:r>
    </w:p>
    <w:p w14:paraId="77C63DB5">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rPr>
        <w:t>9.</w:t>
      </w:r>
      <w:r>
        <w:rPr>
          <w:rFonts w:hint="eastAsia" w:ascii="仿宋" w:hAnsi="仿宋" w:eastAsia="仿宋"/>
          <w:b/>
          <w:bCs/>
          <w:color w:val="auto"/>
          <w:sz w:val="24"/>
          <w:highlight w:val="none"/>
          <w:lang w:val="en-US" w:eastAsia="zh-CN"/>
        </w:rPr>
        <w:t>2</w:t>
      </w:r>
      <w:r>
        <w:rPr>
          <w:rFonts w:hint="eastAsia" w:ascii="仿宋" w:hAnsi="仿宋" w:eastAsia="仿宋"/>
          <w:color w:val="auto"/>
          <w:sz w:val="24"/>
          <w:highlight w:val="none"/>
        </w:rPr>
        <w:t xml:space="preserve">  </w:t>
      </w:r>
      <w:r>
        <w:rPr>
          <w:rFonts w:hint="eastAsia" w:ascii="仿宋" w:hAnsi="仿宋" w:eastAsia="仿宋"/>
          <w:color w:val="auto"/>
          <w:sz w:val="24"/>
          <w:highlight w:val="none"/>
          <w:lang w:val="en-US" w:eastAsia="zh-CN"/>
        </w:rPr>
        <w:t>房屋的交接</w:t>
      </w:r>
      <w:r>
        <w:rPr>
          <w:rFonts w:hint="eastAsia" w:ascii="仿宋" w:hAnsi="仿宋" w:eastAsia="仿宋"/>
          <w:color w:val="auto"/>
          <w:sz w:val="24"/>
          <w:highlight w:val="none"/>
        </w:rPr>
        <w:t>双方正式办理房屋交接手续时，乙方应</w:t>
      </w:r>
      <w:bookmarkStart w:id="0" w:name="OLE_LINK5"/>
      <w:r>
        <w:rPr>
          <w:rFonts w:hint="eastAsia" w:ascii="仿宋" w:hAnsi="仿宋" w:eastAsia="仿宋"/>
          <w:color w:val="auto"/>
          <w:sz w:val="24"/>
          <w:highlight w:val="none"/>
        </w:rPr>
        <w:t>对房屋的</w:t>
      </w:r>
      <w:bookmarkEnd w:id="0"/>
      <w:r>
        <w:rPr>
          <w:rFonts w:hint="eastAsia" w:ascii="仿宋" w:hAnsi="仿宋" w:eastAsia="仿宋"/>
          <w:color w:val="auto"/>
          <w:sz w:val="24"/>
          <w:highlight w:val="none"/>
        </w:rPr>
        <w:t>现状（包括房屋内的实际使用人和实际使用情况等信息）进行充分了解并明确已符合乙方的目的。</w:t>
      </w:r>
    </w:p>
    <w:p w14:paraId="7467546F">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若房屋上存在其他实际使用人，视为乙方认可并同意原实际使用人继续使用房屋，并按如下第【</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】种约定执行后续房屋腾空及使用事项。</w:t>
      </w:r>
    </w:p>
    <w:p w14:paraId="2BFAE19E">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1）由甲方负责清退并腾空房屋，因清退并腾空房屋时间难以确定的，甲方不承诺具体交付时间，乙方应同意等待房屋的清退，直至甲方实际交付止，同时，乙方不得提出任何附加条件或修改已签订的本合同且不追究甲方因上述原因导致逾期交付房屋的任何责任。在甲方向乙方实际交付房屋时，由甲、乙双方补签移交确认书，明确</w:t>
      </w:r>
      <w:r>
        <w:rPr>
          <w:rFonts w:hint="eastAsia" w:ascii="仿宋" w:hAnsi="仿宋" w:eastAsia="仿宋"/>
          <w:color w:val="auto"/>
          <w:sz w:val="24"/>
          <w:highlight w:val="none"/>
          <w:lang w:val="en-US" w:eastAsia="zh-CN"/>
        </w:rPr>
        <w:t>期限</w:t>
      </w:r>
      <w:r>
        <w:rPr>
          <w:rFonts w:hint="eastAsia" w:ascii="仿宋" w:hAnsi="仿宋" w:eastAsia="仿宋"/>
          <w:color w:val="auto"/>
          <w:sz w:val="24"/>
          <w:highlight w:val="none"/>
        </w:rPr>
        <w:t>和</w:t>
      </w:r>
      <w:r>
        <w:rPr>
          <w:rFonts w:hint="eastAsia" w:ascii="仿宋" w:hAnsi="仿宋" w:eastAsia="仿宋"/>
          <w:color w:val="auto"/>
          <w:sz w:val="24"/>
          <w:highlight w:val="none"/>
          <w:lang w:val="en-US" w:eastAsia="zh-CN"/>
        </w:rPr>
        <w:t>费用</w:t>
      </w:r>
      <w:r>
        <w:rPr>
          <w:rFonts w:hint="eastAsia" w:ascii="仿宋" w:hAnsi="仿宋" w:eastAsia="仿宋"/>
          <w:color w:val="auto"/>
          <w:sz w:val="24"/>
          <w:highlight w:val="none"/>
        </w:rPr>
        <w:t>计算的起始时间。在双方签订本合同后，若乙方等待接收房屋的时间已超过三个月且因客观原因甲方仍无法腾空房屋向乙方交付的，乙方可要求终止本合同，并要求退回已付的</w:t>
      </w:r>
      <w:r>
        <w:rPr>
          <w:rFonts w:hint="eastAsia" w:ascii="仿宋" w:hAnsi="仿宋" w:eastAsia="仿宋"/>
          <w:color w:val="auto"/>
          <w:sz w:val="24"/>
          <w:highlight w:val="none"/>
          <w:lang w:val="en-US" w:eastAsia="zh-CN"/>
        </w:rPr>
        <w:t>费用</w:t>
      </w:r>
      <w:r>
        <w:rPr>
          <w:rFonts w:hint="eastAsia" w:ascii="仿宋" w:hAnsi="仿宋" w:eastAsia="仿宋"/>
          <w:color w:val="auto"/>
          <w:sz w:val="24"/>
          <w:highlight w:val="none"/>
        </w:rPr>
        <w:t>（不计息）、履约保证金（不计息），且双方互不承担违约责任。</w:t>
      </w:r>
    </w:p>
    <w:p w14:paraId="129512DB">
      <w:pPr>
        <w:tabs>
          <w:tab w:val="left" w:pos="3900"/>
        </w:tabs>
        <w:spacing w:line="360" w:lineRule="auto"/>
        <w:ind w:firstLine="480" w:firstLineChars="200"/>
        <w:jc w:val="left"/>
        <w:rPr>
          <w:rFonts w:hint="eastAsia" w:ascii="仿宋" w:hAnsi="仿宋" w:eastAsia="仿宋"/>
          <w:b/>
          <w:bCs/>
          <w:color w:val="auto"/>
          <w:sz w:val="24"/>
          <w:highlight w:val="none"/>
        </w:rPr>
      </w:pPr>
      <w:r>
        <w:rPr>
          <w:rFonts w:hint="eastAsia" w:ascii="仿宋" w:hAnsi="仿宋" w:eastAsia="仿宋"/>
          <w:color w:val="auto"/>
          <w:sz w:val="24"/>
          <w:highlight w:val="none"/>
        </w:rPr>
        <w:t>（2）由乙方自行与房屋上的房屋实际使用人协商解决后续房屋使用问题（包括但不限于腾空、续期、改期、重新订立合同等相关事宜），由此产生的责任与后果，乙方自行承担。</w:t>
      </w:r>
    </w:p>
    <w:p w14:paraId="33DC0D34">
      <w:pPr>
        <w:tabs>
          <w:tab w:val="left" w:pos="3900"/>
        </w:tabs>
        <w:spacing w:line="360" w:lineRule="auto"/>
        <w:ind w:firstLine="482" w:firstLineChars="200"/>
        <w:jc w:val="left"/>
        <w:rPr>
          <w:rFonts w:ascii="仿宋" w:hAnsi="仿宋" w:eastAsia="仿宋"/>
          <w:b/>
          <w:color w:val="auto"/>
          <w:sz w:val="24"/>
          <w:highlight w:val="none"/>
        </w:rPr>
      </w:pPr>
      <w:r>
        <w:rPr>
          <w:rFonts w:hint="eastAsia" w:ascii="仿宋" w:hAnsi="仿宋" w:eastAsia="仿宋"/>
          <w:b/>
          <w:bCs/>
          <w:color w:val="auto"/>
          <w:sz w:val="24"/>
          <w:highlight w:val="none"/>
        </w:rPr>
        <w:t>第</w:t>
      </w:r>
      <w:r>
        <w:rPr>
          <w:rFonts w:hint="eastAsia" w:ascii="仿宋" w:hAnsi="仿宋" w:eastAsia="仿宋"/>
          <w:b/>
          <w:bCs/>
          <w:color w:val="auto"/>
          <w:sz w:val="24"/>
          <w:highlight w:val="none"/>
          <w:lang w:val="en-US" w:eastAsia="zh-CN"/>
        </w:rPr>
        <w:t>十</w:t>
      </w:r>
      <w:r>
        <w:rPr>
          <w:rFonts w:ascii="仿宋" w:hAnsi="仿宋" w:eastAsia="仿宋"/>
          <w:b/>
          <w:color w:val="auto"/>
          <w:sz w:val="24"/>
          <w:highlight w:val="none"/>
        </w:rPr>
        <w:t>条　房屋交</w:t>
      </w:r>
      <w:r>
        <w:rPr>
          <w:rFonts w:hint="eastAsia" w:ascii="仿宋" w:hAnsi="仿宋" w:eastAsia="仿宋"/>
          <w:b/>
          <w:color w:val="auto"/>
          <w:sz w:val="24"/>
          <w:highlight w:val="none"/>
        </w:rPr>
        <w:t>还</w:t>
      </w:r>
      <w:r>
        <w:rPr>
          <w:rFonts w:ascii="仿宋" w:hAnsi="仿宋" w:eastAsia="仿宋"/>
          <w:b/>
          <w:color w:val="auto"/>
          <w:sz w:val="24"/>
          <w:highlight w:val="none"/>
        </w:rPr>
        <w:t>及验收</w:t>
      </w:r>
      <w:r>
        <w:rPr>
          <w:rFonts w:ascii="仿宋" w:hAnsi="仿宋" w:eastAsia="仿宋"/>
          <w:b/>
          <w:color w:val="auto"/>
          <w:sz w:val="24"/>
          <w:highlight w:val="none"/>
        </w:rPr>
        <w:tab/>
      </w:r>
    </w:p>
    <w:p w14:paraId="2A74CDED">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lang w:val="en-US" w:eastAsia="zh-CN"/>
        </w:rPr>
        <w:t>10</w:t>
      </w:r>
      <w:r>
        <w:rPr>
          <w:rFonts w:hint="eastAsia" w:ascii="仿宋" w:hAnsi="仿宋" w:eastAsia="仿宋"/>
          <w:b/>
          <w:color w:val="auto"/>
          <w:sz w:val="24"/>
          <w:highlight w:val="none"/>
        </w:rPr>
        <w:t xml:space="preserve">.1  </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期满或合同解除后，乙方应于合同终止之日搬离并腾空房屋，并按照本合同附件内容将房屋</w:t>
      </w:r>
      <w:r>
        <w:rPr>
          <w:rFonts w:ascii="仿宋" w:hAnsi="仿宋" w:eastAsia="仿宋"/>
          <w:color w:val="auto"/>
          <w:sz w:val="24"/>
          <w:highlight w:val="none"/>
        </w:rPr>
        <w:t>及附属设施设备</w:t>
      </w:r>
      <w:r>
        <w:rPr>
          <w:rFonts w:hint="eastAsia" w:ascii="仿宋" w:hAnsi="仿宋" w:eastAsia="仿宋"/>
          <w:color w:val="auto"/>
          <w:sz w:val="24"/>
          <w:highlight w:val="none"/>
        </w:rPr>
        <w:t>等交还给甲方，同时应于本合同终止后1个月内完成以该房屋为注册登记地址的有关证照注销或变更手续。房屋内已形成附合的装饰装修物，原则上乙方应在不损害房屋的前提下自行拆除，但甲方同意利用的可保留。因拆除造成房屋损坏的，乙方应当恢复原状、赔偿损失。未形成附合的装饰装修物部分，由乙方自行搬离。</w:t>
      </w:r>
    </w:p>
    <w:p w14:paraId="3A0087DE">
      <w:pPr>
        <w:tabs>
          <w:tab w:val="left" w:pos="1890"/>
        </w:tabs>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lang w:val="en-US" w:eastAsia="zh-CN"/>
        </w:rPr>
        <w:t>10</w:t>
      </w:r>
      <w:r>
        <w:rPr>
          <w:rFonts w:hint="eastAsia" w:ascii="仿宋" w:hAnsi="仿宋" w:eastAsia="仿宋"/>
          <w:b/>
          <w:color w:val="auto"/>
          <w:sz w:val="24"/>
          <w:highlight w:val="none"/>
        </w:rPr>
        <w:t xml:space="preserve">.2  </w:t>
      </w:r>
      <w:r>
        <w:rPr>
          <w:rFonts w:hint="eastAsia" w:ascii="仿宋" w:hAnsi="仿宋" w:eastAsia="仿宋"/>
          <w:color w:val="auto"/>
          <w:sz w:val="24"/>
          <w:highlight w:val="none"/>
        </w:rPr>
        <w:t>乙方未按时搬离、腾空房屋、复原房屋或</w:t>
      </w:r>
      <w:r>
        <w:rPr>
          <w:rFonts w:hint="eastAsia" w:ascii="仿宋" w:hAnsi="仿宋" w:eastAsia="仿宋"/>
          <w:color w:val="auto"/>
          <w:sz w:val="24"/>
          <w:highlight w:val="none"/>
          <w:lang w:val="en-US" w:eastAsia="zh-CN"/>
        </w:rPr>
        <w:t>未</w:t>
      </w:r>
      <w:r>
        <w:rPr>
          <w:rFonts w:hint="eastAsia" w:ascii="仿宋" w:hAnsi="仿宋" w:eastAsia="仿宋"/>
          <w:color w:val="auto"/>
          <w:sz w:val="24"/>
          <w:highlight w:val="none"/>
        </w:rPr>
        <w:t>按时完成注销变更的，应按照本合同第四条约定最后一期日租金</w:t>
      </w:r>
      <w:r>
        <w:rPr>
          <w:rFonts w:ascii="仿宋" w:hAnsi="仿宋" w:eastAsia="仿宋"/>
          <w:color w:val="auto"/>
          <w:sz w:val="24"/>
          <w:highlight w:val="none"/>
        </w:rPr>
        <w:t>1.</w:t>
      </w:r>
      <w:r>
        <w:rPr>
          <w:rFonts w:hint="eastAsia" w:ascii="仿宋" w:hAnsi="仿宋" w:eastAsia="仿宋"/>
          <w:color w:val="auto"/>
          <w:sz w:val="24"/>
          <w:highlight w:val="none"/>
        </w:rPr>
        <w:t>2倍标准向甲方支付房屋占有使用费，甲方有权从履约保证金中扣除，不足部分由乙方另行支付。同时，甲方有权采取</w:t>
      </w:r>
      <w:r>
        <w:rPr>
          <w:rFonts w:hint="eastAsia" w:ascii="仿宋" w:hAnsi="仿宋" w:eastAsia="仿宋"/>
          <w:b/>
          <w:color w:val="auto"/>
          <w:sz w:val="24"/>
          <w:highlight w:val="none"/>
        </w:rPr>
        <w:t>停电停水停气</w:t>
      </w:r>
      <w:r>
        <w:rPr>
          <w:rFonts w:hint="eastAsia" w:ascii="仿宋" w:hAnsi="仿宋" w:eastAsia="仿宋"/>
          <w:color w:val="auto"/>
          <w:sz w:val="24"/>
          <w:highlight w:val="none"/>
        </w:rPr>
        <w:t>等措施制约或督促乙方搬离并腾退房屋，因此造成（产生）双方或其他任何第三方经营损失和其他法律责任均由乙方自行承担。</w:t>
      </w:r>
    </w:p>
    <w:p w14:paraId="3AFFB355">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乙方逾期腾退或复原房屋达</w:t>
      </w:r>
      <w:r>
        <w:rPr>
          <w:rFonts w:hint="eastAsia" w:ascii="仿宋" w:hAnsi="仿宋" w:eastAsia="仿宋"/>
          <w:color w:val="auto"/>
          <w:sz w:val="24"/>
          <w:highlight w:val="none"/>
          <w:lang w:val="en-US" w:eastAsia="zh-CN"/>
        </w:rPr>
        <w:t>10</w:t>
      </w:r>
      <w:r>
        <w:rPr>
          <w:rFonts w:hint="eastAsia" w:ascii="仿宋" w:hAnsi="仿宋" w:eastAsia="仿宋"/>
          <w:color w:val="auto"/>
          <w:sz w:val="24"/>
          <w:highlight w:val="none"/>
        </w:rPr>
        <w:t>天以上的，则视同乙方放弃该房屋内遗留物品的包括所有权在内的一切权利，甲方有权以任意方式处置该房屋内的所有物品，处置方式包括但不限于变卖、丢弃、搬离等，处置所得归甲方所有。</w:t>
      </w:r>
    </w:p>
    <w:p w14:paraId="3B96E18E">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lang w:val="en-US" w:eastAsia="zh-CN"/>
        </w:rPr>
        <w:t>10</w:t>
      </w:r>
      <w:r>
        <w:rPr>
          <w:rFonts w:hint="eastAsia" w:ascii="仿宋" w:hAnsi="仿宋" w:eastAsia="仿宋"/>
          <w:b/>
          <w:bCs/>
          <w:color w:val="auto"/>
          <w:sz w:val="24"/>
          <w:highlight w:val="none"/>
        </w:rPr>
        <w:t xml:space="preserve">.3  </w:t>
      </w:r>
      <w:r>
        <w:rPr>
          <w:rFonts w:hint="eastAsia" w:ascii="仿宋" w:hAnsi="仿宋" w:eastAsia="仿宋"/>
          <w:color w:val="auto"/>
          <w:sz w:val="24"/>
          <w:highlight w:val="none"/>
        </w:rPr>
        <w:t>甲方为及时腾空房屋并处理屋内遗留物品，或为复原房屋而产生的人工费、清运费、仓储费等全部费用均应由乙方承担，甲方为乙方先行垫付上述款项的，有权在乙方剩余履约保证金中自行扣除（多退少补）。</w:t>
      </w:r>
    </w:p>
    <w:p w14:paraId="5E4296CD">
      <w:pPr>
        <w:spacing w:line="360" w:lineRule="auto"/>
        <w:ind w:firstLine="482" w:firstLineChars="200"/>
        <w:jc w:val="left"/>
        <w:rPr>
          <w:rFonts w:ascii="仿宋" w:hAnsi="仿宋" w:eastAsia="仿宋"/>
          <w:color w:val="auto"/>
          <w:sz w:val="24"/>
          <w:highlight w:val="none"/>
        </w:rPr>
      </w:pPr>
      <w:r>
        <w:rPr>
          <w:rFonts w:hint="eastAsia" w:ascii="仿宋" w:hAnsi="仿宋" w:eastAsia="仿宋"/>
          <w:b/>
          <w:color w:val="auto"/>
          <w:sz w:val="24"/>
          <w:highlight w:val="none"/>
          <w:lang w:val="en-US" w:eastAsia="zh-CN"/>
        </w:rPr>
        <w:t>10</w:t>
      </w:r>
      <w:r>
        <w:rPr>
          <w:rFonts w:hint="eastAsia" w:ascii="仿宋" w:hAnsi="仿宋" w:eastAsia="仿宋"/>
          <w:b/>
          <w:color w:val="auto"/>
          <w:sz w:val="24"/>
          <w:highlight w:val="none"/>
        </w:rPr>
        <w:t xml:space="preserve">.4 </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满或合同解除后，经甲方检查，若有房屋设施、设备未修复的，甲方有权自行维修，并向乙方收取维修费，若乙方拒不支付的，维修费用从履约保证金中扣除。若履约保证金不足以支付，则甲方有权要求乙方补足。</w:t>
      </w:r>
    </w:p>
    <w:p w14:paraId="5368612B">
      <w:pPr>
        <w:spacing w:line="360" w:lineRule="auto"/>
        <w:ind w:firstLine="482" w:firstLineChars="200"/>
        <w:jc w:val="left"/>
        <w:rPr>
          <w:rFonts w:ascii="仿宋" w:hAnsi="仿宋" w:eastAsia="仿宋"/>
          <w:b/>
          <w:color w:val="auto"/>
          <w:sz w:val="24"/>
          <w:highlight w:val="none"/>
        </w:rPr>
      </w:pPr>
      <w:r>
        <w:rPr>
          <w:rFonts w:hint="eastAsia" w:ascii="仿宋" w:hAnsi="仿宋" w:eastAsia="仿宋"/>
          <w:b/>
          <w:color w:val="auto"/>
          <w:sz w:val="24"/>
          <w:highlight w:val="none"/>
        </w:rPr>
        <w:t>第十</w:t>
      </w:r>
      <w:r>
        <w:rPr>
          <w:rFonts w:hint="eastAsia" w:ascii="仿宋" w:hAnsi="仿宋" w:eastAsia="仿宋"/>
          <w:b/>
          <w:color w:val="auto"/>
          <w:sz w:val="24"/>
          <w:highlight w:val="none"/>
          <w:lang w:val="en-US" w:eastAsia="zh-CN"/>
        </w:rPr>
        <w:t>一</w:t>
      </w:r>
      <w:r>
        <w:rPr>
          <w:rFonts w:hint="eastAsia" w:ascii="仿宋" w:hAnsi="仿宋" w:eastAsia="仿宋"/>
          <w:b/>
          <w:color w:val="auto"/>
          <w:sz w:val="24"/>
          <w:highlight w:val="none"/>
        </w:rPr>
        <w:t>条  合同的解除和终止</w:t>
      </w:r>
    </w:p>
    <w:p w14:paraId="6EAB0FAA">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1</w:t>
      </w:r>
      <w:r>
        <w:rPr>
          <w:rFonts w:hint="eastAsia" w:ascii="仿宋" w:hAnsi="仿宋" w:eastAsia="仿宋"/>
          <w:b/>
          <w:bCs/>
          <w:color w:val="auto"/>
          <w:sz w:val="24"/>
          <w:highlight w:val="none"/>
        </w:rPr>
        <w:t xml:space="preserve">.1 </w:t>
      </w:r>
      <w:r>
        <w:rPr>
          <w:rFonts w:hint="eastAsia" w:ascii="仿宋" w:hAnsi="仿宋" w:eastAsia="仿宋"/>
          <w:b w:val="0"/>
          <w:bCs w:val="0"/>
          <w:color w:val="auto"/>
          <w:sz w:val="24"/>
          <w:highlight w:val="none"/>
          <w:lang w:val="en-US" w:eastAsia="zh-CN"/>
        </w:rPr>
        <w:t>合同期</w:t>
      </w:r>
      <w:r>
        <w:rPr>
          <w:rFonts w:hint="eastAsia" w:ascii="仿宋" w:hAnsi="仿宋" w:eastAsia="仿宋"/>
          <w:color w:val="auto"/>
          <w:sz w:val="24"/>
          <w:highlight w:val="none"/>
        </w:rPr>
        <w:t>内如任一方需提前终止</w:t>
      </w:r>
      <w:r>
        <w:rPr>
          <w:rFonts w:ascii="仿宋" w:hAnsi="仿宋" w:eastAsia="仿宋"/>
          <w:color w:val="auto"/>
          <w:sz w:val="24"/>
          <w:highlight w:val="none"/>
        </w:rPr>
        <w:t>合同</w:t>
      </w:r>
      <w:r>
        <w:rPr>
          <w:rFonts w:hint="eastAsia" w:ascii="仿宋" w:hAnsi="仿宋" w:eastAsia="仿宋"/>
          <w:color w:val="auto"/>
          <w:sz w:val="24"/>
          <w:highlight w:val="none"/>
        </w:rPr>
        <w:t>，均应提前</w:t>
      </w: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rPr>
        <w:t>个月书面通知另一方</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经双方协商一致的，可以提前解除合同。如因乙方原因解除，甲方有权向乙方扣除50%履约保证金作为提前解约产生的房屋空置期损失。若乙方未提前</w:t>
      </w: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rPr>
        <w:t>个月通知的，视为单方申请解除合同，解除日前的</w:t>
      </w:r>
      <w:r>
        <w:rPr>
          <w:rFonts w:hint="eastAsia" w:ascii="仿宋" w:hAnsi="仿宋" w:eastAsia="仿宋"/>
          <w:color w:val="auto"/>
          <w:sz w:val="24"/>
          <w:highlight w:val="none"/>
          <w:lang w:val="en-US" w:eastAsia="zh-CN"/>
        </w:rPr>
        <w:t>费用</w:t>
      </w:r>
      <w:r>
        <w:rPr>
          <w:rFonts w:hint="eastAsia" w:ascii="仿宋" w:hAnsi="仿宋" w:eastAsia="仿宋"/>
          <w:color w:val="auto"/>
          <w:sz w:val="24"/>
          <w:highlight w:val="none"/>
        </w:rPr>
        <w:t>乙方应照付，此外，甲方还有权向乙方扣除100%履约保证金作为因提前解约产生的房屋空置期损失。</w:t>
      </w:r>
    </w:p>
    <w:p w14:paraId="4F590A7B">
      <w:pPr>
        <w:spacing w:line="360" w:lineRule="auto"/>
        <w:ind w:firstLine="482" w:firstLineChars="200"/>
        <w:jc w:val="left"/>
        <w:rPr>
          <w:rFonts w:hint="default" w:ascii="仿宋" w:hAnsi="仿宋" w:eastAsia="仿宋"/>
          <w:color w:val="auto"/>
          <w:sz w:val="24"/>
          <w:highlight w:val="none"/>
          <w:lang w:val="en-US" w:eastAsia="zh-CN"/>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1</w:t>
      </w:r>
      <w:r>
        <w:rPr>
          <w:rFonts w:hint="eastAsia" w:ascii="仿宋" w:hAnsi="仿宋" w:eastAsia="仿宋"/>
          <w:b/>
          <w:bCs/>
          <w:color w:val="auto"/>
          <w:sz w:val="24"/>
          <w:highlight w:val="none"/>
        </w:rPr>
        <w:t>.2</w:t>
      </w:r>
      <w:r>
        <w:rPr>
          <w:rFonts w:hint="eastAsia" w:ascii="仿宋" w:hAnsi="仿宋" w:eastAsia="仿宋"/>
          <w:color w:val="auto"/>
          <w:sz w:val="24"/>
          <w:highlight w:val="none"/>
        </w:rPr>
        <w:t xml:space="preserve"> 在</w:t>
      </w:r>
      <w:r>
        <w:rPr>
          <w:rFonts w:hint="eastAsia" w:ascii="仿宋" w:hAnsi="仿宋" w:eastAsia="仿宋"/>
          <w:color w:val="auto"/>
          <w:sz w:val="24"/>
          <w:highlight w:val="none"/>
          <w:lang w:val="en-US" w:eastAsia="zh-CN"/>
        </w:rPr>
        <w:t>合同</w:t>
      </w:r>
      <w:r>
        <w:rPr>
          <w:rFonts w:hint="eastAsia" w:ascii="仿宋" w:hAnsi="仿宋" w:eastAsia="仿宋"/>
          <w:color w:val="auto"/>
          <w:sz w:val="24"/>
          <w:highlight w:val="none"/>
        </w:rPr>
        <w:t>期内，因不可抗力、城市规划或市政建设需要征迁、搬迁、收购、拆迁、拆除、改造、征收征用房屋，致使本合同不能继续履行，本合同自然终止，因上述原因终止合同的，双方互不承担任何违约责任。</w:t>
      </w:r>
      <w:r>
        <w:rPr>
          <w:rFonts w:hint="eastAsia" w:ascii="仿宋" w:hAnsi="仿宋" w:eastAsia="仿宋"/>
          <w:color w:val="auto"/>
          <w:sz w:val="24"/>
          <w:highlight w:val="none"/>
          <w:lang w:val="en-US" w:eastAsia="zh-CN"/>
        </w:rPr>
        <w:t>如相关部门存在补贴等政策，则按照相关政策执行。</w:t>
      </w:r>
    </w:p>
    <w:p w14:paraId="0F6A00FB">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因上述原因提前终止合同的，合同终止时间自甲方发出书面通知（因房屋拆除、改造、征收征用等相关原因而提前终止合同的通知）之日起开始计算。合同终止后乙方应按合同第</w:t>
      </w:r>
      <w:r>
        <w:rPr>
          <w:rFonts w:hint="eastAsia" w:ascii="仿宋" w:hAnsi="仿宋" w:eastAsia="仿宋"/>
          <w:color w:val="auto"/>
          <w:sz w:val="24"/>
          <w:highlight w:val="none"/>
          <w:lang w:val="en-US" w:eastAsia="zh-CN"/>
        </w:rPr>
        <w:t>十</w:t>
      </w:r>
      <w:r>
        <w:rPr>
          <w:rFonts w:hint="eastAsia" w:ascii="仿宋" w:hAnsi="仿宋" w:eastAsia="仿宋"/>
          <w:color w:val="auto"/>
          <w:sz w:val="24"/>
          <w:highlight w:val="none"/>
        </w:rPr>
        <w:t>条的约定搬离并腾空房屋，并完成合同约定的其他交接手续。</w:t>
      </w:r>
    </w:p>
    <w:p w14:paraId="4D9EC625">
      <w:pPr>
        <w:spacing w:line="360" w:lineRule="auto"/>
        <w:ind w:firstLine="482" w:firstLineChars="200"/>
        <w:jc w:val="left"/>
        <w:rPr>
          <w:rFonts w:ascii="仿宋" w:hAnsi="仿宋" w:eastAsia="仿宋"/>
          <w:color w:val="auto"/>
          <w:sz w:val="24"/>
          <w:highlight w:val="none"/>
        </w:rPr>
      </w:pPr>
      <w:r>
        <w:rPr>
          <w:rFonts w:hint="eastAsia" w:ascii="仿宋" w:hAnsi="仿宋" w:eastAsia="仿宋"/>
          <w:b/>
          <w:bCs/>
          <w:color w:val="auto"/>
          <w:sz w:val="24"/>
          <w:highlight w:val="none"/>
        </w:rPr>
        <w:t>1</w:t>
      </w:r>
      <w:r>
        <w:rPr>
          <w:rFonts w:hint="eastAsia" w:ascii="仿宋" w:hAnsi="仿宋" w:eastAsia="仿宋"/>
          <w:b/>
          <w:bCs/>
          <w:color w:val="auto"/>
          <w:sz w:val="24"/>
          <w:highlight w:val="none"/>
          <w:lang w:val="en-US" w:eastAsia="zh-CN"/>
        </w:rPr>
        <w:t>1</w:t>
      </w:r>
      <w:r>
        <w:rPr>
          <w:rFonts w:hint="eastAsia" w:ascii="仿宋" w:hAnsi="仿宋" w:eastAsia="仿宋"/>
          <w:b/>
          <w:bCs/>
          <w:color w:val="auto"/>
          <w:sz w:val="24"/>
          <w:highlight w:val="none"/>
        </w:rPr>
        <w:t>.3</w:t>
      </w:r>
      <w:r>
        <w:rPr>
          <w:rFonts w:hint="eastAsia" w:ascii="仿宋" w:hAnsi="仿宋" w:eastAsia="仿宋"/>
          <w:color w:val="auto"/>
          <w:sz w:val="24"/>
          <w:highlight w:val="none"/>
        </w:rPr>
        <w:t xml:space="preserve"> </w:t>
      </w:r>
      <w:bookmarkStart w:id="1" w:name="OLE_LINK2"/>
      <w:r>
        <w:rPr>
          <w:rFonts w:hint="eastAsia" w:ascii="仿宋" w:hAnsi="仿宋" w:eastAsia="仿宋"/>
          <w:b/>
          <w:bCs/>
          <w:color w:val="auto"/>
          <w:sz w:val="24"/>
          <w:highlight w:val="none"/>
          <w:u w:val="single"/>
        </w:rPr>
        <w:t>乙方在签订本</w:t>
      </w:r>
      <w:r>
        <w:rPr>
          <w:rFonts w:ascii="仿宋" w:hAnsi="仿宋" w:eastAsia="仿宋"/>
          <w:b/>
          <w:bCs/>
          <w:color w:val="auto"/>
          <w:sz w:val="24"/>
          <w:highlight w:val="none"/>
          <w:u w:val="single"/>
        </w:rPr>
        <w:t>合同</w:t>
      </w:r>
      <w:r>
        <w:rPr>
          <w:rFonts w:hint="eastAsia" w:ascii="仿宋" w:hAnsi="仿宋" w:eastAsia="仿宋"/>
          <w:b/>
          <w:bCs/>
          <w:color w:val="auto"/>
          <w:sz w:val="24"/>
          <w:highlight w:val="none"/>
          <w:u w:val="single"/>
        </w:rPr>
        <w:t>时已充分知悉：一旦乙方有下列情形之一的，即视为乙方违约程度严重，构成根本性违约，乙方下列任一行为均将影响甲方实现合同目的，那么则甲方有权单方解除合同</w:t>
      </w:r>
      <w:bookmarkEnd w:id="1"/>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停水停电，</w:t>
      </w:r>
      <w:r>
        <w:rPr>
          <w:rFonts w:hint="eastAsia" w:ascii="仿宋" w:hAnsi="仿宋" w:eastAsia="仿宋"/>
          <w:color w:val="auto"/>
          <w:sz w:val="24"/>
          <w:highlight w:val="none"/>
        </w:rPr>
        <w:t>收回房屋，同时甲方有权没收全部履约保证金。并由乙方承担由此引起的甲方以及任何第三方损失、有关责任和经济补偿，包括但不限于甲方为实现债权而支付的律师费、保全费、诉讼费、公证费、鉴定费等</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各类违约费</w:t>
      </w:r>
      <w:r>
        <w:rPr>
          <w:rFonts w:hint="eastAsia" w:ascii="仿宋" w:hAnsi="仿宋" w:eastAsia="仿宋"/>
          <w:color w:val="000000" w:themeColor="text1"/>
          <w:sz w:val="24"/>
          <w:highlight w:val="none"/>
          <w:lang w:val="en-US" w:eastAsia="zh-CN"/>
          <w14:textFill>
            <w14:solidFill>
              <w14:schemeClr w14:val="tx1"/>
            </w14:solidFill>
          </w14:textFill>
        </w:rPr>
        <w:t>用、补缴责任</w:t>
      </w:r>
      <w:r>
        <w:rPr>
          <w:rFonts w:hint="eastAsia" w:ascii="仿宋" w:hAnsi="仿宋" w:eastAsia="仿宋"/>
          <w:color w:val="auto"/>
          <w:sz w:val="24"/>
          <w:highlight w:val="none"/>
          <w:lang w:val="en-US" w:eastAsia="zh-CN"/>
        </w:rPr>
        <w:t>及经济补偿以乙方缴纳的履约保证金、保底租金及其他相关预缴费用扣完为止</w:t>
      </w:r>
      <w:r>
        <w:rPr>
          <w:rFonts w:hint="eastAsia" w:ascii="仿宋" w:hAnsi="仿宋" w:eastAsia="仿宋"/>
          <w:color w:val="auto"/>
          <w:sz w:val="24"/>
          <w:highlight w:val="none"/>
          <w:u w:val="single"/>
        </w:rPr>
        <w:t>。甲乙双方均同意乙方发生的下列情形均不适用《全国法院民商事审判工作会议纪要》（法〔2019〕254号）第4</w:t>
      </w:r>
      <w:r>
        <w:rPr>
          <w:rFonts w:ascii="仿宋" w:hAnsi="仿宋" w:eastAsia="仿宋"/>
          <w:color w:val="auto"/>
          <w:sz w:val="24"/>
          <w:highlight w:val="none"/>
          <w:u w:val="single"/>
        </w:rPr>
        <w:t>7</w:t>
      </w:r>
      <w:r>
        <w:rPr>
          <w:rFonts w:hint="eastAsia" w:ascii="仿宋" w:hAnsi="仿宋" w:eastAsia="仿宋"/>
          <w:color w:val="auto"/>
          <w:sz w:val="24"/>
          <w:highlight w:val="none"/>
          <w:u w:val="single"/>
        </w:rPr>
        <w:t>条关于“约定解除条件”例外情形之规定</w:t>
      </w:r>
      <w:r>
        <w:rPr>
          <w:rFonts w:hint="eastAsia" w:ascii="仿宋" w:hAnsi="仿宋" w:eastAsia="仿宋"/>
          <w:color w:val="auto"/>
          <w:sz w:val="24"/>
          <w:highlight w:val="none"/>
        </w:rPr>
        <w:t xml:space="preserve">： </w:t>
      </w:r>
    </w:p>
    <w:p w14:paraId="6B44666E">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（1）乙方逾期交纳履约保证金、</w:t>
      </w:r>
      <w:r>
        <w:rPr>
          <w:rFonts w:hint="eastAsia" w:ascii="仿宋" w:hAnsi="仿宋" w:eastAsia="仿宋"/>
          <w:color w:val="auto"/>
          <w:sz w:val="24"/>
          <w:highlight w:val="none"/>
          <w:lang w:val="en-US" w:eastAsia="zh-CN"/>
        </w:rPr>
        <w:t>保底租金、</w:t>
      </w:r>
      <w:r>
        <w:rPr>
          <w:rFonts w:hint="eastAsia" w:ascii="仿宋" w:hAnsi="仿宋" w:eastAsia="仿宋"/>
          <w:color w:val="auto"/>
          <w:sz w:val="24"/>
          <w:highlight w:val="none"/>
        </w:rPr>
        <w:t>水、电费等其他费用</w:t>
      </w:r>
      <w:r>
        <w:rPr>
          <w:rFonts w:hint="eastAsia" w:ascii="仿宋" w:hAnsi="仿宋" w:eastAsia="仿宋"/>
          <w:color w:val="auto"/>
          <w:sz w:val="24"/>
          <w:highlight w:val="none"/>
          <w:lang w:val="en-US" w:eastAsia="zh-CN"/>
        </w:rPr>
        <w:t>中任何一项</w:t>
      </w:r>
      <w:r>
        <w:rPr>
          <w:rFonts w:hint="eastAsia" w:ascii="仿宋" w:hAnsi="仿宋" w:eastAsia="仿宋"/>
          <w:color w:val="auto"/>
          <w:sz w:val="24"/>
          <w:highlight w:val="none"/>
        </w:rPr>
        <w:t>达45天以上；</w:t>
      </w:r>
    </w:p>
    <w:p w14:paraId="22E67481">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因乙方原因造成房屋或设备等损坏，</w:t>
      </w:r>
      <w:r>
        <w:rPr>
          <w:rFonts w:hint="eastAsia" w:ascii="仿宋" w:hAnsi="仿宋" w:eastAsia="仿宋"/>
          <w:color w:val="auto"/>
          <w:sz w:val="24"/>
          <w:highlight w:val="none"/>
        </w:rPr>
        <w:t>乙方不承担修缮责任的，经一次书面通知后在</w:t>
      </w:r>
      <w:r>
        <w:rPr>
          <w:rFonts w:hint="default" w:ascii="仿宋" w:hAnsi="仿宋" w:eastAsia="仿宋"/>
          <w:color w:val="auto"/>
          <w:sz w:val="24"/>
          <w:highlight w:val="none"/>
          <w:lang w:val="en-US"/>
        </w:rPr>
        <w:t>三日</w:t>
      </w:r>
      <w:r>
        <w:rPr>
          <w:rFonts w:hint="eastAsia" w:ascii="仿宋" w:hAnsi="仿宋" w:eastAsia="仿宋"/>
          <w:color w:val="auto"/>
          <w:sz w:val="24"/>
          <w:highlight w:val="none"/>
        </w:rPr>
        <w:t>内拒不改正</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影响甲方或其他第三方正常经营管理</w:t>
      </w:r>
      <w:r>
        <w:rPr>
          <w:rFonts w:hint="eastAsia" w:ascii="仿宋" w:hAnsi="仿宋" w:eastAsia="仿宋"/>
          <w:color w:val="auto"/>
          <w:sz w:val="24"/>
          <w:highlight w:val="none"/>
        </w:rPr>
        <w:t>的；</w:t>
      </w:r>
    </w:p>
    <w:p w14:paraId="56A1C396">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（3）乙方违反甲方制定的规章制度，不服从甲方管理，扰乱甲方正常运营秩序的，经一次书面通知后在三日内拒不改正的；</w:t>
      </w:r>
    </w:p>
    <w:p w14:paraId="5FBC636E">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（4）乙方利用房屋</w:t>
      </w:r>
      <w:r>
        <w:rPr>
          <w:rFonts w:ascii="仿宋" w:hAnsi="仿宋" w:eastAsia="仿宋"/>
          <w:color w:val="auto"/>
          <w:sz w:val="24"/>
          <w:highlight w:val="none"/>
        </w:rPr>
        <w:t>存放</w:t>
      </w:r>
      <w:r>
        <w:rPr>
          <w:rFonts w:hint="eastAsia" w:ascii="仿宋" w:hAnsi="仿宋" w:eastAsia="仿宋"/>
          <w:color w:val="auto"/>
          <w:sz w:val="24"/>
          <w:highlight w:val="none"/>
        </w:rPr>
        <w:t>、使用</w:t>
      </w:r>
      <w:r>
        <w:rPr>
          <w:rFonts w:ascii="仿宋" w:hAnsi="仿宋" w:eastAsia="仿宋"/>
          <w:color w:val="auto"/>
          <w:sz w:val="24"/>
          <w:highlight w:val="none"/>
        </w:rPr>
        <w:t>危险物品</w:t>
      </w:r>
      <w:r>
        <w:rPr>
          <w:rFonts w:hint="eastAsia" w:ascii="仿宋" w:hAnsi="仿宋" w:eastAsia="仿宋"/>
          <w:color w:val="auto"/>
          <w:sz w:val="24"/>
          <w:highlight w:val="none"/>
        </w:rPr>
        <w:t>（包括煤气瓶等）或进行违法犯罪活动的；</w:t>
      </w:r>
    </w:p>
    <w:p w14:paraId="2E5DD513">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（5）乙方擅自改变房屋结构或违约（违规）装修的；</w:t>
      </w:r>
    </w:p>
    <w:p w14:paraId="46BEE63E">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rPr>
        <w:t>（6）乙方擅自</w:t>
      </w:r>
      <w:r>
        <w:rPr>
          <w:rFonts w:ascii="仿宋" w:hAnsi="仿宋" w:eastAsia="仿宋"/>
          <w:color w:val="auto"/>
          <w:sz w:val="24"/>
          <w:highlight w:val="none"/>
        </w:rPr>
        <w:t>转租、转借承租房屋</w:t>
      </w:r>
      <w:r>
        <w:rPr>
          <w:rFonts w:hint="eastAsia" w:ascii="仿宋" w:hAnsi="仿宋" w:eastAsia="仿宋"/>
          <w:color w:val="auto"/>
          <w:sz w:val="24"/>
          <w:highlight w:val="none"/>
        </w:rPr>
        <w:t>；</w:t>
      </w:r>
    </w:p>
    <w:p w14:paraId="4427CBB8">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（7）乙方存在“三合一”现象的</w:t>
      </w:r>
      <w:r>
        <w:rPr>
          <w:rFonts w:hint="eastAsia" w:ascii="仿宋" w:hAnsi="仿宋" w:eastAsia="仿宋" w:cs="Times New Roman"/>
          <w:color w:val="auto"/>
          <w:sz w:val="24"/>
          <w:highlight w:val="none"/>
          <w:lang w:eastAsia="zh-CN"/>
        </w:rPr>
        <w:t>（将住宿与生产、储存、经营中的一种或一种以上的使用功能违章设置在同一空间内）</w:t>
      </w:r>
      <w:r>
        <w:rPr>
          <w:rFonts w:hint="eastAsia" w:ascii="仿宋" w:hAnsi="仿宋" w:eastAsia="仿宋"/>
          <w:color w:val="auto"/>
          <w:sz w:val="24"/>
          <w:highlight w:val="none"/>
        </w:rPr>
        <w:t>；</w:t>
      </w:r>
    </w:p>
    <w:p w14:paraId="6288C450">
      <w:p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（8）乙方超容量负荷用水、用电，经甲方提出后，不整改和增容的。</w:t>
      </w:r>
    </w:p>
    <w:p w14:paraId="76A5F2DA">
      <w:pPr>
        <w:numPr>
          <w:ilvl w:val="0"/>
          <w:numId w:val="0"/>
        </w:numPr>
        <w:spacing w:line="360" w:lineRule="auto"/>
        <w:ind w:firstLine="480" w:firstLineChars="200"/>
        <w:jc w:val="left"/>
        <w:rPr>
          <w:rFonts w:hint="eastAsia" w:ascii="仿宋" w:hAnsi="仿宋" w:eastAsia="仿宋"/>
          <w:color w:val="auto"/>
          <w:sz w:val="24"/>
          <w:highlight w:val="none"/>
        </w:rPr>
      </w:pP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9</w:t>
      </w:r>
      <w:r>
        <w:rPr>
          <w:rFonts w:hint="eastAsia" w:ascii="仿宋" w:hAnsi="仿宋" w:eastAsia="仿宋"/>
          <w:color w:val="auto"/>
          <w:sz w:val="24"/>
          <w:highlight w:val="none"/>
        </w:rPr>
        <w:t>）乙方违反本合同项下的其他义务，包括但不限于物业登记、装修、增设、更新、设置广告标识、安全责任、经营行为、经营范围、协助等合同义务，经甲方一次书面通知后在三日内拒不改正的。</w:t>
      </w:r>
    </w:p>
    <w:p w14:paraId="4490AE7E">
      <w:pPr>
        <w:numPr>
          <w:ilvl w:val="0"/>
          <w:numId w:val="0"/>
        </w:numPr>
        <w:spacing w:line="360" w:lineRule="auto"/>
        <w:ind w:firstLine="530" w:firstLineChars="0"/>
        <w:jc w:val="left"/>
        <w:rPr>
          <w:rFonts w:hint="eastAsia" w:ascii="仿宋" w:hAnsi="仿宋" w:eastAsia="仿宋"/>
          <w:color w:val="auto"/>
          <w:sz w:val="24"/>
          <w:highlight w:val="none"/>
          <w:lang w:val="en-US" w:eastAsia="zh-CN"/>
        </w:rPr>
      </w:pPr>
      <w:r>
        <w:rPr>
          <w:rFonts w:hint="eastAsia" w:ascii="仿宋" w:hAnsi="仿宋" w:eastAsia="仿宋"/>
          <w:color w:val="auto"/>
          <w:kern w:val="2"/>
          <w:sz w:val="24"/>
          <w:szCs w:val="24"/>
          <w:highlight w:val="none"/>
          <w:lang w:val="en-US" w:eastAsia="zh-CN" w:bidi="ar-SA"/>
        </w:rPr>
        <w:t>（10）未经甲方同意，</w:t>
      </w:r>
      <w:r>
        <w:rPr>
          <w:rFonts w:hint="eastAsia" w:ascii="仿宋" w:hAnsi="仿宋" w:eastAsia="仿宋"/>
          <w:color w:val="auto"/>
          <w:sz w:val="24"/>
          <w:highlight w:val="none"/>
          <w:lang w:val="en-US" w:eastAsia="zh-CN"/>
        </w:rPr>
        <w:t>乙方未按照甲方规定时间营业，累计达10日的。（用途为办公的不受本条限制）</w:t>
      </w:r>
    </w:p>
    <w:p w14:paraId="5C51EEF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bidi w:val="0"/>
        <w:spacing w:before="0" w:beforeAutospacing="0" w:after="0" w:afterAutospacing="0" w:line="360" w:lineRule="auto"/>
        <w:ind w:left="0" w:right="0"/>
        <w:jc w:val="both"/>
        <w:rPr>
          <w:rFonts w:hint="eastAsia"/>
          <w:highlight w:val="none"/>
        </w:rPr>
      </w:pPr>
      <w:r>
        <w:rPr>
          <w:rFonts w:hint="eastAsia" w:ascii="仿宋" w:hAnsi="仿宋" w:eastAsia="仿宋"/>
          <w:color w:val="auto"/>
          <w:sz w:val="24"/>
          <w:highlight w:val="none"/>
          <w:lang w:val="en-US" w:eastAsia="zh-CN"/>
        </w:rPr>
        <w:t xml:space="preserve">    （11）</w:t>
      </w:r>
      <w:r>
        <w:rPr>
          <w:rFonts w:hint="eastAsia" w:ascii="仿宋" w:hAnsi="仿宋" w:eastAsia="仿宋" w:cs="仿宋"/>
          <w:sz w:val="24"/>
          <w:szCs w:val="24"/>
          <w:highlight w:val="none"/>
          <w:lang w:val="en-US" w:eastAsia="zh-CN"/>
        </w:rPr>
        <w:t>乙方未经甲方书面同意，擅自改变房屋用途或经营用途，发生与本合同</w:t>
      </w:r>
      <w:r>
        <w:rPr>
          <w:rFonts w:hint="eastAsia" w:ascii="仿宋" w:hAnsi="仿宋" w:eastAsia="仿宋" w:cs="仿宋"/>
          <w:color w:val="000000"/>
          <w:kern w:val="0"/>
          <w:sz w:val="24"/>
          <w:szCs w:val="24"/>
          <w:highlight w:val="none"/>
          <w:shd w:val="clear" w:color="auto" w:fill="FFFFFF"/>
          <w:lang w:val="en-US" w:eastAsia="zh-CN" w:bidi="ar"/>
        </w:rPr>
        <w:t>第2.1条约定不一致情况，甲方有权向乙方发出《整改通知书》，乙方在收到《整改通知书》之日起30日内拒不整改或整改后仍不符合约定。</w:t>
      </w:r>
    </w:p>
    <w:p w14:paraId="68A26B15">
      <w:pPr>
        <w:spacing w:line="360" w:lineRule="auto"/>
        <w:ind w:firstLine="482" w:firstLineChars="200"/>
        <w:jc w:val="left"/>
        <w:rPr>
          <w:rFonts w:hint="default" w:ascii="仿宋" w:hAnsi="仿宋" w:eastAsia="仿宋"/>
          <w:b/>
          <w:bCs/>
          <w:color w:val="auto"/>
          <w:sz w:val="24"/>
          <w:highlight w:val="none"/>
          <w:lang w:val="en-US" w:eastAsia="zh-CN"/>
        </w:rPr>
      </w:pPr>
      <w:r>
        <w:rPr>
          <w:rFonts w:hint="eastAsia" w:ascii="仿宋" w:hAnsi="仿宋" w:eastAsia="仿宋"/>
          <w:b/>
          <w:bCs/>
          <w:color w:val="auto"/>
          <w:sz w:val="24"/>
          <w:highlight w:val="none"/>
          <w:lang w:val="en-US" w:eastAsia="zh-CN"/>
        </w:rPr>
        <w:t>11.4 如乙方迟延交纳履约保证金、首期保底租金费用，则本合同尚未生效，迟延超过3个工作日，甲方有权不再为乙方保留该房屋且不视为违约</w:t>
      </w:r>
      <w:r>
        <w:rPr>
          <w:rFonts w:hint="eastAsia" w:ascii="仿宋" w:hAnsi="仿宋" w:eastAsia="仿宋" w:cs="仿宋"/>
          <w:color w:val="auto"/>
          <w:kern w:val="0"/>
          <w:sz w:val="24"/>
          <w:szCs w:val="24"/>
          <w:highlight w:val="none"/>
          <w:lang w:val="en-US" w:eastAsia="zh-CN" w:bidi="ar"/>
        </w:rPr>
        <w:t>。</w:t>
      </w:r>
      <w:r>
        <w:rPr>
          <w:rFonts w:hint="eastAsia" w:ascii="仿宋" w:hAnsi="仿宋" w:eastAsia="仿宋"/>
          <w:b/>
          <w:bCs/>
          <w:color w:val="auto"/>
          <w:sz w:val="24"/>
          <w:highlight w:val="none"/>
          <w:lang w:val="en-US" w:eastAsia="zh-CN"/>
        </w:rPr>
        <w:t>乙方亦无权向甲方主张任何责任（包括缔约过失责任）。</w:t>
      </w:r>
    </w:p>
    <w:p w14:paraId="2ADA39E3">
      <w:pPr>
        <w:spacing w:line="360" w:lineRule="auto"/>
        <w:ind w:firstLine="482" w:firstLineChars="200"/>
        <w:jc w:val="left"/>
        <w:rPr>
          <w:rFonts w:ascii="仿宋" w:hAnsi="仿宋" w:eastAsia="仿宋"/>
          <w:color w:val="auto"/>
          <w:sz w:val="24"/>
          <w:highlight w:val="none"/>
        </w:rPr>
      </w:pPr>
      <w:r>
        <w:rPr>
          <w:rFonts w:hint="eastAsia" w:ascii="仿宋" w:hAnsi="仿宋" w:eastAsia="仿宋"/>
          <w:b/>
          <w:bCs/>
          <w:color w:val="auto"/>
          <w:sz w:val="24"/>
          <w:highlight w:val="none"/>
        </w:rPr>
        <w:t>第十</w:t>
      </w:r>
      <w:r>
        <w:rPr>
          <w:rFonts w:hint="eastAsia" w:ascii="仿宋" w:hAnsi="仿宋" w:eastAsia="仿宋"/>
          <w:b/>
          <w:bCs/>
          <w:color w:val="auto"/>
          <w:sz w:val="24"/>
          <w:highlight w:val="none"/>
          <w:lang w:val="en-US" w:eastAsia="zh-CN"/>
        </w:rPr>
        <w:t>二</w:t>
      </w:r>
      <w:r>
        <w:rPr>
          <w:rFonts w:hint="eastAsia" w:ascii="仿宋" w:hAnsi="仿宋" w:eastAsia="仿宋"/>
          <w:b/>
          <w:bCs/>
          <w:color w:val="auto"/>
          <w:sz w:val="24"/>
          <w:highlight w:val="none"/>
        </w:rPr>
        <w:t>条  送达</w:t>
      </w:r>
    </w:p>
    <w:p w14:paraId="2EF23D86">
      <w:pPr>
        <w:spacing w:line="360" w:lineRule="auto"/>
        <w:ind w:firstLine="480" w:firstLineChars="200"/>
        <w:jc w:val="left"/>
        <w:rPr>
          <w:rFonts w:hint="eastAsia" w:ascii="仿宋" w:hAnsi="仿宋" w:eastAsia="仿宋"/>
          <w:bCs/>
          <w:color w:val="auto"/>
          <w:sz w:val="24"/>
          <w:highlight w:val="none"/>
        </w:rPr>
      </w:pPr>
      <w:r>
        <w:rPr>
          <w:rFonts w:hint="eastAsia" w:ascii="仿宋" w:hAnsi="仿宋" w:eastAsia="仿宋"/>
          <w:bCs/>
          <w:color w:val="auto"/>
          <w:sz w:val="24"/>
          <w:highlight w:val="none"/>
        </w:rPr>
        <w:t>乙方明确以下地址为乙方的送达地址</w:t>
      </w:r>
      <w:r>
        <w:rPr>
          <w:rFonts w:hint="eastAsia" w:ascii="仿宋" w:hAnsi="仿宋" w:eastAsia="仿宋"/>
          <w:bCs/>
          <w:color w:val="auto"/>
          <w:sz w:val="24"/>
          <w:highlight w:val="none"/>
          <w:lang w:eastAsia="zh-CN"/>
        </w:rPr>
        <w:t>：</w:t>
      </w:r>
      <w:r>
        <w:rPr>
          <w:rFonts w:hint="eastAsia" w:ascii="仿宋" w:hAnsi="仿宋" w:eastAsia="仿宋"/>
          <w:bCs/>
          <w:color w:val="auto"/>
          <w:sz w:val="24"/>
          <w:highlight w:val="none"/>
          <w:lang w:val="en-US" w:eastAsia="zh-CN"/>
        </w:rPr>
        <w:t>收件人：</w:t>
      </w:r>
      <w:r>
        <w:rPr>
          <w:rFonts w:hint="eastAsia" w:ascii="仿宋" w:hAnsi="仿宋" w:eastAsia="仿宋"/>
          <w:bCs/>
          <w:color w:val="auto"/>
          <w:sz w:val="24"/>
          <w:highlight w:val="none"/>
          <w:u w:val="single"/>
          <w:lang w:val="en-US" w:eastAsia="zh-CN"/>
        </w:rPr>
        <w:t xml:space="preserve">   </w:t>
      </w:r>
      <w:r>
        <w:rPr>
          <w:rFonts w:hint="eastAsia" w:ascii="仿宋" w:hAnsi="仿宋" w:eastAsia="仿宋"/>
          <w:b w:val="0"/>
          <w:bCs/>
          <w:color w:val="auto"/>
          <w:sz w:val="24"/>
          <w:highlight w:val="none"/>
          <w:u w:val="single"/>
          <w:lang w:val="en-US" w:eastAsia="zh-CN"/>
        </w:rPr>
        <w:t xml:space="preserve"> </w:t>
      </w:r>
      <w:r>
        <w:rPr>
          <w:rFonts w:hint="eastAsia" w:ascii="仿宋" w:hAnsi="仿宋" w:eastAsia="仿宋"/>
          <w:b w:val="0"/>
          <w:bCs/>
          <w:color w:val="auto"/>
          <w:sz w:val="24"/>
          <w:highlight w:val="none"/>
          <w:lang w:val="en-US" w:eastAsia="zh-CN"/>
        </w:rPr>
        <w:t>，地址：</w:t>
      </w:r>
      <w:r>
        <w:rPr>
          <w:rFonts w:hint="eastAsia" w:ascii="仿宋" w:hAnsi="仿宋" w:eastAsia="仿宋"/>
          <w:b w:val="0"/>
          <w:bCs/>
          <w:color w:val="auto"/>
          <w:sz w:val="24"/>
          <w:highlight w:val="none"/>
          <w:u w:val="single"/>
          <w:lang w:val="en-US" w:eastAsia="zh-CN"/>
        </w:rPr>
        <w:t xml:space="preserve">  </w:t>
      </w:r>
      <w:r>
        <w:rPr>
          <w:rFonts w:hint="eastAsia" w:ascii="仿宋" w:hAnsi="仿宋" w:eastAsia="仿宋"/>
          <w:b w:val="0"/>
          <w:bCs/>
          <w:color w:val="auto"/>
          <w:sz w:val="24"/>
          <w:highlight w:val="none"/>
          <w:lang w:val="en-US" w:eastAsia="zh-CN"/>
        </w:rPr>
        <w:t>，电话：</w:t>
      </w:r>
      <w:r>
        <w:rPr>
          <w:rFonts w:hint="eastAsia" w:ascii="仿宋" w:hAnsi="仿宋" w:eastAsia="仿宋"/>
          <w:b w:val="0"/>
          <w:bCs/>
          <w:color w:val="auto"/>
          <w:sz w:val="24"/>
          <w:highlight w:val="none"/>
          <w:u w:val="single"/>
          <w:lang w:val="en-US" w:eastAsia="zh-CN"/>
        </w:rPr>
        <w:t xml:space="preserve">  </w:t>
      </w:r>
      <w:r>
        <w:rPr>
          <w:rFonts w:hint="eastAsia" w:ascii="仿宋" w:hAnsi="仿宋" w:eastAsia="仿宋"/>
          <w:b w:val="0"/>
          <w:bCs/>
          <w:color w:val="auto"/>
          <w:sz w:val="24"/>
          <w:highlight w:val="none"/>
          <w:lang w:val="en-US" w:eastAsia="zh-CN"/>
        </w:rPr>
        <w:t>，电子邮箱：</w:t>
      </w:r>
      <w:r>
        <w:rPr>
          <w:rFonts w:hint="eastAsia" w:ascii="仿宋" w:hAnsi="仿宋" w:eastAsia="仿宋"/>
          <w:b w:val="0"/>
          <w:bCs/>
          <w:color w:val="auto"/>
          <w:sz w:val="24"/>
          <w:highlight w:val="none"/>
          <w:u w:val="single"/>
          <w:lang w:val="en-US" w:eastAsia="zh-CN"/>
        </w:rPr>
        <w:t xml:space="preserve">   </w:t>
      </w:r>
    </w:p>
    <w:p w14:paraId="3601EDD3">
      <w:pPr>
        <w:spacing w:line="360" w:lineRule="auto"/>
        <w:ind w:firstLine="480" w:firstLineChars="200"/>
        <w:jc w:val="left"/>
        <w:rPr>
          <w:rFonts w:ascii="仿宋" w:hAnsi="仿宋" w:eastAsia="仿宋"/>
          <w:bCs/>
          <w:color w:val="auto"/>
          <w:sz w:val="24"/>
          <w:highlight w:val="none"/>
        </w:rPr>
      </w:pPr>
      <w:r>
        <w:rPr>
          <w:rFonts w:hint="eastAsia" w:ascii="仿宋" w:hAnsi="仿宋" w:eastAsia="仿宋"/>
          <w:bCs/>
          <w:color w:val="auto"/>
          <w:sz w:val="24"/>
          <w:highlight w:val="none"/>
        </w:rPr>
        <w:t>甲方向乙方寄送文书的，若乙方在</w:t>
      </w:r>
      <w:r>
        <w:rPr>
          <w:rFonts w:hint="eastAsia" w:ascii="仿宋" w:hAnsi="仿宋" w:eastAsia="仿宋" w:cs="Times New Roman"/>
          <w:bCs w:val="0"/>
          <w:color w:val="auto"/>
          <w:sz w:val="24"/>
          <w:highlight w:val="none"/>
        </w:rPr>
        <w:t>三日</w:t>
      </w:r>
      <w:r>
        <w:rPr>
          <w:rFonts w:hint="eastAsia" w:ascii="仿宋" w:hAnsi="仿宋" w:eastAsia="仿宋"/>
          <w:bCs/>
          <w:color w:val="auto"/>
          <w:sz w:val="24"/>
          <w:highlight w:val="none"/>
        </w:rPr>
        <w:t>内签收，则以签收日期作为送达日；若三日不签收，则以第三日作为送达日。甲方依法主张解除合同的，合同自通知到达乙方时解除；通知载明乙方在一定期限内不履行债务则合同自动解除，乙方在该期限内未履行债务的，合同自通知载明的期限届满时解除。</w:t>
      </w:r>
    </w:p>
    <w:p w14:paraId="060B78DE">
      <w:pPr>
        <w:spacing w:line="360" w:lineRule="auto"/>
        <w:ind w:firstLine="480" w:firstLineChars="200"/>
        <w:jc w:val="left"/>
        <w:rPr>
          <w:rFonts w:ascii="仿宋" w:hAnsi="仿宋" w:eastAsia="仿宋"/>
          <w:bCs/>
          <w:color w:val="auto"/>
          <w:sz w:val="24"/>
          <w:highlight w:val="none"/>
          <w:u w:val="single"/>
        </w:rPr>
      </w:pPr>
      <w:r>
        <w:rPr>
          <w:rFonts w:hint="eastAsia" w:ascii="仿宋" w:hAnsi="仿宋" w:eastAsia="仿宋"/>
          <w:bCs/>
          <w:color w:val="auto"/>
          <w:sz w:val="24"/>
          <w:highlight w:val="none"/>
        </w:rPr>
        <w:t>若</w:t>
      </w:r>
      <w:r>
        <w:rPr>
          <w:rFonts w:hint="eastAsia" w:ascii="仿宋" w:hAnsi="仿宋" w:eastAsia="仿宋"/>
          <w:bCs/>
          <w:color w:val="auto"/>
          <w:sz w:val="24"/>
          <w:highlight w:val="none"/>
          <w:lang w:val="en-US" w:eastAsia="zh-CN"/>
        </w:rPr>
        <w:t>上述</w:t>
      </w:r>
      <w:r>
        <w:rPr>
          <w:rFonts w:hint="eastAsia" w:ascii="仿宋" w:hAnsi="仿宋" w:eastAsia="仿宋"/>
          <w:bCs/>
          <w:color w:val="auto"/>
          <w:sz w:val="24"/>
          <w:highlight w:val="none"/>
        </w:rPr>
        <w:t>送达信息有变更</w:t>
      </w:r>
      <w:r>
        <w:rPr>
          <w:rFonts w:hint="eastAsia" w:ascii="仿宋" w:hAnsi="仿宋" w:eastAsia="仿宋"/>
          <w:bCs/>
          <w:color w:val="auto"/>
          <w:sz w:val="24"/>
          <w:highlight w:val="none"/>
          <w:lang w:eastAsia="zh-CN"/>
        </w:rPr>
        <w:t>，</w:t>
      </w:r>
      <w:r>
        <w:rPr>
          <w:rFonts w:hint="eastAsia" w:ascii="仿宋" w:hAnsi="仿宋" w:eastAsia="仿宋"/>
          <w:bCs/>
          <w:color w:val="auto"/>
          <w:sz w:val="24"/>
          <w:highlight w:val="none"/>
          <w:lang w:val="en-US" w:eastAsia="zh-CN"/>
        </w:rPr>
        <w:t>乙方应</w:t>
      </w:r>
      <w:r>
        <w:rPr>
          <w:rFonts w:hint="eastAsia" w:ascii="仿宋" w:hAnsi="仿宋" w:eastAsia="仿宋"/>
          <w:bCs/>
          <w:color w:val="auto"/>
          <w:sz w:val="24"/>
          <w:highlight w:val="none"/>
        </w:rPr>
        <w:t>在更改后七日内书面通知甲方</w:t>
      </w:r>
      <w:r>
        <w:rPr>
          <w:rFonts w:hint="eastAsia" w:ascii="仿宋" w:hAnsi="仿宋" w:eastAsia="仿宋"/>
          <w:bCs/>
          <w:color w:val="auto"/>
          <w:sz w:val="24"/>
          <w:highlight w:val="none"/>
          <w:lang w:eastAsia="zh-CN"/>
        </w:rPr>
        <w:t>；</w:t>
      </w:r>
      <w:r>
        <w:rPr>
          <w:rFonts w:hint="eastAsia" w:ascii="仿宋" w:hAnsi="仿宋" w:eastAsia="仿宋"/>
          <w:bCs/>
          <w:color w:val="auto"/>
          <w:sz w:val="24"/>
          <w:highlight w:val="none"/>
        </w:rPr>
        <w:t>如乙方未</w:t>
      </w:r>
      <w:r>
        <w:rPr>
          <w:rFonts w:hint="eastAsia" w:ascii="仿宋" w:hAnsi="仿宋" w:eastAsia="仿宋"/>
          <w:bCs/>
          <w:color w:val="auto"/>
          <w:sz w:val="24"/>
          <w:highlight w:val="none"/>
          <w:lang w:val="en-US" w:eastAsia="zh-CN"/>
        </w:rPr>
        <w:t>在规定时间内</w:t>
      </w:r>
      <w:r>
        <w:rPr>
          <w:rFonts w:hint="eastAsia" w:ascii="仿宋" w:hAnsi="仿宋" w:eastAsia="仿宋"/>
          <w:bCs/>
          <w:color w:val="auto"/>
          <w:sz w:val="24"/>
          <w:highlight w:val="none"/>
        </w:rPr>
        <w:t>通知地址变更导致送达不能或约定地址无人接收通知或信件的，则在甲方向约定地址寄送通知之日（以寄送单载明的日期为准）起第三天视为送达。</w:t>
      </w:r>
    </w:p>
    <w:p w14:paraId="206DC279">
      <w:pPr>
        <w:spacing w:line="360" w:lineRule="auto"/>
        <w:ind w:firstLine="482" w:firstLineChars="200"/>
        <w:jc w:val="left"/>
        <w:rPr>
          <w:rFonts w:ascii="仿宋" w:hAnsi="仿宋" w:eastAsia="仿宋"/>
          <w:b/>
          <w:bCs/>
          <w:color w:val="auto"/>
          <w:sz w:val="24"/>
          <w:highlight w:val="none"/>
        </w:rPr>
      </w:pPr>
      <w:r>
        <w:rPr>
          <w:rFonts w:hint="eastAsia" w:ascii="仿宋" w:hAnsi="仿宋" w:eastAsia="仿宋"/>
          <w:b/>
          <w:bCs/>
          <w:color w:val="auto"/>
          <w:sz w:val="24"/>
          <w:highlight w:val="none"/>
        </w:rPr>
        <w:t>第十</w:t>
      </w:r>
      <w:r>
        <w:rPr>
          <w:rFonts w:hint="eastAsia" w:ascii="仿宋" w:hAnsi="仿宋" w:eastAsia="仿宋"/>
          <w:b/>
          <w:bCs/>
          <w:color w:val="auto"/>
          <w:sz w:val="24"/>
          <w:highlight w:val="none"/>
          <w:lang w:val="en-US" w:eastAsia="zh-CN"/>
        </w:rPr>
        <w:t>三</w:t>
      </w:r>
      <w:r>
        <w:rPr>
          <w:rFonts w:hint="eastAsia" w:ascii="仿宋" w:hAnsi="仿宋" w:eastAsia="仿宋"/>
          <w:b/>
          <w:bCs/>
          <w:color w:val="auto"/>
          <w:sz w:val="24"/>
          <w:highlight w:val="none"/>
        </w:rPr>
        <w:t xml:space="preserve">条  争议的解决 </w:t>
      </w:r>
    </w:p>
    <w:p w14:paraId="72690A37">
      <w:pPr>
        <w:spacing w:line="360" w:lineRule="auto"/>
        <w:ind w:firstLine="480" w:firstLineChars="200"/>
        <w:jc w:val="left"/>
        <w:rPr>
          <w:rFonts w:ascii="仿宋" w:hAnsi="仿宋" w:eastAsia="仿宋"/>
          <w:b/>
          <w:bCs/>
          <w:color w:val="auto"/>
          <w:sz w:val="24"/>
          <w:highlight w:val="none"/>
        </w:rPr>
      </w:pPr>
      <w:r>
        <w:rPr>
          <w:rFonts w:hint="eastAsia" w:ascii="仿宋" w:hAnsi="仿宋" w:eastAsia="仿宋"/>
          <w:bCs/>
          <w:color w:val="auto"/>
          <w:sz w:val="24"/>
          <w:highlight w:val="none"/>
        </w:rPr>
        <w:t>在合同</w:t>
      </w:r>
      <w:r>
        <w:rPr>
          <w:rFonts w:hint="eastAsia" w:ascii="仿宋" w:hAnsi="仿宋" w:eastAsia="仿宋"/>
          <w:color w:val="auto"/>
          <w:sz w:val="24"/>
          <w:highlight w:val="none"/>
        </w:rPr>
        <w:t>履行过程中</w:t>
      </w:r>
      <w:r>
        <w:rPr>
          <w:rFonts w:ascii="仿宋" w:hAnsi="仿宋" w:eastAsia="仿宋"/>
          <w:color w:val="auto"/>
          <w:sz w:val="24"/>
          <w:highlight w:val="none"/>
        </w:rPr>
        <w:t>发生争议，</w:t>
      </w:r>
      <w:r>
        <w:rPr>
          <w:rFonts w:hint="eastAsia" w:ascii="仿宋" w:hAnsi="仿宋" w:eastAsia="仿宋"/>
          <w:color w:val="auto"/>
          <w:sz w:val="24"/>
          <w:highlight w:val="none"/>
        </w:rPr>
        <w:t>双方协商解决，</w:t>
      </w:r>
      <w:r>
        <w:rPr>
          <w:rFonts w:ascii="仿宋" w:hAnsi="仿宋" w:eastAsia="仿宋"/>
          <w:color w:val="auto"/>
          <w:sz w:val="24"/>
          <w:highlight w:val="none"/>
        </w:rPr>
        <w:t>协商</w:t>
      </w:r>
      <w:r>
        <w:rPr>
          <w:rFonts w:hint="eastAsia" w:ascii="仿宋" w:hAnsi="仿宋" w:eastAsia="仿宋"/>
          <w:color w:val="auto"/>
          <w:sz w:val="24"/>
          <w:highlight w:val="none"/>
        </w:rPr>
        <w:t>不成的，应向房产所在地人民法院提起诉讼。</w:t>
      </w:r>
    </w:p>
    <w:p w14:paraId="407E5593">
      <w:pPr>
        <w:spacing w:line="360" w:lineRule="auto"/>
        <w:ind w:firstLine="482" w:firstLineChars="200"/>
        <w:jc w:val="left"/>
        <w:rPr>
          <w:rFonts w:ascii="仿宋" w:hAnsi="仿宋" w:eastAsia="仿宋"/>
          <w:b/>
          <w:color w:val="auto"/>
          <w:sz w:val="24"/>
          <w:highlight w:val="none"/>
        </w:rPr>
      </w:pPr>
      <w:r>
        <w:rPr>
          <w:rFonts w:hint="eastAsia" w:ascii="仿宋" w:hAnsi="仿宋" w:eastAsia="仿宋"/>
          <w:b/>
          <w:bCs/>
          <w:color w:val="auto"/>
          <w:sz w:val="24"/>
          <w:highlight w:val="none"/>
        </w:rPr>
        <w:t>第十</w:t>
      </w:r>
      <w:r>
        <w:rPr>
          <w:rFonts w:hint="eastAsia" w:ascii="仿宋" w:hAnsi="仿宋" w:eastAsia="仿宋"/>
          <w:b/>
          <w:bCs/>
          <w:color w:val="auto"/>
          <w:sz w:val="24"/>
          <w:highlight w:val="none"/>
          <w:lang w:val="en-US" w:eastAsia="zh-CN"/>
        </w:rPr>
        <w:t>四</w:t>
      </w:r>
      <w:r>
        <w:rPr>
          <w:rFonts w:hint="eastAsia" w:ascii="仿宋" w:hAnsi="仿宋" w:eastAsia="仿宋"/>
          <w:b/>
          <w:bCs/>
          <w:color w:val="auto"/>
          <w:sz w:val="24"/>
          <w:highlight w:val="none"/>
        </w:rPr>
        <w:t>条</w:t>
      </w:r>
      <w:r>
        <w:rPr>
          <w:rFonts w:hint="eastAsia" w:ascii="仿宋" w:hAnsi="仿宋" w:eastAsia="仿宋"/>
          <w:b/>
          <w:color w:val="auto"/>
          <w:sz w:val="24"/>
          <w:highlight w:val="none"/>
        </w:rPr>
        <w:t xml:space="preserve">  附则</w:t>
      </w:r>
    </w:p>
    <w:p w14:paraId="4BE847A8">
      <w:pPr>
        <w:spacing w:line="360" w:lineRule="auto"/>
        <w:ind w:firstLine="482" w:firstLineChars="200"/>
        <w:jc w:val="left"/>
        <w:rPr>
          <w:rFonts w:hint="eastAsia" w:ascii="仿宋" w:hAnsi="仿宋" w:eastAsia="仿宋"/>
          <w:color w:val="auto"/>
          <w:sz w:val="24"/>
          <w:highlight w:val="none"/>
          <w:lang w:val="en-US" w:eastAsia="zh-CN"/>
        </w:rPr>
      </w:pPr>
      <w:r>
        <w:rPr>
          <w:rFonts w:hint="eastAsia" w:ascii="仿宋" w:hAnsi="仿宋" w:eastAsia="仿宋"/>
          <w:b/>
          <w:color w:val="auto"/>
          <w:sz w:val="24"/>
          <w:highlight w:val="none"/>
        </w:rPr>
        <w:t>1</w:t>
      </w:r>
      <w:r>
        <w:rPr>
          <w:rFonts w:hint="eastAsia" w:ascii="仿宋" w:hAnsi="仿宋" w:eastAsia="仿宋"/>
          <w:b/>
          <w:color w:val="auto"/>
          <w:sz w:val="24"/>
          <w:highlight w:val="none"/>
          <w:lang w:val="en-US" w:eastAsia="zh-CN"/>
        </w:rPr>
        <w:t>4</w:t>
      </w:r>
      <w:r>
        <w:rPr>
          <w:rFonts w:hint="eastAsia" w:ascii="仿宋" w:hAnsi="仿宋" w:eastAsia="仿宋"/>
          <w:b/>
          <w:color w:val="auto"/>
          <w:sz w:val="24"/>
          <w:highlight w:val="none"/>
        </w:rPr>
        <w:t>.1</w:t>
      </w:r>
      <w:r>
        <w:rPr>
          <w:rFonts w:hint="eastAsia" w:ascii="仿宋" w:hAnsi="仿宋" w:eastAsia="仿宋"/>
          <w:color w:val="auto"/>
          <w:sz w:val="24"/>
          <w:highlight w:val="none"/>
        </w:rPr>
        <w:t xml:space="preserve">  双方应对因</w:t>
      </w:r>
      <w:r>
        <w:rPr>
          <w:rFonts w:hint="eastAsia" w:ascii="仿宋" w:hAnsi="仿宋" w:eastAsia="仿宋"/>
          <w:color w:val="auto"/>
          <w:sz w:val="24"/>
          <w:highlight w:val="none"/>
          <w:lang w:val="en-US" w:eastAsia="zh-CN"/>
        </w:rPr>
        <w:t>合作</w:t>
      </w:r>
      <w:r>
        <w:rPr>
          <w:rFonts w:hint="eastAsia" w:ascii="仿宋" w:hAnsi="仿宋" w:eastAsia="仿宋"/>
          <w:color w:val="auto"/>
          <w:sz w:val="24"/>
          <w:highlight w:val="none"/>
        </w:rPr>
        <w:t>所知悉的对方任何保密信息承担保密责任</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包括但不限于谈判过程资料及商务条件等。双</w:t>
      </w:r>
      <w:r>
        <w:rPr>
          <w:rFonts w:hint="eastAsia" w:ascii="仿宋" w:hAnsi="仿宋" w:eastAsia="仿宋"/>
          <w:color w:val="auto"/>
          <w:sz w:val="24"/>
          <w:highlight w:val="none"/>
        </w:rPr>
        <w:t>方均须采取合理保密措施</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本义务持续至合同</w:t>
      </w:r>
      <w:r>
        <w:rPr>
          <w:rFonts w:hint="eastAsia" w:ascii="仿宋" w:hAnsi="仿宋" w:eastAsia="仿宋"/>
          <w:color w:val="auto"/>
          <w:sz w:val="24"/>
          <w:highlight w:val="none"/>
          <w:lang w:val="en-US" w:eastAsia="zh-CN"/>
        </w:rPr>
        <w:t>解除或</w:t>
      </w:r>
      <w:r>
        <w:rPr>
          <w:rFonts w:hint="eastAsia" w:ascii="仿宋" w:hAnsi="仿宋" w:eastAsia="仿宋"/>
          <w:color w:val="auto"/>
          <w:sz w:val="24"/>
          <w:highlight w:val="none"/>
        </w:rPr>
        <w:t>终止后两年</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违约方应赔偿守约方全部损失。</w:t>
      </w:r>
      <w:r>
        <w:rPr>
          <w:rFonts w:hint="eastAsia" w:ascii="仿宋" w:hAnsi="仿宋" w:eastAsia="仿宋"/>
          <w:color w:val="auto"/>
          <w:sz w:val="24"/>
          <w:highlight w:val="none"/>
          <w:lang w:val="en-US" w:eastAsia="zh-CN"/>
        </w:rPr>
        <w:t>但该等信息已公开，或根据相关政府部门要求依法披露，或通过合法第三方渠道获取的情况除外。</w:t>
      </w:r>
    </w:p>
    <w:p w14:paraId="2C94B502">
      <w:pPr>
        <w:spacing w:line="360" w:lineRule="auto"/>
        <w:ind w:firstLine="480" w:firstLineChars="200"/>
        <w:jc w:val="left"/>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14.2  双方承诺在合同履行过程中严格遵守廉洁纪律。禁止任何一方员工以任何形式向对方人员提供或索取贿赂、回扣、礼品、不当宴请及其他可能影响公正履职的利益。如一方发现对方存在索贿行为，应立即书面通知对方管理层。</w:t>
      </w:r>
    </w:p>
    <w:p w14:paraId="3359FE4D">
      <w:pPr>
        <w:spacing w:line="360" w:lineRule="auto"/>
        <w:ind w:firstLine="480" w:firstLineChars="200"/>
        <w:jc w:val="left"/>
        <w:rPr>
          <w:rFonts w:ascii="仿宋" w:hAnsi="仿宋" w:eastAsia="仿宋"/>
          <w:color w:val="auto"/>
          <w:sz w:val="24"/>
          <w:highlight w:val="none"/>
        </w:rPr>
      </w:pPr>
      <w:r>
        <w:rPr>
          <w:rFonts w:hint="eastAsia" w:ascii="仿宋" w:hAnsi="仿宋" w:eastAsia="仿宋"/>
          <w:color w:val="auto"/>
          <w:sz w:val="24"/>
          <w:highlight w:val="none"/>
          <w:lang w:val="en-US" w:eastAsia="zh-CN"/>
        </w:rPr>
        <w:t xml:space="preserve">14.3  </w:t>
      </w:r>
      <w:r>
        <w:rPr>
          <w:rFonts w:hint="eastAsia" w:ascii="仿宋" w:hAnsi="仿宋" w:eastAsia="仿宋"/>
          <w:color w:val="auto"/>
          <w:sz w:val="24"/>
          <w:highlight w:val="none"/>
        </w:rPr>
        <w:t>本合同未尽事宜，由双方协商作出补充</w:t>
      </w:r>
      <w:r>
        <w:rPr>
          <w:rFonts w:ascii="仿宋" w:hAnsi="仿宋" w:eastAsia="仿宋"/>
          <w:color w:val="auto"/>
          <w:sz w:val="24"/>
          <w:highlight w:val="none"/>
        </w:rPr>
        <w:t>合同</w:t>
      </w:r>
      <w:r>
        <w:rPr>
          <w:rFonts w:hint="eastAsia" w:ascii="仿宋" w:hAnsi="仿宋" w:eastAsia="仿宋"/>
          <w:color w:val="auto"/>
          <w:sz w:val="24"/>
          <w:highlight w:val="none"/>
        </w:rPr>
        <w:t>，与本合同具有同等的法律效力。</w:t>
      </w:r>
    </w:p>
    <w:p w14:paraId="166BD228">
      <w:pPr>
        <w:spacing w:line="360" w:lineRule="auto"/>
        <w:ind w:firstLine="482" w:firstLineChars="200"/>
        <w:jc w:val="left"/>
        <w:rPr>
          <w:rFonts w:hint="eastAsia" w:ascii="仿宋" w:hAnsi="仿宋" w:eastAsia="仿宋"/>
          <w:color w:val="auto"/>
          <w:sz w:val="24"/>
          <w:highlight w:val="none"/>
        </w:rPr>
      </w:pPr>
      <w:r>
        <w:rPr>
          <w:rFonts w:hint="eastAsia" w:ascii="仿宋" w:hAnsi="仿宋" w:eastAsia="仿宋"/>
          <w:b/>
          <w:color w:val="auto"/>
          <w:sz w:val="24"/>
          <w:highlight w:val="none"/>
        </w:rPr>
        <w:t>1</w:t>
      </w:r>
      <w:r>
        <w:rPr>
          <w:rFonts w:hint="eastAsia" w:ascii="仿宋" w:hAnsi="仿宋" w:eastAsia="仿宋"/>
          <w:b/>
          <w:color w:val="auto"/>
          <w:sz w:val="24"/>
          <w:highlight w:val="none"/>
          <w:lang w:val="en-US" w:eastAsia="zh-CN"/>
        </w:rPr>
        <w:t>4</w:t>
      </w:r>
      <w:r>
        <w:rPr>
          <w:rFonts w:hint="eastAsia" w:ascii="仿宋" w:hAnsi="仿宋" w:eastAsia="仿宋"/>
          <w:b/>
          <w:color w:val="auto"/>
          <w:sz w:val="24"/>
          <w:highlight w:val="none"/>
        </w:rPr>
        <w:t>.</w:t>
      </w:r>
      <w:r>
        <w:rPr>
          <w:rFonts w:hint="eastAsia" w:ascii="仿宋" w:hAnsi="仿宋" w:eastAsia="仿宋"/>
          <w:b/>
          <w:color w:val="auto"/>
          <w:sz w:val="24"/>
          <w:highlight w:val="none"/>
          <w:lang w:val="en-US" w:eastAsia="zh-CN"/>
        </w:rPr>
        <w:t>4</w:t>
      </w:r>
      <w:r>
        <w:rPr>
          <w:rFonts w:hint="eastAsia" w:ascii="仿宋" w:hAnsi="仿宋" w:eastAsia="仿宋"/>
          <w:color w:val="auto"/>
          <w:sz w:val="24"/>
          <w:highlight w:val="none"/>
        </w:rPr>
        <w:t xml:space="preserve">  本合同经双方法定代表人或委托代理人签字并加盖公章或合同专用章</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并且乙方缴纳履约保证金、首期费用</w:t>
      </w:r>
      <w:r>
        <w:rPr>
          <w:rFonts w:hint="eastAsia" w:ascii="仿宋" w:hAnsi="仿宋" w:eastAsia="仿宋"/>
          <w:color w:val="auto"/>
          <w:sz w:val="24"/>
          <w:highlight w:val="none"/>
        </w:rPr>
        <w:t>之日起生效。一式</w:t>
      </w:r>
      <w:r>
        <w:rPr>
          <w:rFonts w:hint="eastAsia" w:ascii="仿宋" w:hAnsi="仿宋" w:eastAsia="仿宋"/>
          <w:b/>
          <w:bCs/>
          <w:color w:val="auto"/>
          <w:sz w:val="24"/>
          <w:highlight w:val="none"/>
          <w:u w:val="single"/>
          <w:lang w:val="en-US" w:eastAsia="zh-CN"/>
        </w:rPr>
        <w:t xml:space="preserve">  陆   </w:t>
      </w:r>
      <w:r>
        <w:rPr>
          <w:rFonts w:hint="eastAsia" w:ascii="仿宋" w:hAnsi="仿宋" w:eastAsia="仿宋"/>
          <w:color w:val="auto"/>
          <w:sz w:val="24"/>
          <w:highlight w:val="none"/>
        </w:rPr>
        <w:t>份，甲方执</w:t>
      </w:r>
      <w:r>
        <w:rPr>
          <w:rFonts w:hint="eastAsia" w:ascii="仿宋" w:hAnsi="仿宋" w:eastAsia="仿宋"/>
          <w:b/>
          <w:bCs/>
          <w:color w:val="auto"/>
          <w:sz w:val="24"/>
          <w:highlight w:val="none"/>
          <w:u w:val="single"/>
          <w:lang w:val="en-US" w:eastAsia="zh-CN"/>
        </w:rPr>
        <w:t xml:space="preserve">  肆  </w:t>
      </w:r>
      <w:r>
        <w:rPr>
          <w:rFonts w:hint="eastAsia" w:ascii="仿宋" w:hAnsi="仿宋" w:eastAsia="仿宋"/>
          <w:color w:val="auto"/>
          <w:sz w:val="24"/>
          <w:highlight w:val="none"/>
        </w:rPr>
        <w:t>份，乙方执</w:t>
      </w:r>
      <w:r>
        <w:rPr>
          <w:rFonts w:hint="eastAsia" w:ascii="仿宋" w:hAnsi="仿宋" w:eastAsia="仿宋"/>
          <w:b/>
          <w:bCs/>
          <w:color w:val="auto"/>
          <w:sz w:val="24"/>
          <w:highlight w:val="none"/>
          <w:u w:val="single"/>
          <w:lang w:val="en-US" w:eastAsia="zh-CN"/>
        </w:rPr>
        <w:t xml:space="preserve">  贰  </w:t>
      </w:r>
      <w:r>
        <w:rPr>
          <w:rFonts w:hint="eastAsia" w:ascii="仿宋" w:hAnsi="仿宋" w:eastAsia="仿宋"/>
          <w:color w:val="auto"/>
          <w:sz w:val="24"/>
          <w:highlight w:val="none"/>
        </w:rPr>
        <w:t>份。</w:t>
      </w:r>
    </w:p>
    <w:p w14:paraId="1ABA0832">
      <w:pPr>
        <w:spacing w:line="360" w:lineRule="auto"/>
        <w:ind w:firstLine="480" w:firstLineChars="200"/>
        <w:jc w:val="left"/>
        <w:rPr>
          <w:rFonts w:hint="eastAsia" w:ascii="仿宋" w:hAnsi="仿宋" w:eastAsia="仿宋"/>
          <w:b/>
          <w:color w:val="auto"/>
          <w:sz w:val="24"/>
          <w:highlight w:val="none"/>
          <w:lang w:eastAsia="zh-CN"/>
        </w:rPr>
      </w:pPr>
      <w:r>
        <w:rPr>
          <w:rFonts w:hint="eastAsia" w:ascii="仿宋" w:hAnsi="仿宋" w:eastAsia="仿宋"/>
          <w:color w:val="auto"/>
          <w:sz w:val="24"/>
          <w:highlight w:val="none"/>
          <w:lang w:val="en-US" w:eastAsia="zh-CN"/>
        </w:rPr>
        <w:t xml:space="preserve"> </w:t>
      </w:r>
      <w:r>
        <w:rPr>
          <w:rFonts w:hint="eastAsia" w:ascii="仿宋" w:hAnsi="仿宋" w:eastAsia="仿宋"/>
          <w:b/>
          <w:bCs/>
          <w:color w:val="auto"/>
          <w:sz w:val="24"/>
          <w:highlight w:val="none"/>
        </w:rPr>
        <w:t>第十</w:t>
      </w:r>
      <w:r>
        <w:rPr>
          <w:rFonts w:hint="eastAsia" w:ascii="仿宋" w:hAnsi="仿宋" w:eastAsia="仿宋"/>
          <w:b/>
          <w:bCs/>
          <w:color w:val="auto"/>
          <w:sz w:val="24"/>
          <w:highlight w:val="none"/>
          <w:lang w:val="en-US" w:eastAsia="zh-CN"/>
        </w:rPr>
        <w:t>五</w:t>
      </w:r>
      <w:r>
        <w:rPr>
          <w:rFonts w:hint="eastAsia" w:ascii="仿宋" w:hAnsi="仿宋" w:eastAsia="仿宋"/>
          <w:b/>
          <w:bCs/>
          <w:color w:val="auto"/>
          <w:sz w:val="24"/>
          <w:highlight w:val="none"/>
        </w:rPr>
        <w:t>条</w:t>
      </w:r>
      <w:r>
        <w:rPr>
          <w:rFonts w:hint="eastAsia" w:ascii="仿宋" w:hAnsi="仿宋" w:eastAsia="仿宋"/>
          <w:b/>
          <w:color w:val="auto"/>
          <w:sz w:val="24"/>
          <w:highlight w:val="none"/>
        </w:rPr>
        <w:t xml:space="preserve">  </w:t>
      </w:r>
      <w:r>
        <w:rPr>
          <w:rFonts w:hint="eastAsia" w:ascii="仿宋" w:hAnsi="仿宋" w:eastAsia="仿宋"/>
          <w:b/>
          <w:color w:val="auto"/>
          <w:sz w:val="24"/>
          <w:highlight w:val="none"/>
          <w:lang w:val="en-US" w:eastAsia="zh-CN"/>
        </w:rPr>
        <w:t>补充条款</w:t>
      </w:r>
    </w:p>
    <w:p w14:paraId="3810E908">
      <w:pPr>
        <w:pStyle w:val="2"/>
        <w:spacing w:before="0" w:line="360" w:lineRule="auto"/>
        <w:ind w:left="0" w:leftChars="0" w:firstLine="480" w:firstLineChars="200"/>
        <w:rPr>
          <w:rFonts w:hint="eastAsia" w:ascii="仿宋" w:hAnsi="仿宋" w:eastAsia="仿宋" w:cs="仿宋"/>
          <w:sz w:val="24"/>
          <w:szCs w:val="24"/>
          <w:highlight w:val="none"/>
          <w:u w:val="none"/>
          <w:lang w:val="en-US" w:eastAsia="zh-CN"/>
        </w:rPr>
      </w:pPr>
      <w:r>
        <w:rPr>
          <w:rFonts w:hint="eastAsia" w:ascii="仿宋" w:hAnsi="仿宋" w:eastAsia="仿宋" w:cs="仿宋"/>
          <w:i w:val="0"/>
          <w:iCs w:val="0"/>
          <w:caps w:val="0"/>
          <w:color w:val="000000"/>
          <w:spacing w:val="0"/>
          <w:sz w:val="24"/>
          <w:szCs w:val="24"/>
          <w:u w:val="none"/>
          <w:shd w:val="clear" w:fill="FFFFFF"/>
          <w:lang w:val="en-US" w:eastAsia="zh-CN"/>
        </w:rPr>
        <w:t xml:space="preserve">15.1 </w:t>
      </w:r>
      <w:r>
        <w:rPr>
          <w:rFonts w:hint="eastAsia" w:ascii="仿宋" w:hAnsi="仿宋" w:eastAsia="仿宋" w:cs="仿宋"/>
          <w:sz w:val="24"/>
          <w:szCs w:val="24"/>
          <w:highlight w:val="none"/>
          <w:u w:val="none"/>
          <w:lang w:val="en-US" w:eastAsia="zh-CN"/>
        </w:rPr>
        <w:t>乙方使用的本项目管理系统需开放给甲方查看权限。</w:t>
      </w:r>
    </w:p>
    <w:p w14:paraId="2C181BC2">
      <w:pPr>
        <w:pStyle w:val="2"/>
        <w:spacing w:line="360" w:lineRule="auto"/>
        <w:ind w:left="0" w:leftChars="0" w:firstLine="480" w:firstLineChars="200"/>
        <w:rPr>
          <w:rFonts w:hint="default" w:ascii="仿宋" w:hAnsi="仿宋" w:eastAsia="仿宋"/>
          <w:color w:val="auto"/>
          <w:sz w:val="24"/>
          <w:szCs w:val="24"/>
          <w:highlight w:val="none"/>
          <w:u w:val="none"/>
          <w:lang w:eastAsia="zh-CN"/>
        </w:rPr>
      </w:pPr>
      <w:r>
        <w:rPr>
          <w:rFonts w:hint="default" w:ascii="仿宋" w:hAnsi="仿宋" w:eastAsia="仿宋"/>
          <w:color w:val="auto"/>
          <w:sz w:val="24"/>
          <w:szCs w:val="24"/>
          <w:highlight w:val="none"/>
          <w:u w:val="none"/>
          <w:lang w:eastAsia="zh-CN"/>
        </w:rPr>
        <w:t>15.2 乙方向任意公寓入住方预收费用金额不得超过3个月费用。</w:t>
      </w:r>
    </w:p>
    <w:p w14:paraId="471C8980">
      <w:pPr>
        <w:rPr>
          <w:rFonts w:hint="default"/>
          <w:lang w:eastAsia="zh-CN"/>
        </w:rPr>
      </w:pPr>
      <w:r>
        <w:rPr>
          <w:rFonts w:hint="default" w:ascii="仿宋" w:hAnsi="仿宋" w:eastAsia="仿宋"/>
          <w:color w:val="auto"/>
          <w:sz w:val="24"/>
          <w:szCs w:val="24"/>
          <w:highlight w:val="none"/>
          <w:u w:val="none"/>
          <w:lang w:eastAsia="zh-CN"/>
        </w:rPr>
        <w:t xml:space="preserve">    15.3 乙方向任意公寓入住方收取保证金（或押金）金额不得超过其约定的3个月费用。</w:t>
      </w:r>
    </w:p>
    <w:p w14:paraId="776D5058">
      <w:pPr>
        <w:pStyle w:val="2"/>
        <w:spacing w:line="360" w:lineRule="auto"/>
        <w:ind w:left="0" w:leftChars="0" w:firstLine="480" w:firstLineChars="200"/>
        <w:rPr>
          <w:rFonts w:hint="default" w:ascii="仿宋" w:hAnsi="仿宋" w:eastAsia="仿宋"/>
          <w:color w:val="auto"/>
          <w:sz w:val="24"/>
          <w:szCs w:val="24"/>
          <w:highlight w:val="none"/>
          <w:u w:val="none"/>
          <w:lang w:val="en-US" w:eastAsia="zh-CN"/>
        </w:rPr>
      </w:pPr>
      <w:r>
        <w:rPr>
          <w:rFonts w:hint="eastAsia" w:ascii="仿宋" w:hAnsi="仿宋" w:eastAsia="仿宋"/>
          <w:color w:val="auto"/>
          <w:sz w:val="24"/>
          <w:szCs w:val="24"/>
          <w:highlight w:val="none"/>
          <w:u w:val="none"/>
          <w:lang w:val="en-US" w:eastAsia="zh-CN"/>
        </w:rPr>
        <w:t>15.4 乙方须严格按照相关部门管理规定管控公寓最高入住人数，保障人均最低使用面积。</w:t>
      </w:r>
    </w:p>
    <w:p w14:paraId="293AE5DF">
      <w:pPr>
        <w:pStyle w:val="2"/>
        <w:spacing w:line="360" w:lineRule="auto"/>
        <w:ind w:left="0" w:leftChars="0" w:firstLine="480" w:firstLineChars="200"/>
        <w:rPr>
          <w:rFonts w:hint="default" w:eastAsia="仿宋"/>
          <w:u w:val="single"/>
          <w:lang w:val="en-US" w:eastAsia="zh-CN"/>
        </w:rPr>
      </w:pPr>
      <w:r>
        <w:rPr>
          <w:rFonts w:hint="eastAsia" w:ascii="仿宋" w:hAnsi="仿宋" w:eastAsia="仿宋"/>
          <w:color w:val="auto"/>
          <w:sz w:val="24"/>
          <w:szCs w:val="24"/>
          <w:highlight w:val="none"/>
          <w:u w:val="none"/>
          <w:lang w:val="en-US" w:eastAsia="zh-CN"/>
        </w:rPr>
        <w:t xml:space="preserve">15.5.标的房屋内原有装修、固定设施、家具家电等（以移交清单为准），甲方不承担合同期间的维修、保养、更换责任；乙方有义务保持其可用状态，发生故障、损坏的，由乙方自行承担费用进行维修或更换。                                                     </w:t>
      </w:r>
      <w:r>
        <w:rPr>
          <w:rFonts w:hint="eastAsia" w:ascii="仿宋" w:hAnsi="仿宋" w:eastAsia="仿宋"/>
          <w:color w:val="auto"/>
          <w:sz w:val="24"/>
          <w:highlight w:val="none"/>
          <w:u w:val="single"/>
          <w:lang w:val="en-US" w:eastAsia="zh-CN"/>
        </w:rPr>
        <w:t xml:space="preserve">   </w:t>
      </w:r>
    </w:p>
    <w:p w14:paraId="5252EAA2">
      <w:pPr>
        <w:pStyle w:val="16"/>
        <w:rPr>
          <w:rFonts w:eastAsia="仿宋"/>
          <w:color w:val="auto"/>
          <w:highlight w:val="none"/>
          <w:lang w:val="en-US"/>
        </w:rPr>
      </w:pPr>
      <w:r>
        <w:rPr>
          <w:rFonts w:hint="eastAsia" w:ascii="仿宋" w:hAnsi="仿宋" w:eastAsia="仿宋"/>
          <w:color w:val="auto"/>
          <w:sz w:val="24"/>
          <w:highlight w:val="none"/>
        </w:rPr>
        <w:t>（</w:t>
      </w:r>
      <w:r>
        <w:rPr>
          <w:rFonts w:hint="eastAsia" w:ascii="仿宋" w:hAnsi="仿宋" w:eastAsia="仿宋"/>
          <w:color w:val="auto"/>
          <w:sz w:val="24"/>
          <w:highlight w:val="none"/>
          <w:lang w:val="en-US"/>
        </w:rPr>
        <w:t>以下无正文）</w:t>
      </w:r>
    </w:p>
    <w:p w14:paraId="6D9C544C">
      <w:pPr>
        <w:pStyle w:val="17"/>
        <w:rPr>
          <w:rFonts w:hint="eastAsia" w:ascii="等线" w:hAnsi="等线" w:eastAsia="等线"/>
          <w:color w:val="auto"/>
          <w:sz w:val="24"/>
          <w:highlight w:val="none"/>
          <w:lang w:val="zh-CN" w:eastAsia="zh-CN"/>
        </w:rPr>
      </w:pPr>
    </w:p>
    <w:p w14:paraId="49621C56">
      <w:pPr>
        <w:pStyle w:val="16"/>
        <w:spacing w:line="360" w:lineRule="auto"/>
        <w:ind w:firstLine="0" w:firstLineChars="0"/>
        <w:rPr>
          <w:rFonts w:hint="eastAsia"/>
          <w:color w:val="auto"/>
          <w:sz w:val="24"/>
          <w:highlight w:val="none"/>
          <w:lang w:val="en-US"/>
        </w:rPr>
      </w:pPr>
    </w:p>
    <w:p w14:paraId="2D685DA7">
      <w:pPr>
        <w:spacing w:line="240" w:lineRule="auto"/>
        <w:ind w:left="1680" w:leftChars="0" w:hanging="1680" w:hangingChars="700"/>
        <w:jc w:val="left"/>
        <w:rPr>
          <w:rFonts w:hint="eastAsia" w:ascii="仿宋" w:hAnsi="仿宋" w:eastAsia="仿宋"/>
          <w:color w:val="auto"/>
          <w:sz w:val="24"/>
          <w:highlight w:val="none"/>
        </w:rPr>
      </w:pPr>
      <w:r>
        <w:rPr>
          <w:rFonts w:hint="eastAsia" w:ascii="仿宋" w:hAnsi="仿宋" w:eastAsia="仿宋"/>
          <w:color w:val="auto"/>
          <w:sz w:val="24"/>
          <w:highlight w:val="none"/>
        </w:rPr>
        <w:t>甲方（盖章）：</w:t>
      </w:r>
      <w:r>
        <w:rPr>
          <w:rFonts w:hint="eastAsia" w:ascii="仿宋" w:hAnsi="仿宋" w:eastAsia="仿宋"/>
          <w:b/>
          <w:sz w:val="24"/>
        </w:rPr>
        <w:t>杭州运河辰祥工业遗址综合</w:t>
      </w:r>
      <w:r>
        <w:rPr>
          <w:rFonts w:hint="eastAsia" w:ascii="仿宋" w:hAnsi="仿宋" w:eastAsia="仿宋"/>
          <w:b/>
          <w:sz w:val="24"/>
          <w:lang w:val="en-US" w:eastAsia="zh-CN"/>
        </w:rPr>
        <w:t xml:space="preserve">       </w:t>
      </w:r>
      <w:r>
        <w:rPr>
          <w:rFonts w:hint="eastAsia" w:ascii="仿宋" w:hAnsi="仿宋" w:eastAsia="仿宋"/>
          <w:color w:val="auto"/>
          <w:sz w:val="24"/>
          <w:highlight w:val="none"/>
        </w:rPr>
        <w:t>乙方（盖章）：</w:t>
      </w:r>
    </w:p>
    <w:p w14:paraId="0D6AD84B">
      <w:pPr>
        <w:spacing w:line="360" w:lineRule="auto"/>
        <w:ind w:firstLine="241" w:firstLineChars="100"/>
        <w:jc w:val="left"/>
        <w:rPr>
          <w:rFonts w:ascii="仿宋" w:hAnsi="仿宋" w:eastAsia="仿宋"/>
          <w:color w:val="auto"/>
          <w:sz w:val="24"/>
          <w:highlight w:val="none"/>
        </w:rPr>
      </w:pPr>
      <w:r>
        <w:rPr>
          <w:rFonts w:hint="eastAsia" w:ascii="仿宋" w:hAnsi="仿宋" w:eastAsia="仿宋"/>
          <w:b/>
          <w:sz w:val="24"/>
          <w:lang w:val="en-US" w:eastAsia="zh-CN"/>
        </w:rPr>
        <w:t xml:space="preserve">            </w:t>
      </w:r>
      <w:r>
        <w:rPr>
          <w:rFonts w:hint="eastAsia" w:ascii="仿宋" w:hAnsi="仿宋" w:eastAsia="仿宋"/>
          <w:b/>
          <w:sz w:val="24"/>
        </w:rPr>
        <w:t>开发有限公司</w:t>
      </w:r>
      <w:r>
        <w:rPr>
          <w:rFonts w:hint="eastAsia" w:ascii="仿宋" w:hAnsi="仿宋" w:eastAsia="仿宋"/>
          <w:b/>
          <w:sz w:val="24"/>
          <w:lang w:val="en-US" w:eastAsia="zh-CN"/>
        </w:rPr>
        <w:t xml:space="preserve">                </w:t>
      </w:r>
    </w:p>
    <w:p w14:paraId="5EDD9AEE">
      <w:pPr>
        <w:spacing w:line="360" w:lineRule="auto"/>
        <w:ind w:firstLine="240" w:firstLineChars="100"/>
        <w:jc w:val="left"/>
        <w:rPr>
          <w:rFonts w:ascii="仿宋" w:hAnsi="仿宋" w:eastAsia="仿宋"/>
          <w:color w:val="auto"/>
          <w:sz w:val="24"/>
          <w:highlight w:val="none"/>
        </w:rPr>
      </w:pPr>
      <w:r>
        <w:rPr>
          <w:rFonts w:hint="eastAsia" w:ascii="仿宋" w:hAnsi="仿宋" w:eastAsia="仿宋"/>
          <w:color w:val="auto"/>
          <w:sz w:val="24"/>
          <w:highlight w:val="none"/>
        </w:rPr>
        <w:t>法定代表人或代理人：                       法定代表人或代理人：</w:t>
      </w:r>
    </w:p>
    <w:p w14:paraId="6BAEF41C">
      <w:pPr>
        <w:spacing w:line="360" w:lineRule="auto"/>
        <w:ind w:firstLine="240" w:firstLineChars="100"/>
        <w:rPr>
          <w:rFonts w:ascii="仿宋" w:hAnsi="仿宋" w:eastAsia="仿宋"/>
          <w:color w:val="auto"/>
          <w:sz w:val="24"/>
          <w:highlight w:val="none"/>
        </w:rPr>
      </w:pPr>
      <w:r>
        <w:rPr>
          <w:rFonts w:hint="eastAsia" w:ascii="仿宋" w:hAnsi="仿宋" w:eastAsia="仿宋"/>
          <w:color w:val="auto"/>
          <w:sz w:val="24"/>
          <w:highlight w:val="none"/>
        </w:rPr>
        <w:t>（签字）                                   （签字）</w:t>
      </w:r>
    </w:p>
    <w:p w14:paraId="4C6C0685">
      <w:pPr>
        <w:spacing w:line="360" w:lineRule="auto"/>
        <w:ind w:firstLine="240" w:firstLineChars="100"/>
        <w:rPr>
          <w:rFonts w:hint="eastAsia" w:ascii="仿宋" w:hAnsi="仿宋" w:eastAsia="仿宋"/>
          <w:color w:val="auto"/>
          <w:sz w:val="24"/>
          <w:highlight w:val="none"/>
        </w:rPr>
      </w:pPr>
      <w:r>
        <w:rPr>
          <w:rFonts w:hint="eastAsia" w:ascii="仿宋" w:hAnsi="仿宋" w:eastAsia="仿宋"/>
          <w:color w:val="auto"/>
          <w:sz w:val="24"/>
          <w:highlight w:val="none"/>
        </w:rPr>
        <w:t>签约时间：  年  月  日                     签约时间：  年  月  日</w:t>
      </w:r>
    </w:p>
    <w:p w14:paraId="39D1A180">
      <w:pPr>
        <w:pStyle w:val="17"/>
        <w:rPr>
          <w:rFonts w:hint="eastAsia" w:ascii="仿宋" w:hAnsi="仿宋" w:eastAsia="仿宋"/>
          <w:color w:val="auto"/>
          <w:sz w:val="24"/>
          <w:highlight w:val="none"/>
        </w:rPr>
      </w:pPr>
    </w:p>
    <w:p w14:paraId="4ED47ECD">
      <w:pPr>
        <w:pStyle w:val="16"/>
        <w:ind w:firstLine="0" w:firstLineChars="0"/>
        <w:rPr>
          <w:rFonts w:hint="eastAsia" w:ascii="仿宋" w:hAnsi="仿宋" w:eastAsia="仿宋"/>
          <w:color w:val="auto"/>
          <w:sz w:val="24"/>
          <w:highlight w:val="none"/>
          <w:lang w:val="en-US" w:eastAsia="zh-CN"/>
        </w:rPr>
        <w:sectPr>
          <w:headerReference r:id="rId3" w:type="default"/>
          <w:footerReference r:id="rId4" w:type="default"/>
          <w:pgSz w:w="11906" w:h="16838"/>
          <w:pgMar w:top="850" w:right="1588" w:bottom="850" w:left="1588" w:header="851" w:footer="992" w:gutter="0"/>
          <w:pgNumType w:start="1"/>
          <w:cols w:space="720" w:num="1"/>
          <w:docGrid w:type="lines" w:linePitch="312" w:charSpace="0"/>
        </w:sectPr>
      </w:pPr>
    </w:p>
    <w:p w14:paraId="221DDE71">
      <w:pPr>
        <w:pStyle w:val="12"/>
        <w:ind w:firstLine="0" w:firstLineChars="0"/>
        <w:jc w:val="both"/>
        <w:rPr>
          <w:rFonts w:hint="eastAsia"/>
          <w:lang w:val="en-US" w:eastAsia="zh-CN"/>
        </w:rPr>
      </w:pPr>
      <w:r>
        <w:rPr>
          <w:rFonts w:hint="eastAsia" w:ascii="仿宋" w:hAnsi="仿宋" w:eastAsia="仿宋" w:cs="仿宋"/>
          <w:b w:val="0"/>
          <w:bCs w:val="0"/>
          <w:color w:val="auto"/>
          <w:sz w:val="24"/>
          <w:szCs w:val="24"/>
          <w:highlight w:val="none"/>
          <w:lang w:val="en-US" w:eastAsia="zh-CN"/>
        </w:rPr>
        <w:t xml:space="preserve">附件1 </w:t>
      </w:r>
    </w:p>
    <w:p w14:paraId="4C217FA9">
      <w:pPr>
        <w:pStyle w:val="12"/>
        <w:ind w:firstLine="0" w:firstLineChars="0"/>
        <w:jc w:val="both"/>
        <w:rPr>
          <w:rFonts w:hint="eastAsia"/>
          <w:lang w:val="en-US" w:eastAsia="zh-CN"/>
        </w:rPr>
      </w:pPr>
    </w:p>
    <w:p w14:paraId="14E248EF">
      <w:pPr>
        <w:pStyle w:val="12"/>
        <w:ind w:left="0" w:leftChars="0" w:firstLine="3654" w:firstLineChars="1300"/>
        <w:jc w:val="both"/>
        <w:rPr>
          <w:rFonts w:ascii="仿宋" w:hAnsi="仿宋" w:eastAsia="仿宋"/>
          <w:b/>
          <w:color w:val="auto"/>
          <w:highlight w:val="none"/>
        </w:rPr>
      </w:pPr>
      <w:r>
        <w:rPr>
          <w:rFonts w:hint="eastAsia" w:ascii="仿宋" w:hAnsi="仿宋" w:eastAsia="仿宋"/>
          <w:b/>
          <w:color w:val="auto"/>
          <w:highlight w:val="none"/>
        </w:rPr>
        <w:t>房屋位置图</w:t>
      </w:r>
    </w:p>
    <w:p w14:paraId="1A2B4A61">
      <w:pPr>
        <w:spacing w:line="440" w:lineRule="exact"/>
        <w:rPr>
          <w:rFonts w:hint="default" w:ascii="仿宋" w:hAnsi="仿宋" w:eastAsia="仿宋"/>
          <w:color w:val="auto"/>
          <w:highlight w:val="none"/>
          <w:lang w:val="en-US" w:eastAsia="zh-CN"/>
        </w:rPr>
      </w:pPr>
      <w:r>
        <w:rPr>
          <w:rFonts w:hint="eastAsia" w:ascii="仿宋" w:hAnsi="仿宋" w:eastAsia="仿宋"/>
          <w:color w:val="auto"/>
          <w:highlight w:val="none"/>
        </w:rPr>
        <w:t>项目名称：</w:t>
      </w:r>
      <w:r>
        <w:rPr>
          <w:rFonts w:hint="eastAsia" w:ascii="仿宋" w:hAnsi="仿宋" w:eastAsia="仿宋"/>
          <w:color w:val="auto"/>
          <w:highlight w:val="none"/>
          <w:lang w:val="en-US" w:eastAsia="zh-CN"/>
        </w:rPr>
        <w:t>杭钢物资大楼</w:t>
      </w:r>
    </w:p>
    <w:p w14:paraId="4F584056">
      <w:pPr>
        <w:spacing w:line="440" w:lineRule="exact"/>
        <w:rPr>
          <w:rFonts w:hint="default" w:ascii="仿宋" w:hAnsi="仿宋" w:eastAsia="仿宋"/>
          <w:color w:val="auto"/>
          <w:highlight w:val="none"/>
          <w:lang w:val="en-US" w:eastAsia="zh-CN"/>
        </w:rPr>
      </w:pPr>
      <w:r>
        <w:rPr>
          <w:rFonts w:hint="eastAsia" w:ascii="仿宋" w:hAnsi="仿宋" w:eastAsia="仿宋"/>
          <w:color w:val="auto"/>
          <w:highlight w:val="none"/>
          <w:lang w:val="en-US" w:eastAsia="zh-CN"/>
        </w:rPr>
        <w:t>房屋</w:t>
      </w:r>
      <w:r>
        <w:rPr>
          <w:rFonts w:hint="eastAsia" w:ascii="仿宋" w:hAnsi="仿宋" w:eastAsia="仿宋"/>
          <w:color w:val="auto"/>
          <w:highlight w:val="none"/>
        </w:rPr>
        <w:t>号</w:t>
      </w:r>
      <w:r>
        <w:rPr>
          <w:rFonts w:hint="eastAsia" w:ascii="仿宋" w:hAnsi="仿宋" w:eastAsia="仿宋"/>
          <w:color w:val="auto"/>
          <w:highlight w:val="none"/>
          <w:lang w:eastAsia="zh-CN"/>
        </w:rPr>
        <w:t>：</w:t>
      </w:r>
      <w:r>
        <w:rPr>
          <w:rFonts w:hint="eastAsia" w:ascii="仿宋" w:hAnsi="仿宋" w:eastAsia="仿宋"/>
          <w:color w:val="auto"/>
          <w:highlight w:val="none"/>
          <w:u w:val="single"/>
          <w:lang w:val="en-US" w:eastAsia="zh-CN"/>
        </w:rPr>
        <w:t>杭州市拱墅区金昌路1号杭钢物资大楼3幢</w:t>
      </w:r>
    </w:p>
    <w:p w14:paraId="678A9DC9">
      <w:pPr>
        <w:spacing w:line="440" w:lineRule="exact"/>
        <w:rPr>
          <w:rFonts w:hint="eastAsia" w:ascii="仿宋" w:hAnsi="仿宋" w:eastAsia="仿宋"/>
          <w:color w:val="auto"/>
          <w:highlight w:val="none"/>
          <w:lang w:val="en-US" w:eastAsia="zh-CN"/>
        </w:rPr>
      </w:pPr>
      <w:r>
        <w:rPr>
          <w:rFonts w:ascii="仿宋" w:hAnsi="仿宋" w:eastAsia="仿宋"/>
          <w:color w:val="auto"/>
          <w:highlight w:val="none"/>
        </w:rPr>
        <w:t>面积：</w:t>
      </w:r>
      <w:r>
        <w:rPr>
          <w:rFonts w:hint="eastAsia" w:ascii="仿宋" w:hAnsi="仿宋" w:eastAsia="仿宋"/>
          <w:color w:val="auto"/>
          <w:highlight w:val="none"/>
          <w:lang w:val="en-US" w:eastAsia="zh-CN"/>
        </w:rPr>
        <w:t>7726平方米</w:t>
      </w:r>
    </w:p>
    <w:p w14:paraId="763114AC"/>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3815"/>
        <w:gridCol w:w="3514"/>
      </w:tblGrid>
      <w:tr w14:paraId="2B09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Align w:val="center"/>
          </w:tcPr>
          <w:p w14:paraId="1C0FDD33">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楼</w:t>
            </w:r>
          </w:p>
        </w:tc>
        <w:tc>
          <w:tcPr>
            <w:tcW w:w="2132" w:type="pct"/>
            <w:vAlign w:val="center"/>
          </w:tcPr>
          <w:p w14:paraId="28577BB7">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门牌号</w:t>
            </w:r>
          </w:p>
        </w:tc>
        <w:tc>
          <w:tcPr>
            <w:tcW w:w="1964" w:type="pct"/>
            <w:vAlign w:val="center"/>
          </w:tcPr>
          <w:p w14:paraId="4F559C42">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面积（㎡）</w:t>
            </w:r>
          </w:p>
        </w:tc>
      </w:tr>
      <w:tr w14:paraId="1B06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Merge w:val="restart"/>
            <w:vAlign w:val="center"/>
          </w:tcPr>
          <w:p w14:paraId="09A5DC55">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西楼</w:t>
            </w:r>
          </w:p>
        </w:tc>
        <w:tc>
          <w:tcPr>
            <w:tcW w:w="2132" w:type="pct"/>
            <w:vAlign w:val="center"/>
          </w:tcPr>
          <w:p w14:paraId="7AF67B3F">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3幢1楼部分</w:t>
            </w:r>
          </w:p>
        </w:tc>
        <w:tc>
          <w:tcPr>
            <w:tcW w:w="1964" w:type="pct"/>
            <w:vAlign w:val="center"/>
          </w:tcPr>
          <w:p w14:paraId="70A02CD3">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850</w:t>
            </w:r>
          </w:p>
        </w:tc>
      </w:tr>
      <w:tr w14:paraId="051F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Merge w:val="continue"/>
            <w:vAlign w:val="center"/>
          </w:tcPr>
          <w:p w14:paraId="51FE4CAA">
            <w:pPr>
              <w:spacing w:line="440" w:lineRule="exact"/>
              <w:jc w:val="center"/>
              <w:rPr>
                <w:rFonts w:hint="eastAsia" w:ascii="仿宋" w:hAnsi="仿宋" w:eastAsia="仿宋" w:cs="Times New Roman"/>
                <w:color w:val="auto"/>
                <w:sz w:val="21"/>
                <w:szCs w:val="24"/>
                <w:highlight w:val="none"/>
                <w:u w:val="single"/>
              </w:rPr>
            </w:pPr>
          </w:p>
        </w:tc>
        <w:tc>
          <w:tcPr>
            <w:tcW w:w="2132" w:type="pct"/>
            <w:vAlign w:val="center"/>
          </w:tcPr>
          <w:p w14:paraId="3BD1E7CD">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3幢2楼</w:t>
            </w:r>
          </w:p>
        </w:tc>
        <w:tc>
          <w:tcPr>
            <w:tcW w:w="1964" w:type="pct"/>
            <w:vAlign w:val="center"/>
          </w:tcPr>
          <w:p w14:paraId="3C71FE9D">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2292</w:t>
            </w:r>
          </w:p>
        </w:tc>
      </w:tr>
      <w:tr w14:paraId="7BD3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Merge w:val="continue"/>
            <w:vAlign w:val="center"/>
          </w:tcPr>
          <w:p w14:paraId="1D8F3AA0">
            <w:pPr>
              <w:spacing w:line="440" w:lineRule="exact"/>
              <w:jc w:val="center"/>
              <w:rPr>
                <w:rFonts w:hint="eastAsia" w:ascii="仿宋" w:hAnsi="仿宋" w:eastAsia="仿宋" w:cs="Times New Roman"/>
                <w:color w:val="auto"/>
                <w:sz w:val="21"/>
                <w:szCs w:val="24"/>
                <w:highlight w:val="none"/>
                <w:u w:val="single"/>
              </w:rPr>
            </w:pPr>
          </w:p>
        </w:tc>
        <w:tc>
          <w:tcPr>
            <w:tcW w:w="2132" w:type="pct"/>
            <w:vAlign w:val="center"/>
          </w:tcPr>
          <w:p w14:paraId="7062BD43">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3幢3楼</w:t>
            </w:r>
          </w:p>
        </w:tc>
        <w:tc>
          <w:tcPr>
            <w:tcW w:w="1964" w:type="pct"/>
            <w:vAlign w:val="center"/>
          </w:tcPr>
          <w:p w14:paraId="3917A2FD">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2292</w:t>
            </w:r>
          </w:p>
        </w:tc>
      </w:tr>
      <w:tr w14:paraId="2B75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Merge w:val="continue"/>
            <w:vAlign w:val="center"/>
          </w:tcPr>
          <w:p w14:paraId="7D6D86B1">
            <w:pPr>
              <w:spacing w:line="440" w:lineRule="exact"/>
              <w:jc w:val="center"/>
              <w:rPr>
                <w:rFonts w:hint="eastAsia" w:ascii="仿宋" w:hAnsi="仿宋" w:eastAsia="仿宋" w:cs="Times New Roman"/>
                <w:color w:val="auto"/>
                <w:sz w:val="21"/>
                <w:szCs w:val="24"/>
                <w:highlight w:val="none"/>
                <w:u w:val="single"/>
              </w:rPr>
            </w:pPr>
          </w:p>
        </w:tc>
        <w:tc>
          <w:tcPr>
            <w:tcW w:w="2132" w:type="pct"/>
            <w:vAlign w:val="center"/>
          </w:tcPr>
          <w:p w14:paraId="62C36E89">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3幢4楼</w:t>
            </w:r>
          </w:p>
        </w:tc>
        <w:tc>
          <w:tcPr>
            <w:tcW w:w="1964" w:type="pct"/>
            <w:vAlign w:val="center"/>
          </w:tcPr>
          <w:p w14:paraId="205BC709">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2292</w:t>
            </w:r>
          </w:p>
        </w:tc>
      </w:tr>
      <w:tr w14:paraId="76F3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5" w:type="pct"/>
            <w:gridSpan w:val="2"/>
            <w:vAlign w:val="center"/>
          </w:tcPr>
          <w:p w14:paraId="5AB46AD0">
            <w:pPr>
              <w:spacing w:line="440" w:lineRule="exact"/>
              <w:jc w:val="center"/>
              <w:rPr>
                <w:rFonts w:hint="eastAsia" w:ascii="仿宋" w:hAnsi="仿宋" w:eastAsia="仿宋" w:cs="Times New Roman"/>
                <w:color w:val="auto"/>
                <w:sz w:val="21"/>
                <w:szCs w:val="24"/>
                <w:highlight w:val="none"/>
                <w:u w:val="single"/>
              </w:rPr>
            </w:pPr>
          </w:p>
        </w:tc>
        <w:tc>
          <w:tcPr>
            <w:tcW w:w="1964" w:type="pct"/>
            <w:vAlign w:val="center"/>
          </w:tcPr>
          <w:p w14:paraId="654D15E0">
            <w:pPr>
              <w:spacing w:line="440" w:lineRule="exact"/>
              <w:jc w:val="center"/>
              <w:rPr>
                <w:rFonts w:hint="eastAsia" w:ascii="仿宋" w:hAnsi="仿宋" w:eastAsia="仿宋" w:cs="Times New Roman"/>
                <w:color w:val="auto"/>
                <w:sz w:val="21"/>
                <w:szCs w:val="24"/>
                <w:highlight w:val="none"/>
                <w:u w:val="single"/>
              </w:rPr>
            </w:pPr>
            <w:r>
              <w:rPr>
                <w:rFonts w:hint="eastAsia" w:ascii="仿宋" w:hAnsi="仿宋" w:eastAsia="仿宋" w:cs="Times New Roman"/>
                <w:color w:val="auto"/>
                <w:sz w:val="21"/>
                <w:szCs w:val="24"/>
                <w:highlight w:val="none"/>
                <w:u w:val="single"/>
              </w:rPr>
              <w:t>7726</w:t>
            </w:r>
          </w:p>
        </w:tc>
      </w:tr>
    </w:tbl>
    <w:p w14:paraId="439DA578">
      <w:r>
        <w:br w:type="page"/>
      </w:r>
    </w:p>
    <w:p w14:paraId="296444A9"/>
    <w:p w14:paraId="0C2A146C">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附件</w:t>
      </w:r>
      <w:r>
        <w:rPr>
          <w:rFonts w:hint="eastAsia" w:ascii="仿宋" w:hAnsi="仿宋" w:eastAsia="仿宋" w:cs="仿宋"/>
          <w:b/>
          <w:bCs/>
          <w:color w:val="auto"/>
          <w:szCs w:val="21"/>
          <w:highlight w:val="none"/>
          <w:lang w:val="en-US" w:eastAsia="zh-CN"/>
        </w:rPr>
        <w:t>2</w:t>
      </w:r>
    </w:p>
    <w:p w14:paraId="0449C798">
      <w:pPr>
        <w:jc w:val="center"/>
        <w:rPr>
          <w:rFonts w:hint="eastAsia" w:ascii="仿宋" w:hAnsi="仿宋" w:eastAsia="仿宋" w:cs="仿宋"/>
          <w:b/>
          <w:bCs/>
          <w:color w:val="auto"/>
          <w:sz w:val="28"/>
          <w:szCs w:val="21"/>
          <w:highlight w:val="none"/>
        </w:rPr>
      </w:pPr>
      <w:r>
        <w:rPr>
          <w:rFonts w:hint="eastAsia" w:ascii="仿宋" w:hAnsi="仿宋" w:eastAsia="仿宋" w:cs="仿宋"/>
          <w:b/>
          <w:bCs/>
          <w:color w:val="auto"/>
          <w:sz w:val="28"/>
          <w:szCs w:val="21"/>
          <w:highlight w:val="none"/>
        </w:rPr>
        <w:t>物业移交单</w:t>
      </w:r>
    </w:p>
    <w:p w14:paraId="59EEC03B">
      <w:pPr>
        <w:spacing w:line="480" w:lineRule="auto"/>
        <w:rPr>
          <w:rFonts w:hint="eastAsia" w:ascii="仿宋" w:hAnsi="仿宋" w:eastAsia="仿宋" w:cs="仿宋"/>
          <w:b/>
          <w:bCs/>
          <w:color w:val="auto"/>
          <w:szCs w:val="21"/>
          <w:highlight w:val="none"/>
          <w:u w:val="single"/>
        </w:rPr>
      </w:pPr>
      <w:r>
        <w:rPr>
          <w:rFonts w:hint="eastAsia" w:ascii="仿宋" w:hAnsi="仿宋" w:eastAsia="仿宋" w:cs="仿宋"/>
          <w:b/>
          <w:bCs/>
          <w:color w:val="auto"/>
          <w:szCs w:val="21"/>
          <w:highlight w:val="none"/>
          <w:lang w:val="en-US" w:eastAsia="zh-CN"/>
        </w:rPr>
        <w:t>乙方</w:t>
      </w:r>
      <w:r>
        <w:rPr>
          <w:rFonts w:hint="eastAsia" w:ascii="仿宋" w:hAnsi="仿宋" w:eastAsia="仿宋" w:cs="仿宋"/>
          <w:b/>
          <w:bCs/>
          <w:color w:val="auto"/>
          <w:szCs w:val="21"/>
          <w:highlight w:val="none"/>
        </w:rPr>
        <w:t>名称：</w:t>
      </w:r>
      <w:r>
        <w:rPr>
          <w:rFonts w:hint="eastAsia" w:ascii="仿宋" w:hAnsi="仿宋" w:eastAsia="仿宋" w:cs="仿宋"/>
          <w:b w:val="0"/>
          <w:bCs/>
          <w:color w:val="auto"/>
          <w:szCs w:val="21"/>
          <w:highlight w:val="none"/>
          <w:u w:val="single"/>
          <w:lang w:val="en-US" w:eastAsia="zh-CN"/>
        </w:rPr>
        <w:t xml:space="preserve">  </w:t>
      </w:r>
      <w:r>
        <w:rPr>
          <w:rFonts w:hint="eastAsia" w:ascii="仿宋" w:hAnsi="仿宋" w:eastAsia="仿宋" w:cs="仿宋"/>
          <w:b w:val="0"/>
          <w:bCs w:val="0"/>
          <w:color w:val="auto"/>
          <w:szCs w:val="21"/>
          <w:highlight w:val="none"/>
          <w:u w:val="single"/>
          <w:lang w:val="en-US" w:eastAsia="zh-CN"/>
        </w:rPr>
        <w:t xml:space="preserve">             </w:t>
      </w:r>
      <w:r>
        <w:rPr>
          <w:rFonts w:hint="eastAsia" w:ascii="仿宋" w:hAnsi="仿宋" w:eastAsia="仿宋" w:cs="仿宋"/>
          <w:b/>
          <w:bCs/>
          <w:color w:val="auto"/>
          <w:szCs w:val="21"/>
          <w:highlight w:val="none"/>
          <w:u w:val="single"/>
          <w:lang w:val="en-US" w:eastAsia="zh-CN"/>
        </w:rPr>
        <w:t xml:space="preserve"> </w:t>
      </w:r>
      <w:r>
        <w:rPr>
          <w:rFonts w:hint="eastAsia" w:ascii="仿宋" w:hAnsi="仿宋" w:eastAsia="仿宋" w:cs="仿宋"/>
          <w:b/>
          <w:bCs/>
          <w:color w:val="auto"/>
          <w:szCs w:val="21"/>
          <w:highlight w:val="none"/>
          <w:u w:val="single"/>
        </w:rPr>
        <w:t xml:space="preserve"> </w:t>
      </w:r>
    </w:p>
    <w:p w14:paraId="2893C22E">
      <w:pPr>
        <w:spacing w:line="480" w:lineRule="auto"/>
        <w:rPr>
          <w:rFonts w:hint="eastAsia" w:ascii="仿宋" w:hAnsi="仿宋" w:eastAsia="仿宋" w:cs="仿宋"/>
          <w:b/>
          <w:bCs/>
          <w:color w:val="auto"/>
          <w:szCs w:val="21"/>
          <w:highlight w:val="none"/>
          <w:u w:val="single"/>
        </w:rPr>
      </w:pPr>
      <w:r>
        <w:rPr>
          <w:rFonts w:hint="eastAsia" w:ascii="仿宋" w:hAnsi="仿宋" w:eastAsia="仿宋" w:cs="仿宋"/>
          <w:b/>
          <w:bCs/>
          <w:color w:val="auto"/>
          <w:szCs w:val="21"/>
          <w:highlight w:val="none"/>
          <w:lang w:val="en-US" w:eastAsia="zh-CN"/>
        </w:rPr>
        <w:t>物业地址</w:t>
      </w:r>
      <w:r>
        <w:rPr>
          <w:rFonts w:hint="eastAsia" w:ascii="仿宋" w:hAnsi="仿宋" w:eastAsia="仿宋" w:cs="仿宋"/>
          <w:b/>
          <w:bCs/>
          <w:color w:val="auto"/>
          <w:szCs w:val="21"/>
          <w:highlight w:val="none"/>
        </w:rPr>
        <w:t>：</w:t>
      </w:r>
      <w:r>
        <w:rPr>
          <w:rFonts w:hint="eastAsia" w:ascii="仿宋" w:hAnsi="仿宋" w:eastAsia="仿宋" w:cs="仿宋"/>
          <w:b w:val="0"/>
          <w:bCs w:val="0"/>
          <w:color w:val="auto"/>
          <w:szCs w:val="21"/>
          <w:highlight w:val="none"/>
          <w:u w:val="single"/>
          <w:lang w:val="en-US" w:eastAsia="zh-CN"/>
        </w:rPr>
        <w:t>杭州市拱墅区金昌路1号杭钢物资大楼</w:t>
      </w:r>
      <w:r>
        <w:rPr>
          <w:rFonts w:hint="eastAsia" w:ascii="仿宋" w:hAnsi="仿宋" w:eastAsia="仿宋" w:cs="仿宋"/>
          <w:b/>
          <w:bCs/>
          <w:color w:val="auto"/>
          <w:szCs w:val="21"/>
          <w:highlight w:val="none"/>
          <w:u w:val="single"/>
        </w:rPr>
        <w:t xml:space="preserve">                      </w:t>
      </w:r>
    </w:p>
    <w:p w14:paraId="73059A83">
      <w:pPr>
        <w:spacing w:line="480" w:lineRule="auto"/>
        <w:rPr>
          <w:rFonts w:hint="eastAsia" w:ascii="仿宋" w:hAnsi="仿宋" w:eastAsia="仿宋" w:cs="仿宋"/>
          <w:b/>
          <w:bCs/>
          <w:color w:val="auto"/>
          <w:szCs w:val="21"/>
          <w:highlight w:val="none"/>
          <w:u w:val="single"/>
        </w:rPr>
      </w:pPr>
      <w:r>
        <w:rPr>
          <w:rFonts w:hint="eastAsia" w:ascii="仿宋" w:hAnsi="仿宋" w:eastAsia="仿宋" w:cs="仿宋"/>
          <w:b/>
          <w:bCs/>
          <w:color w:val="auto"/>
          <w:szCs w:val="21"/>
          <w:highlight w:val="none"/>
        </w:rPr>
        <w:t>物业面积：</w:t>
      </w:r>
      <w:r>
        <w:rPr>
          <w:rFonts w:hint="eastAsia" w:ascii="仿宋" w:hAnsi="仿宋" w:eastAsia="仿宋" w:cs="仿宋"/>
          <w:b/>
          <w:bCs/>
          <w:color w:val="auto"/>
          <w:szCs w:val="21"/>
          <w:highlight w:val="none"/>
          <w:u w:val="single"/>
        </w:rPr>
        <w:t xml:space="preserve">  </w:t>
      </w:r>
      <w:r>
        <w:rPr>
          <w:rFonts w:hint="eastAsia" w:ascii="仿宋" w:hAnsi="仿宋" w:eastAsia="仿宋" w:cs="仿宋"/>
          <w:b/>
          <w:bCs/>
          <w:color w:val="auto"/>
          <w:szCs w:val="21"/>
          <w:highlight w:val="none"/>
          <w:u w:val="single"/>
          <w:lang w:val="en-US" w:eastAsia="zh-CN"/>
        </w:rPr>
        <w:t>7726</w:t>
      </w:r>
      <w:r>
        <w:rPr>
          <w:rFonts w:hint="eastAsia" w:ascii="仿宋" w:hAnsi="仿宋" w:eastAsia="仿宋" w:cs="仿宋"/>
          <w:b w:val="0"/>
          <w:bCs w:val="0"/>
          <w:color w:val="auto"/>
          <w:szCs w:val="21"/>
          <w:highlight w:val="none"/>
          <w:u w:val="single"/>
        </w:rPr>
        <w:t xml:space="preserve"> </w:t>
      </w:r>
      <w:r>
        <w:rPr>
          <w:rFonts w:hint="eastAsia" w:ascii="仿宋" w:hAnsi="仿宋" w:eastAsia="仿宋" w:cs="仿宋"/>
          <w:b w:val="0"/>
          <w:bCs w:val="0"/>
          <w:color w:val="auto"/>
          <w:szCs w:val="21"/>
          <w:highlight w:val="none"/>
          <w:u w:val="single"/>
          <w:lang w:val="en-US" w:eastAsia="zh-CN"/>
        </w:rPr>
        <w:t>平方米</w:t>
      </w:r>
      <w:r>
        <w:rPr>
          <w:rFonts w:hint="eastAsia" w:ascii="仿宋" w:hAnsi="仿宋" w:eastAsia="仿宋" w:cs="仿宋"/>
          <w:b/>
          <w:bCs/>
          <w:color w:val="auto"/>
          <w:szCs w:val="21"/>
          <w:highlight w:val="none"/>
          <w:u w:val="single"/>
        </w:rPr>
        <w:t xml:space="preserve">             </w:t>
      </w:r>
      <w:r>
        <w:rPr>
          <w:rFonts w:hint="eastAsia" w:ascii="仿宋" w:hAnsi="仿宋" w:eastAsia="仿宋" w:cs="仿宋"/>
          <w:b/>
          <w:bCs/>
          <w:color w:val="auto"/>
          <w:szCs w:val="21"/>
          <w:highlight w:val="none"/>
        </w:rPr>
        <w:t>移交日期：</w:t>
      </w:r>
      <w:r>
        <w:rPr>
          <w:rFonts w:hint="eastAsia" w:ascii="仿宋" w:hAnsi="仿宋" w:eastAsia="仿宋" w:cs="仿宋"/>
          <w:b/>
          <w:bCs/>
          <w:color w:val="auto"/>
          <w:szCs w:val="21"/>
          <w:highlight w:val="none"/>
          <w:u w:val="single"/>
        </w:rPr>
        <w:t xml:space="preserve">      年  月  日</w:t>
      </w:r>
    </w:p>
    <w:tbl>
      <w:tblPr>
        <w:tblStyle w:val="13"/>
        <w:tblW w:w="0" w:type="auto"/>
        <w:tblInd w:w="-176" w:type="dxa"/>
        <w:tblLayout w:type="fixed"/>
        <w:tblCellMar>
          <w:top w:w="0" w:type="dxa"/>
          <w:left w:w="108" w:type="dxa"/>
          <w:bottom w:w="0" w:type="dxa"/>
          <w:right w:w="108" w:type="dxa"/>
        </w:tblCellMar>
      </w:tblPr>
      <w:tblGrid>
        <w:gridCol w:w="716"/>
        <w:gridCol w:w="3537"/>
        <w:gridCol w:w="2255"/>
        <w:gridCol w:w="2059"/>
      </w:tblGrid>
      <w:tr w14:paraId="44DB9D28">
        <w:tblPrEx>
          <w:tblCellMar>
            <w:top w:w="0" w:type="dxa"/>
            <w:left w:w="108" w:type="dxa"/>
            <w:bottom w:w="0" w:type="dxa"/>
            <w:right w:w="108" w:type="dxa"/>
          </w:tblCellMar>
        </w:tblPrEx>
        <w:trPr>
          <w:trHeight w:val="469" w:hRule="atLeast"/>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A763AB">
            <w:pPr>
              <w:spacing w:line="264" w:lineRule="auto"/>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类别</w:t>
            </w:r>
          </w:p>
        </w:tc>
        <w:tc>
          <w:tcPr>
            <w:tcW w:w="3537" w:type="dxa"/>
            <w:tcBorders>
              <w:top w:val="single" w:color="000000" w:sz="4" w:space="0"/>
              <w:left w:val="nil"/>
              <w:bottom w:val="single" w:color="auto" w:sz="4" w:space="0"/>
              <w:right w:val="single" w:color="000000" w:sz="4" w:space="0"/>
            </w:tcBorders>
            <w:noWrap w:val="0"/>
            <w:vAlign w:val="center"/>
          </w:tcPr>
          <w:p w14:paraId="5B27D982">
            <w:pPr>
              <w:spacing w:line="264" w:lineRule="auto"/>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检验项目</w:t>
            </w:r>
          </w:p>
        </w:tc>
        <w:tc>
          <w:tcPr>
            <w:tcW w:w="2255" w:type="dxa"/>
            <w:tcBorders>
              <w:top w:val="single" w:color="000000" w:sz="4" w:space="0"/>
              <w:left w:val="nil"/>
              <w:bottom w:val="single" w:color="auto" w:sz="4" w:space="0"/>
              <w:right w:val="single" w:color="000000" w:sz="4" w:space="0"/>
            </w:tcBorders>
            <w:noWrap w:val="0"/>
            <w:vAlign w:val="center"/>
          </w:tcPr>
          <w:p w14:paraId="715AAF80">
            <w:pPr>
              <w:spacing w:line="264" w:lineRule="auto"/>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移交情况</w:t>
            </w:r>
          </w:p>
        </w:tc>
        <w:tc>
          <w:tcPr>
            <w:tcW w:w="2059" w:type="dxa"/>
            <w:tcBorders>
              <w:top w:val="single" w:color="000000" w:sz="4" w:space="0"/>
              <w:bottom w:val="single" w:color="000000" w:sz="4" w:space="0"/>
              <w:right w:val="single" w:color="000000" w:sz="4" w:space="0"/>
            </w:tcBorders>
            <w:noWrap w:val="0"/>
            <w:vAlign w:val="center"/>
          </w:tcPr>
          <w:p w14:paraId="4EF19204">
            <w:pPr>
              <w:spacing w:line="264" w:lineRule="auto"/>
              <w:jc w:val="center"/>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备注</w:t>
            </w:r>
          </w:p>
        </w:tc>
      </w:tr>
      <w:tr w14:paraId="78E9C3A0">
        <w:tblPrEx>
          <w:tblCellMar>
            <w:top w:w="0" w:type="dxa"/>
            <w:left w:w="108" w:type="dxa"/>
            <w:bottom w:w="0" w:type="dxa"/>
            <w:right w:w="108" w:type="dxa"/>
          </w:tblCellMar>
        </w:tblPrEx>
        <w:trPr>
          <w:trHeight w:val="342" w:hRule="atLeast"/>
        </w:trPr>
        <w:tc>
          <w:tcPr>
            <w:tcW w:w="716" w:type="dxa"/>
            <w:vMerge w:val="restart"/>
            <w:tcBorders>
              <w:top w:val="nil"/>
              <w:left w:val="single" w:color="000000" w:sz="4" w:space="0"/>
              <w:right w:val="single" w:color="auto" w:sz="4" w:space="0"/>
            </w:tcBorders>
            <w:noWrap w:val="0"/>
            <w:vAlign w:val="center"/>
          </w:tcPr>
          <w:p w14:paraId="65542A8F">
            <w:pPr>
              <w:spacing w:line="264"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土      建</w:t>
            </w:r>
          </w:p>
        </w:tc>
        <w:tc>
          <w:tcPr>
            <w:tcW w:w="3537" w:type="dxa"/>
            <w:tcBorders>
              <w:top w:val="single" w:color="auto" w:sz="4" w:space="0"/>
              <w:left w:val="single" w:color="auto" w:sz="4" w:space="0"/>
              <w:bottom w:val="single" w:color="auto" w:sz="4" w:space="0"/>
              <w:right w:val="single" w:color="auto" w:sz="4" w:space="0"/>
            </w:tcBorders>
            <w:noWrap w:val="0"/>
            <w:vAlign w:val="center"/>
          </w:tcPr>
          <w:p w14:paraId="7F7C8F0F">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1.外墙、幕墙</w:t>
            </w:r>
          </w:p>
        </w:tc>
        <w:tc>
          <w:tcPr>
            <w:tcW w:w="2255" w:type="dxa"/>
            <w:vMerge w:val="restart"/>
            <w:tcBorders>
              <w:top w:val="single" w:color="auto" w:sz="4" w:space="0"/>
              <w:left w:val="single" w:color="auto" w:sz="4" w:space="0"/>
              <w:bottom w:val="single" w:color="auto" w:sz="4" w:space="0"/>
              <w:right w:val="single" w:color="auto" w:sz="4" w:space="0"/>
            </w:tcBorders>
            <w:noWrap w:val="0"/>
            <w:vAlign w:val="center"/>
          </w:tcPr>
          <w:p w14:paraId="4CCF73D4">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422C84CB">
            <w:pPr>
              <w:spacing w:line="264" w:lineRule="auto"/>
              <w:jc w:val="center"/>
              <w:rPr>
                <w:rFonts w:hint="eastAsia" w:ascii="仿宋" w:hAnsi="仿宋" w:eastAsia="仿宋" w:cs="仿宋"/>
                <w:color w:val="auto"/>
                <w:szCs w:val="21"/>
                <w:highlight w:val="none"/>
              </w:rPr>
            </w:pPr>
          </w:p>
        </w:tc>
      </w:tr>
      <w:tr w14:paraId="1038825E">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auto" w:sz="4" w:space="0"/>
            </w:tcBorders>
            <w:noWrap w:val="0"/>
            <w:vAlign w:val="center"/>
          </w:tcPr>
          <w:p w14:paraId="7C0F7DF8">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06FB029B">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2.内墙、隔墙</w:t>
            </w:r>
          </w:p>
        </w:tc>
        <w:tc>
          <w:tcPr>
            <w:tcW w:w="2255" w:type="dxa"/>
            <w:vMerge w:val="continue"/>
            <w:tcBorders>
              <w:top w:val="single" w:color="auto" w:sz="4" w:space="0"/>
              <w:left w:val="single" w:color="auto" w:sz="4" w:space="0"/>
              <w:bottom w:val="single" w:color="auto" w:sz="4" w:space="0"/>
              <w:right w:val="single" w:color="auto" w:sz="4" w:space="0"/>
            </w:tcBorders>
            <w:noWrap w:val="0"/>
            <w:vAlign w:val="center"/>
          </w:tcPr>
          <w:p w14:paraId="6798265E">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17544F03">
            <w:pPr>
              <w:spacing w:line="264" w:lineRule="auto"/>
              <w:jc w:val="center"/>
              <w:rPr>
                <w:rFonts w:hint="eastAsia" w:ascii="仿宋" w:hAnsi="仿宋" w:eastAsia="仿宋" w:cs="仿宋"/>
                <w:color w:val="auto"/>
                <w:szCs w:val="21"/>
                <w:highlight w:val="none"/>
              </w:rPr>
            </w:pPr>
          </w:p>
        </w:tc>
      </w:tr>
      <w:tr w14:paraId="4FC0990D">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auto" w:sz="4" w:space="0"/>
            </w:tcBorders>
            <w:noWrap w:val="0"/>
            <w:vAlign w:val="center"/>
          </w:tcPr>
          <w:p w14:paraId="10ED80F8">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3F0D4AF4">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3.地面</w:t>
            </w:r>
          </w:p>
        </w:tc>
        <w:tc>
          <w:tcPr>
            <w:tcW w:w="2255" w:type="dxa"/>
            <w:vMerge w:val="continue"/>
            <w:tcBorders>
              <w:top w:val="single" w:color="auto" w:sz="4" w:space="0"/>
              <w:left w:val="single" w:color="auto" w:sz="4" w:space="0"/>
              <w:bottom w:val="single" w:color="auto" w:sz="4" w:space="0"/>
              <w:right w:val="single" w:color="auto" w:sz="4" w:space="0"/>
            </w:tcBorders>
            <w:noWrap w:val="0"/>
            <w:vAlign w:val="center"/>
          </w:tcPr>
          <w:p w14:paraId="6103C0EA">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215A97EE">
            <w:pPr>
              <w:spacing w:line="264" w:lineRule="auto"/>
              <w:jc w:val="center"/>
              <w:rPr>
                <w:rFonts w:hint="eastAsia" w:ascii="仿宋" w:hAnsi="仿宋" w:eastAsia="仿宋" w:cs="仿宋"/>
                <w:color w:val="auto"/>
                <w:szCs w:val="21"/>
                <w:highlight w:val="none"/>
              </w:rPr>
            </w:pPr>
          </w:p>
        </w:tc>
      </w:tr>
      <w:tr w14:paraId="6AF6A38D">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auto" w:sz="4" w:space="0"/>
            </w:tcBorders>
            <w:noWrap w:val="0"/>
            <w:vAlign w:val="center"/>
          </w:tcPr>
          <w:p w14:paraId="484FAB14">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31C4F1F9">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4.顶板</w:t>
            </w:r>
          </w:p>
        </w:tc>
        <w:tc>
          <w:tcPr>
            <w:tcW w:w="2255" w:type="dxa"/>
            <w:vMerge w:val="continue"/>
            <w:tcBorders>
              <w:top w:val="single" w:color="auto" w:sz="4" w:space="0"/>
              <w:left w:val="single" w:color="auto" w:sz="4" w:space="0"/>
              <w:bottom w:val="single" w:color="auto" w:sz="4" w:space="0"/>
              <w:right w:val="single" w:color="auto" w:sz="4" w:space="0"/>
            </w:tcBorders>
            <w:noWrap w:val="0"/>
            <w:vAlign w:val="center"/>
          </w:tcPr>
          <w:p w14:paraId="64396636">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4CCCF412">
            <w:pPr>
              <w:spacing w:line="264" w:lineRule="auto"/>
              <w:jc w:val="center"/>
              <w:rPr>
                <w:rFonts w:hint="eastAsia" w:ascii="仿宋" w:hAnsi="仿宋" w:eastAsia="仿宋" w:cs="仿宋"/>
                <w:color w:val="auto"/>
                <w:szCs w:val="21"/>
                <w:highlight w:val="none"/>
              </w:rPr>
            </w:pPr>
          </w:p>
        </w:tc>
      </w:tr>
      <w:tr w14:paraId="412778E3">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auto" w:sz="4" w:space="0"/>
            </w:tcBorders>
            <w:noWrap w:val="0"/>
            <w:vAlign w:val="center"/>
          </w:tcPr>
          <w:p w14:paraId="1657C1B7">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44C0AC98">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r>
              <w:rPr>
                <w:rFonts w:ascii="仿宋" w:hAnsi="仿宋" w:eastAsia="仿宋" w:cs="仿宋"/>
                <w:color w:val="auto"/>
                <w:szCs w:val="21"/>
                <w:highlight w:val="none"/>
              </w:rPr>
              <w:t>.商铺门面</w:t>
            </w:r>
          </w:p>
        </w:tc>
        <w:tc>
          <w:tcPr>
            <w:tcW w:w="2255" w:type="dxa"/>
            <w:vMerge w:val="continue"/>
            <w:tcBorders>
              <w:top w:val="single" w:color="auto" w:sz="4" w:space="0"/>
              <w:left w:val="single" w:color="auto" w:sz="4" w:space="0"/>
              <w:bottom w:val="single" w:color="auto" w:sz="4" w:space="0"/>
              <w:right w:val="single" w:color="auto" w:sz="4" w:space="0"/>
            </w:tcBorders>
            <w:noWrap w:val="0"/>
            <w:vAlign w:val="center"/>
          </w:tcPr>
          <w:p w14:paraId="11276AE5">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30BE441A">
            <w:pPr>
              <w:spacing w:line="264" w:lineRule="auto"/>
              <w:jc w:val="center"/>
              <w:rPr>
                <w:rFonts w:hint="eastAsia" w:ascii="仿宋" w:hAnsi="仿宋" w:eastAsia="仿宋" w:cs="仿宋"/>
                <w:color w:val="auto"/>
                <w:szCs w:val="21"/>
                <w:highlight w:val="none"/>
              </w:rPr>
            </w:pPr>
          </w:p>
        </w:tc>
      </w:tr>
      <w:tr w14:paraId="7CC83861">
        <w:tblPrEx>
          <w:tblCellMar>
            <w:top w:w="0" w:type="dxa"/>
            <w:left w:w="108" w:type="dxa"/>
            <w:bottom w:w="0" w:type="dxa"/>
            <w:right w:w="108" w:type="dxa"/>
          </w:tblCellMar>
        </w:tblPrEx>
        <w:trPr>
          <w:trHeight w:val="407" w:hRule="atLeast"/>
        </w:trPr>
        <w:tc>
          <w:tcPr>
            <w:tcW w:w="716" w:type="dxa"/>
            <w:vMerge w:val="continue"/>
            <w:tcBorders>
              <w:top w:val="nil"/>
              <w:left w:val="single" w:color="000000" w:sz="4" w:space="0"/>
              <w:bottom w:val="single" w:color="auto" w:sz="4" w:space="0"/>
              <w:right w:val="single" w:color="auto" w:sz="4" w:space="0"/>
            </w:tcBorders>
            <w:noWrap w:val="0"/>
            <w:vAlign w:val="center"/>
          </w:tcPr>
          <w:p w14:paraId="2B77929B">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77D3EE75">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6</w:t>
            </w:r>
            <w:r>
              <w:rPr>
                <w:rFonts w:hint="eastAsia" w:ascii="仿宋" w:hAnsi="仿宋" w:eastAsia="仿宋" w:cs="仿宋"/>
                <w:color w:val="auto"/>
                <w:szCs w:val="21"/>
                <w:highlight w:val="none"/>
              </w:rPr>
              <w:t>.其它</w:t>
            </w:r>
          </w:p>
        </w:tc>
        <w:tc>
          <w:tcPr>
            <w:tcW w:w="2255" w:type="dxa"/>
            <w:vMerge w:val="continue"/>
            <w:tcBorders>
              <w:top w:val="single" w:color="auto" w:sz="4" w:space="0"/>
              <w:left w:val="single" w:color="auto" w:sz="4" w:space="0"/>
              <w:bottom w:val="single" w:color="auto" w:sz="4" w:space="0"/>
              <w:right w:val="single" w:color="auto" w:sz="4" w:space="0"/>
            </w:tcBorders>
            <w:noWrap w:val="0"/>
            <w:vAlign w:val="center"/>
          </w:tcPr>
          <w:p w14:paraId="75DD8E2C">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59A59EB1">
            <w:pPr>
              <w:spacing w:line="264" w:lineRule="auto"/>
              <w:jc w:val="center"/>
              <w:rPr>
                <w:rFonts w:hint="eastAsia" w:ascii="仿宋" w:hAnsi="仿宋" w:eastAsia="仿宋" w:cs="仿宋"/>
                <w:color w:val="auto"/>
                <w:szCs w:val="21"/>
                <w:highlight w:val="none"/>
              </w:rPr>
            </w:pPr>
          </w:p>
        </w:tc>
      </w:tr>
      <w:tr w14:paraId="51C79143">
        <w:tblPrEx>
          <w:tblCellMar>
            <w:top w:w="0" w:type="dxa"/>
            <w:left w:w="108" w:type="dxa"/>
            <w:bottom w:w="0" w:type="dxa"/>
            <w:right w:w="108" w:type="dxa"/>
          </w:tblCellMar>
        </w:tblPrEx>
        <w:trPr>
          <w:trHeight w:val="342" w:hRule="atLeast"/>
        </w:trPr>
        <w:tc>
          <w:tcPr>
            <w:tcW w:w="716" w:type="dxa"/>
            <w:vMerge w:val="restart"/>
            <w:tcBorders>
              <w:top w:val="single" w:color="auto" w:sz="4" w:space="0"/>
              <w:left w:val="single" w:color="000000" w:sz="4" w:space="0"/>
              <w:right w:val="single" w:color="auto" w:sz="4" w:space="0"/>
            </w:tcBorders>
            <w:noWrap w:val="0"/>
            <w:vAlign w:val="center"/>
          </w:tcPr>
          <w:p w14:paraId="3DD4D1D9">
            <w:pPr>
              <w:spacing w:line="264"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消    防</w:t>
            </w:r>
          </w:p>
        </w:tc>
        <w:tc>
          <w:tcPr>
            <w:tcW w:w="3537" w:type="dxa"/>
            <w:tcBorders>
              <w:top w:val="single" w:color="auto" w:sz="4" w:space="0"/>
              <w:left w:val="single" w:color="auto" w:sz="4" w:space="0"/>
              <w:bottom w:val="single" w:color="auto" w:sz="4" w:space="0"/>
              <w:right w:val="single" w:color="auto" w:sz="4" w:space="0"/>
            </w:tcBorders>
            <w:noWrap w:val="0"/>
            <w:vAlign w:val="center"/>
          </w:tcPr>
          <w:p w14:paraId="79FF854A">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1.烟感、温感、喷淋头</w:t>
            </w:r>
          </w:p>
        </w:tc>
        <w:tc>
          <w:tcPr>
            <w:tcW w:w="2255" w:type="dxa"/>
            <w:tcBorders>
              <w:top w:val="single" w:color="auto" w:sz="4" w:space="0"/>
              <w:left w:val="single" w:color="auto" w:sz="4" w:space="0"/>
              <w:bottom w:val="single" w:color="auto" w:sz="4" w:space="0"/>
              <w:right w:val="single" w:color="auto" w:sz="4" w:space="0"/>
            </w:tcBorders>
            <w:noWrap w:val="0"/>
            <w:vAlign w:val="center"/>
          </w:tcPr>
          <w:p w14:paraId="49C66528">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7855AA3C">
            <w:pPr>
              <w:spacing w:line="264" w:lineRule="auto"/>
              <w:jc w:val="center"/>
              <w:rPr>
                <w:rFonts w:hint="eastAsia" w:ascii="仿宋" w:hAnsi="仿宋" w:eastAsia="仿宋" w:cs="仿宋"/>
                <w:color w:val="auto"/>
                <w:szCs w:val="21"/>
                <w:highlight w:val="none"/>
              </w:rPr>
            </w:pPr>
          </w:p>
        </w:tc>
      </w:tr>
      <w:tr w14:paraId="06110F35">
        <w:tblPrEx>
          <w:tblCellMar>
            <w:top w:w="0" w:type="dxa"/>
            <w:left w:w="108" w:type="dxa"/>
            <w:bottom w:w="0" w:type="dxa"/>
            <w:right w:w="108" w:type="dxa"/>
          </w:tblCellMar>
        </w:tblPrEx>
        <w:trPr>
          <w:trHeight w:val="342" w:hRule="atLeast"/>
        </w:trPr>
        <w:tc>
          <w:tcPr>
            <w:tcW w:w="716" w:type="dxa"/>
            <w:vMerge w:val="continue"/>
            <w:tcBorders>
              <w:top w:val="single" w:color="auto" w:sz="4" w:space="0"/>
              <w:left w:val="single" w:color="000000" w:sz="4" w:space="0"/>
              <w:right w:val="single" w:color="auto" w:sz="4" w:space="0"/>
            </w:tcBorders>
            <w:noWrap w:val="0"/>
            <w:vAlign w:val="center"/>
          </w:tcPr>
          <w:p w14:paraId="5A5B9687">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single" w:color="auto" w:sz="4" w:space="0"/>
              <w:bottom w:val="single" w:color="auto" w:sz="4" w:space="0"/>
              <w:right w:val="single" w:color="auto" w:sz="4" w:space="0"/>
            </w:tcBorders>
            <w:noWrap w:val="0"/>
            <w:vAlign w:val="center"/>
          </w:tcPr>
          <w:p w14:paraId="248A7DAB">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2.</w:t>
            </w:r>
            <w:r>
              <w:rPr>
                <w:rFonts w:hint="eastAsia" w:ascii="仿宋" w:hAnsi="仿宋" w:eastAsia="仿宋" w:cs="仿宋"/>
                <w:color w:val="auto"/>
                <w:szCs w:val="21"/>
                <w:highlight w:val="none"/>
              </w:rPr>
              <w:t>消防排烟预留接口</w:t>
            </w:r>
          </w:p>
        </w:tc>
        <w:tc>
          <w:tcPr>
            <w:tcW w:w="2255" w:type="dxa"/>
            <w:tcBorders>
              <w:top w:val="single" w:color="auto" w:sz="4" w:space="0"/>
              <w:left w:val="single" w:color="auto" w:sz="4" w:space="0"/>
              <w:bottom w:val="single" w:color="auto" w:sz="4" w:space="0"/>
              <w:right w:val="single" w:color="auto" w:sz="4" w:space="0"/>
            </w:tcBorders>
            <w:noWrap w:val="0"/>
            <w:vAlign w:val="center"/>
          </w:tcPr>
          <w:p w14:paraId="64A15407">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single" w:color="auto" w:sz="4" w:space="0"/>
              <w:bottom w:val="single" w:color="000000" w:sz="4" w:space="0"/>
              <w:right w:val="single" w:color="000000" w:sz="4" w:space="0"/>
            </w:tcBorders>
            <w:noWrap w:val="0"/>
            <w:vAlign w:val="center"/>
          </w:tcPr>
          <w:p w14:paraId="420807CB">
            <w:pPr>
              <w:spacing w:line="264" w:lineRule="auto"/>
              <w:jc w:val="center"/>
              <w:rPr>
                <w:rFonts w:hint="eastAsia" w:ascii="仿宋" w:hAnsi="仿宋" w:eastAsia="仿宋" w:cs="仿宋"/>
                <w:color w:val="auto"/>
                <w:szCs w:val="21"/>
                <w:highlight w:val="none"/>
              </w:rPr>
            </w:pPr>
          </w:p>
        </w:tc>
      </w:tr>
      <w:tr w14:paraId="30C479BC">
        <w:tblPrEx>
          <w:tblCellMar>
            <w:top w:w="0" w:type="dxa"/>
            <w:left w:w="108" w:type="dxa"/>
            <w:bottom w:w="0" w:type="dxa"/>
            <w:right w:w="108" w:type="dxa"/>
          </w:tblCellMar>
        </w:tblPrEx>
        <w:trPr>
          <w:trHeight w:val="330" w:hRule="atLeast"/>
        </w:trPr>
        <w:tc>
          <w:tcPr>
            <w:tcW w:w="716" w:type="dxa"/>
            <w:vMerge w:val="continue"/>
            <w:tcBorders>
              <w:top w:val="nil"/>
              <w:left w:val="single" w:color="000000" w:sz="4" w:space="0"/>
              <w:bottom w:val="single" w:color="auto" w:sz="4" w:space="0"/>
              <w:right w:val="single" w:color="000000" w:sz="4" w:space="0"/>
            </w:tcBorders>
            <w:noWrap w:val="0"/>
            <w:vAlign w:val="center"/>
          </w:tcPr>
          <w:p w14:paraId="346ACACD">
            <w:pPr>
              <w:spacing w:line="264" w:lineRule="auto"/>
              <w:jc w:val="center"/>
              <w:rPr>
                <w:rFonts w:hint="eastAsia" w:ascii="仿宋" w:hAnsi="仿宋" w:eastAsia="仿宋" w:cs="仿宋"/>
                <w:color w:val="auto"/>
                <w:szCs w:val="21"/>
                <w:highlight w:val="none"/>
              </w:rPr>
            </w:pPr>
          </w:p>
        </w:tc>
        <w:tc>
          <w:tcPr>
            <w:tcW w:w="3537" w:type="dxa"/>
            <w:tcBorders>
              <w:top w:val="single" w:color="auto" w:sz="4" w:space="0"/>
              <w:left w:val="nil"/>
              <w:bottom w:val="nil"/>
              <w:right w:val="nil"/>
            </w:tcBorders>
            <w:noWrap w:val="0"/>
            <w:vAlign w:val="center"/>
          </w:tcPr>
          <w:p w14:paraId="5602EE3E">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3</w:t>
            </w:r>
            <w:r>
              <w:rPr>
                <w:rFonts w:hint="eastAsia" w:ascii="仿宋" w:hAnsi="仿宋" w:eastAsia="仿宋" w:cs="仿宋"/>
                <w:color w:val="auto"/>
                <w:szCs w:val="21"/>
                <w:highlight w:val="none"/>
              </w:rPr>
              <w:t>.其它</w:t>
            </w:r>
          </w:p>
        </w:tc>
        <w:tc>
          <w:tcPr>
            <w:tcW w:w="2255" w:type="dxa"/>
            <w:tcBorders>
              <w:top w:val="single" w:color="auto" w:sz="4" w:space="0"/>
              <w:left w:val="single" w:color="000000" w:sz="4" w:space="0"/>
              <w:bottom w:val="single" w:color="000000" w:sz="4" w:space="0"/>
              <w:right w:val="single" w:color="000000" w:sz="4" w:space="0"/>
            </w:tcBorders>
            <w:noWrap w:val="0"/>
            <w:vAlign w:val="center"/>
          </w:tcPr>
          <w:p w14:paraId="4C52B55C">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6E9A00BF">
            <w:pPr>
              <w:spacing w:line="264" w:lineRule="auto"/>
              <w:jc w:val="center"/>
              <w:rPr>
                <w:rFonts w:hint="eastAsia" w:ascii="仿宋" w:hAnsi="仿宋" w:eastAsia="仿宋" w:cs="仿宋"/>
                <w:color w:val="auto"/>
                <w:szCs w:val="21"/>
                <w:highlight w:val="none"/>
              </w:rPr>
            </w:pPr>
          </w:p>
        </w:tc>
      </w:tr>
      <w:tr w14:paraId="7183CD21">
        <w:tblPrEx>
          <w:tblCellMar>
            <w:top w:w="0" w:type="dxa"/>
            <w:left w:w="108" w:type="dxa"/>
            <w:bottom w:w="0" w:type="dxa"/>
            <w:right w:w="108" w:type="dxa"/>
          </w:tblCellMar>
        </w:tblPrEx>
        <w:trPr>
          <w:trHeight w:val="342" w:hRule="atLeast"/>
        </w:trPr>
        <w:tc>
          <w:tcPr>
            <w:tcW w:w="716" w:type="dxa"/>
            <w:vMerge w:val="restart"/>
            <w:tcBorders>
              <w:top w:val="single" w:color="auto" w:sz="4" w:space="0"/>
              <w:left w:val="single" w:color="000000" w:sz="4" w:space="0"/>
              <w:right w:val="single" w:color="000000" w:sz="4" w:space="0"/>
            </w:tcBorders>
            <w:noWrap w:val="0"/>
            <w:vAlign w:val="center"/>
          </w:tcPr>
          <w:p w14:paraId="67452551">
            <w:pPr>
              <w:spacing w:line="264"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强   弱   电</w:t>
            </w:r>
          </w:p>
        </w:tc>
        <w:tc>
          <w:tcPr>
            <w:tcW w:w="3537" w:type="dxa"/>
            <w:tcBorders>
              <w:top w:val="single" w:color="000000" w:sz="4" w:space="0"/>
              <w:left w:val="nil"/>
              <w:bottom w:val="single" w:color="000000" w:sz="4" w:space="0"/>
              <w:right w:val="single" w:color="000000" w:sz="4" w:space="0"/>
            </w:tcBorders>
            <w:noWrap w:val="0"/>
            <w:vAlign w:val="center"/>
          </w:tcPr>
          <w:p w14:paraId="77D34E19">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1.电表（初始读数</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w:t>
            </w:r>
          </w:p>
        </w:tc>
        <w:tc>
          <w:tcPr>
            <w:tcW w:w="2255" w:type="dxa"/>
            <w:tcBorders>
              <w:top w:val="nil"/>
              <w:left w:val="nil"/>
              <w:bottom w:val="single" w:color="000000" w:sz="4" w:space="0"/>
              <w:right w:val="single" w:color="000000" w:sz="4" w:space="0"/>
            </w:tcBorders>
            <w:noWrap w:val="0"/>
            <w:vAlign w:val="center"/>
          </w:tcPr>
          <w:p w14:paraId="74D8AFEE">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2302FB52">
            <w:pPr>
              <w:spacing w:line="264" w:lineRule="auto"/>
              <w:jc w:val="center"/>
              <w:rPr>
                <w:rFonts w:hint="eastAsia" w:ascii="仿宋" w:hAnsi="仿宋" w:eastAsia="仿宋" w:cs="仿宋"/>
                <w:color w:val="auto"/>
                <w:szCs w:val="21"/>
                <w:highlight w:val="none"/>
              </w:rPr>
            </w:pPr>
          </w:p>
        </w:tc>
      </w:tr>
      <w:tr w14:paraId="737A1249">
        <w:tblPrEx>
          <w:tblCellMar>
            <w:top w:w="0" w:type="dxa"/>
            <w:left w:w="108" w:type="dxa"/>
            <w:bottom w:w="0" w:type="dxa"/>
            <w:right w:w="108" w:type="dxa"/>
          </w:tblCellMar>
        </w:tblPrEx>
        <w:trPr>
          <w:trHeight w:val="342" w:hRule="atLeast"/>
        </w:trPr>
        <w:tc>
          <w:tcPr>
            <w:tcW w:w="716" w:type="dxa"/>
            <w:vMerge w:val="continue"/>
            <w:tcBorders>
              <w:left w:val="single" w:color="000000" w:sz="4" w:space="0"/>
              <w:right w:val="single" w:color="000000" w:sz="4" w:space="0"/>
            </w:tcBorders>
            <w:noWrap w:val="0"/>
            <w:vAlign w:val="center"/>
          </w:tcPr>
          <w:p w14:paraId="75F56363">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2AE3BA91">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2.水表（初始读数</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tc>
        <w:tc>
          <w:tcPr>
            <w:tcW w:w="2255" w:type="dxa"/>
            <w:tcBorders>
              <w:top w:val="nil"/>
              <w:left w:val="nil"/>
              <w:bottom w:val="single" w:color="000000" w:sz="4" w:space="0"/>
              <w:right w:val="single" w:color="000000" w:sz="4" w:space="0"/>
            </w:tcBorders>
            <w:noWrap w:val="0"/>
            <w:vAlign w:val="center"/>
          </w:tcPr>
          <w:p w14:paraId="17774EB5">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61303F1D">
            <w:pPr>
              <w:spacing w:line="264" w:lineRule="auto"/>
              <w:jc w:val="center"/>
              <w:rPr>
                <w:rFonts w:hint="eastAsia" w:ascii="仿宋" w:hAnsi="仿宋" w:eastAsia="仿宋" w:cs="仿宋"/>
                <w:color w:val="auto"/>
                <w:szCs w:val="21"/>
                <w:highlight w:val="none"/>
              </w:rPr>
            </w:pPr>
          </w:p>
        </w:tc>
      </w:tr>
      <w:tr w14:paraId="4CA470BC">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noWrap w:val="0"/>
            <w:vAlign w:val="center"/>
          </w:tcPr>
          <w:p w14:paraId="06C5C57B">
            <w:pPr>
              <w:spacing w:line="264" w:lineRule="auto"/>
              <w:jc w:val="center"/>
              <w:rPr>
                <w:rFonts w:hint="eastAsia" w:ascii="仿宋" w:hAnsi="仿宋" w:eastAsia="仿宋" w:cs="仿宋"/>
                <w:color w:val="auto"/>
                <w:szCs w:val="21"/>
                <w:highlight w:val="none"/>
              </w:rPr>
            </w:pPr>
          </w:p>
        </w:tc>
        <w:tc>
          <w:tcPr>
            <w:tcW w:w="3537" w:type="dxa"/>
            <w:tcBorders>
              <w:top w:val="nil"/>
              <w:left w:val="nil"/>
              <w:bottom w:val="single" w:color="000000" w:sz="4" w:space="0"/>
              <w:right w:val="single" w:color="000000" w:sz="4" w:space="0"/>
            </w:tcBorders>
            <w:noWrap w:val="0"/>
            <w:vAlign w:val="center"/>
          </w:tcPr>
          <w:p w14:paraId="427015A4">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3.配电箱及隔离开关</w:t>
            </w:r>
          </w:p>
        </w:tc>
        <w:tc>
          <w:tcPr>
            <w:tcW w:w="2255" w:type="dxa"/>
            <w:tcBorders>
              <w:top w:val="nil"/>
              <w:left w:val="nil"/>
              <w:bottom w:val="single" w:color="000000" w:sz="4" w:space="0"/>
              <w:right w:val="single" w:color="000000" w:sz="4" w:space="0"/>
            </w:tcBorders>
            <w:noWrap w:val="0"/>
            <w:vAlign w:val="center"/>
          </w:tcPr>
          <w:p w14:paraId="0EA55C82">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462EDEF1">
            <w:pPr>
              <w:spacing w:line="264" w:lineRule="auto"/>
              <w:jc w:val="center"/>
              <w:rPr>
                <w:rFonts w:hint="eastAsia" w:ascii="仿宋" w:hAnsi="仿宋" w:eastAsia="仿宋" w:cs="仿宋"/>
                <w:color w:val="auto"/>
                <w:szCs w:val="21"/>
                <w:highlight w:val="none"/>
              </w:rPr>
            </w:pPr>
          </w:p>
        </w:tc>
      </w:tr>
      <w:tr w14:paraId="3ABDEA17">
        <w:tblPrEx>
          <w:tblCellMar>
            <w:top w:w="0" w:type="dxa"/>
            <w:left w:w="108" w:type="dxa"/>
            <w:bottom w:w="0" w:type="dxa"/>
            <w:right w:w="108" w:type="dxa"/>
          </w:tblCellMar>
        </w:tblPrEx>
        <w:trPr>
          <w:trHeight w:val="342" w:hRule="atLeast"/>
        </w:trPr>
        <w:tc>
          <w:tcPr>
            <w:tcW w:w="716" w:type="dxa"/>
            <w:vMerge w:val="continue"/>
            <w:tcBorders>
              <w:top w:val="nil"/>
              <w:left w:val="single" w:color="000000" w:sz="4" w:space="0"/>
              <w:right w:val="single" w:color="000000" w:sz="4" w:space="0"/>
            </w:tcBorders>
            <w:noWrap w:val="0"/>
            <w:vAlign w:val="center"/>
          </w:tcPr>
          <w:p w14:paraId="4660396F">
            <w:pPr>
              <w:spacing w:line="264" w:lineRule="auto"/>
              <w:jc w:val="center"/>
              <w:rPr>
                <w:rFonts w:hint="eastAsia" w:ascii="仿宋" w:hAnsi="仿宋" w:eastAsia="仿宋" w:cs="仿宋"/>
                <w:color w:val="auto"/>
                <w:szCs w:val="21"/>
                <w:highlight w:val="none"/>
              </w:rPr>
            </w:pPr>
          </w:p>
        </w:tc>
        <w:tc>
          <w:tcPr>
            <w:tcW w:w="3537" w:type="dxa"/>
            <w:tcBorders>
              <w:top w:val="nil"/>
              <w:left w:val="nil"/>
              <w:bottom w:val="single" w:color="000000" w:sz="4" w:space="0"/>
              <w:right w:val="single" w:color="000000" w:sz="4" w:space="0"/>
            </w:tcBorders>
            <w:noWrap w:val="0"/>
            <w:vAlign w:val="center"/>
          </w:tcPr>
          <w:p w14:paraId="1FEB607B">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4.地插</w:t>
            </w:r>
          </w:p>
        </w:tc>
        <w:tc>
          <w:tcPr>
            <w:tcW w:w="2255" w:type="dxa"/>
            <w:tcBorders>
              <w:top w:val="nil"/>
              <w:left w:val="nil"/>
              <w:bottom w:val="single" w:color="000000" w:sz="4" w:space="0"/>
              <w:right w:val="single" w:color="000000" w:sz="4" w:space="0"/>
            </w:tcBorders>
            <w:noWrap w:val="0"/>
            <w:vAlign w:val="center"/>
          </w:tcPr>
          <w:p w14:paraId="1C138ABE">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223979CE">
            <w:pPr>
              <w:spacing w:line="264" w:lineRule="auto"/>
              <w:jc w:val="center"/>
              <w:rPr>
                <w:rFonts w:hint="eastAsia" w:ascii="仿宋" w:hAnsi="仿宋" w:eastAsia="仿宋" w:cs="仿宋"/>
                <w:color w:val="auto"/>
                <w:szCs w:val="21"/>
                <w:highlight w:val="none"/>
              </w:rPr>
            </w:pPr>
          </w:p>
        </w:tc>
      </w:tr>
      <w:tr w14:paraId="11EDF45E">
        <w:tblPrEx>
          <w:tblCellMar>
            <w:top w:w="0" w:type="dxa"/>
            <w:left w:w="108" w:type="dxa"/>
            <w:bottom w:w="0" w:type="dxa"/>
            <w:right w:w="108" w:type="dxa"/>
          </w:tblCellMar>
        </w:tblPrEx>
        <w:trPr>
          <w:trHeight w:val="315" w:hRule="atLeast"/>
        </w:trPr>
        <w:tc>
          <w:tcPr>
            <w:tcW w:w="716" w:type="dxa"/>
            <w:vMerge w:val="continue"/>
            <w:tcBorders>
              <w:top w:val="nil"/>
              <w:left w:val="single" w:color="000000" w:sz="4" w:space="0"/>
              <w:bottom w:val="single" w:color="auto" w:sz="4" w:space="0"/>
              <w:right w:val="single" w:color="000000" w:sz="4" w:space="0"/>
            </w:tcBorders>
            <w:noWrap w:val="0"/>
            <w:vAlign w:val="center"/>
          </w:tcPr>
          <w:p w14:paraId="503C88BE">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nil"/>
            </w:tcBorders>
            <w:noWrap w:val="0"/>
            <w:vAlign w:val="center"/>
          </w:tcPr>
          <w:p w14:paraId="02DCA28F">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5.其它</w:t>
            </w:r>
          </w:p>
        </w:tc>
        <w:tc>
          <w:tcPr>
            <w:tcW w:w="2255" w:type="dxa"/>
            <w:tcBorders>
              <w:top w:val="single" w:color="000000" w:sz="4" w:space="0"/>
              <w:left w:val="single" w:color="000000" w:sz="4" w:space="0"/>
              <w:bottom w:val="single" w:color="000000" w:sz="4" w:space="0"/>
              <w:right w:val="single" w:color="000000" w:sz="4" w:space="0"/>
            </w:tcBorders>
            <w:noWrap w:val="0"/>
            <w:vAlign w:val="center"/>
          </w:tcPr>
          <w:p w14:paraId="60A44098">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bottom w:val="single" w:color="000000" w:sz="4" w:space="0"/>
              <w:right w:val="single" w:color="000000" w:sz="4" w:space="0"/>
            </w:tcBorders>
            <w:noWrap w:val="0"/>
            <w:vAlign w:val="center"/>
          </w:tcPr>
          <w:p w14:paraId="2EDED56D">
            <w:pPr>
              <w:spacing w:line="264" w:lineRule="auto"/>
              <w:jc w:val="center"/>
              <w:rPr>
                <w:rFonts w:hint="eastAsia" w:ascii="仿宋" w:hAnsi="仿宋" w:eastAsia="仿宋" w:cs="仿宋"/>
                <w:color w:val="auto"/>
                <w:szCs w:val="21"/>
                <w:highlight w:val="none"/>
              </w:rPr>
            </w:pPr>
          </w:p>
        </w:tc>
      </w:tr>
      <w:tr w14:paraId="6D221DF4">
        <w:tblPrEx>
          <w:tblCellMar>
            <w:top w:w="0" w:type="dxa"/>
            <w:left w:w="108" w:type="dxa"/>
            <w:bottom w:w="0" w:type="dxa"/>
            <w:right w:w="108" w:type="dxa"/>
          </w:tblCellMar>
        </w:tblPrEx>
        <w:trPr>
          <w:trHeight w:val="416" w:hRule="atLeast"/>
        </w:trPr>
        <w:tc>
          <w:tcPr>
            <w:tcW w:w="716" w:type="dxa"/>
            <w:vMerge w:val="restart"/>
            <w:tcBorders>
              <w:top w:val="single" w:color="auto" w:sz="4" w:space="0"/>
              <w:left w:val="single" w:color="000000" w:sz="4" w:space="0"/>
              <w:bottom w:val="single" w:color="000000" w:sz="4" w:space="0"/>
              <w:right w:val="single" w:color="000000" w:sz="4" w:space="0"/>
            </w:tcBorders>
            <w:noWrap w:val="0"/>
            <w:vAlign w:val="center"/>
          </w:tcPr>
          <w:p w14:paraId="74F7B405">
            <w:pPr>
              <w:spacing w:line="264"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其</w:t>
            </w:r>
          </w:p>
          <w:p w14:paraId="280482EF">
            <w:pPr>
              <w:spacing w:line="264" w:lineRule="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他</w:t>
            </w:r>
          </w:p>
        </w:tc>
        <w:tc>
          <w:tcPr>
            <w:tcW w:w="3537" w:type="dxa"/>
            <w:tcBorders>
              <w:top w:val="single" w:color="000000" w:sz="4" w:space="0"/>
              <w:left w:val="nil"/>
              <w:bottom w:val="single" w:color="000000" w:sz="4" w:space="0"/>
              <w:right w:val="single" w:color="000000" w:sz="4" w:space="0"/>
            </w:tcBorders>
            <w:noWrap w:val="0"/>
            <w:vAlign w:val="center"/>
          </w:tcPr>
          <w:p w14:paraId="06EC9BF9">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1.空调（末端设备、风管、新风口等）</w:t>
            </w:r>
          </w:p>
        </w:tc>
        <w:tc>
          <w:tcPr>
            <w:tcW w:w="2255" w:type="dxa"/>
            <w:tcBorders>
              <w:top w:val="single" w:color="000000" w:sz="4" w:space="0"/>
              <w:left w:val="nil"/>
              <w:bottom w:val="single" w:color="000000" w:sz="4" w:space="0"/>
              <w:right w:val="single" w:color="000000" w:sz="4" w:space="0"/>
            </w:tcBorders>
            <w:noWrap w:val="0"/>
            <w:vAlign w:val="center"/>
          </w:tcPr>
          <w:p w14:paraId="74A62CFC">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5E82CE82">
            <w:pPr>
              <w:spacing w:line="264" w:lineRule="auto"/>
              <w:jc w:val="center"/>
              <w:rPr>
                <w:rFonts w:hint="eastAsia" w:ascii="仿宋" w:hAnsi="仿宋" w:eastAsia="仿宋" w:cs="仿宋"/>
                <w:color w:val="auto"/>
                <w:szCs w:val="21"/>
                <w:highlight w:val="none"/>
              </w:rPr>
            </w:pPr>
          </w:p>
        </w:tc>
      </w:tr>
      <w:tr w14:paraId="2BDB659A">
        <w:tblPrEx>
          <w:tblCellMar>
            <w:top w:w="0" w:type="dxa"/>
            <w:left w:w="108" w:type="dxa"/>
            <w:bottom w:w="0" w:type="dxa"/>
            <w:right w:w="108" w:type="dxa"/>
          </w:tblCellMar>
        </w:tblPrEx>
        <w:trPr>
          <w:trHeight w:val="416" w:hRule="atLeast"/>
        </w:trPr>
        <w:tc>
          <w:tcPr>
            <w:tcW w:w="716" w:type="dxa"/>
            <w:vMerge w:val="continue"/>
            <w:tcBorders>
              <w:top w:val="single" w:color="auto" w:sz="4" w:space="0"/>
              <w:left w:val="single" w:color="000000" w:sz="4" w:space="0"/>
              <w:bottom w:val="single" w:color="000000" w:sz="4" w:space="0"/>
              <w:right w:val="single" w:color="000000" w:sz="4" w:space="0"/>
            </w:tcBorders>
            <w:noWrap w:val="0"/>
            <w:vAlign w:val="center"/>
          </w:tcPr>
          <w:p w14:paraId="31B8D473">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3B2B2C33">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r>
              <w:rPr>
                <w:rFonts w:ascii="仿宋" w:hAnsi="仿宋" w:eastAsia="仿宋" w:cs="仿宋"/>
                <w:color w:val="auto"/>
                <w:szCs w:val="21"/>
                <w:highlight w:val="none"/>
              </w:rPr>
              <w:t>.送、排风系统（排油烟、补风）</w:t>
            </w:r>
          </w:p>
        </w:tc>
        <w:tc>
          <w:tcPr>
            <w:tcW w:w="2255" w:type="dxa"/>
            <w:tcBorders>
              <w:top w:val="single" w:color="000000" w:sz="4" w:space="0"/>
              <w:left w:val="nil"/>
              <w:bottom w:val="single" w:color="000000" w:sz="4" w:space="0"/>
              <w:right w:val="single" w:color="000000" w:sz="4" w:space="0"/>
            </w:tcBorders>
            <w:noWrap w:val="0"/>
            <w:vAlign w:val="center"/>
          </w:tcPr>
          <w:p w14:paraId="1D8A7A17">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1F13E31F">
            <w:pPr>
              <w:spacing w:line="264" w:lineRule="auto"/>
              <w:jc w:val="center"/>
              <w:rPr>
                <w:rFonts w:hint="eastAsia" w:ascii="仿宋" w:hAnsi="仿宋" w:eastAsia="仿宋" w:cs="仿宋"/>
                <w:color w:val="auto"/>
                <w:szCs w:val="21"/>
                <w:highlight w:val="none"/>
              </w:rPr>
            </w:pPr>
          </w:p>
        </w:tc>
      </w:tr>
      <w:tr w14:paraId="7F2B9285">
        <w:tblPrEx>
          <w:tblCellMar>
            <w:top w:w="0" w:type="dxa"/>
            <w:left w:w="108" w:type="dxa"/>
            <w:bottom w:w="0" w:type="dxa"/>
            <w:right w:w="108" w:type="dxa"/>
          </w:tblCellMar>
        </w:tblPrEx>
        <w:trPr>
          <w:trHeight w:val="422" w:hRule="atLeast"/>
        </w:trPr>
        <w:tc>
          <w:tcPr>
            <w:tcW w:w="716" w:type="dxa"/>
            <w:vMerge w:val="continue"/>
            <w:tcBorders>
              <w:top w:val="nil"/>
              <w:left w:val="single" w:color="000000" w:sz="4" w:space="0"/>
              <w:bottom w:val="single" w:color="000000" w:sz="4" w:space="0"/>
              <w:right w:val="single" w:color="000000" w:sz="4" w:space="0"/>
            </w:tcBorders>
            <w:noWrap w:val="0"/>
            <w:vAlign w:val="center"/>
          </w:tcPr>
          <w:p w14:paraId="52377681">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3420AF34">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3.给、排水系统</w:t>
            </w:r>
          </w:p>
        </w:tc>
        <w:tc>
          <w:tcPr>
            <w:tcW w:w="2255" w:type="dxa"/>
            <w:tcBorders>
              <w:top w:val="single" w:color="000000" w:sz="4" w:space="0"/>
              <w:left w:val="nil"/>
              <w:bottom w:val="single" w:color="000000" w:sz="4" w:space="0"/>
              <w:right w:val="single" w:color="000000" w:sz="4" w:space="0"/>
            </w:tcBorders>
            <w:noWrap w:val="0"/>
            <w:vAlign w:val="center"/>
          </w:tcPr>
          <w:p w14:paraId="6478602B">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66E0397E">
            <w:pPr>
              <w:spacing w:line="264" w:lineRule="auto"/>
              <w:jc w:val="center"/>
              <w:rPr>
                <w:rFonts w:hint="eastAsia" w:ascii="仿宋" w:hAnsi="仿宋" w:eastAsia="仿宋" w:cs="仿宋"/>
                <w:color w:val="auto"/>
                <w:szCs w:val="21"/>
                <w:highlight w:val="none"/>
              </w:rPr>
            </w:pPr>
          </w:p>
        </w:tc>
      </w:tr>
      <w:tr w14:paraId="10C0C3B5">
        <w:tblPrEx>
          <w:tblCellMar>
            <w:top w:w="0" w:type="dxa"/>
            <w:left w:w="108" w:type="dxa"/>
            <w:bottom w:w="0" w:type="dxa"/>
            <w:right w:w="108" w:type="dxa"/>
          </w:tblCellMar>
        </w:tblPrEx>
        <w:trPr>
          <w:trHeight w:val="422" w:hRule="atLeast"/>
        </w:trPr>
        <w:tc>
          <w:tcPr>
            <w:tcW w:w="716" w:type="dxa"/>
            <w:vMerge w:val="continue"/>
            <w:tcBorders>
              <w:top w:val="nil"/>
              <w:left w:val="single" w:color="000000" w:sz="4" w:space="0"/>
              <w:bottom w:val="single" w:color="000000" w:sz="4" w:space="0"/>
              <w:right w:val="single" w:color="000000" w:sz="4" w:space="0"/>
            </w:tcBorders>
            <w:noWrap w:val="0"/>
            <w:vAlign w:val="center"/>
          </w:tcPr>
          <w:p w14:paraId="479785ED">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26D6F1B6">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4</w:t>
            </w:r>
            <w:r>
              <w:rPr>
                <w:rFonts w:ascii="仿宋" w:hAnsi="仿宋" w:eastAsia="仿宋" w:cs="仿宋"/>
                <w:color w:val="auto"/>
                <w:szCs w:val="21"/>
                <w:highlight w:val="none"/>
              </w:rPr>
              <w:t>.隔油池</w:t>
            </w:r>
          </w:p>
        </w:tc>
        <w:tc>
          <w:tcPr>
            <w:tcW w:w="2255" w:type="dxa"/>
            <w:tcBorders>
              <w:top w:val="single" w:color="000000" w:sz="4" w:space="0"/>
              <w:left w:val="nil"/>
              <w:bottom w:val="single" w:color="000000" w:sz="4" w:space="0"/>
              <w:right w:val="single" w:color="000000" w:sz="4" w:space="0"/>
            </w:tcBorders>
            <w:noWrap w:val="0"/>
            <w:vAlign w:val="center"/>
          </w:tcPr>
          <w:p w14:paraId="2B200853">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624F885F">
            <w:pPr>
              <w:spacing w:line="264" w:lineRule="auto"/>
              <w:jc w:val="center"/>
              <w:rPr>
                <w:rFonts w:hint="eastAsia" w:ascii="仿宋" w:hAnsi="仿宋" w:eastAsia="仿宋" w:cs="仿宋"/>
                <w:color w:val="auto"/>
                <w:szCs w:val="21"/>
                <w:highlight w:val="none"/>
              </w:rPr>
            </w:pPr>
          </w:p>
        </w:tc>
      </w:tr>
      <w:tr w14:paraId="0FB68427">
        <w:tblPrEx>
          <w:tblCellMar>
            <w:top w:w="0" w:type="dxa"/>
            <w:left w:w="108" w:type="dxa"/>
            <w:bottom w:w="0" w:type="dxa"/>
            <w:right w:w="108" w:type="dxa"/>
          </w:tblCellMar>
        </w:tblPrEx>
        <w:trPr>
          <w:trHeight w:val="422" w:hRule="atLeast"/>
        </w:trPr>
        <w:tc>
          <w:tcPr>
            <w:tcW w:w="716" w:type="dxa"/>
            <w:vMerge w:val="continue"/>
            <w:tcBorders>
              <w:top w:val="nil"/>
              <w:left w:val="single" w:color="000000" w:sz="4" w:space="0"/>
              <w:bottom w:val="single" w:color="000000" w:sz="4" w:space="0"/>
              <w:right w:val="single" w:color="000000" w:sz="4" w:space="0"/>
            </w:tcBorders>
            <w:noWrap w:val="0"/>
            <w:vAlign w:val="center"/>
          </w:tcPr>
          <w:p w14:paraId="37AFF23A">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345B4012">
            <w:pPr>
              <w:spacing w:line="264"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5</w:t>
            </w:r>
            <w:r>
              <w:rPr>
                <w:rFonts w:ascii="仿宋" w:hAnsi="仿宋" w:eastAsia="仿宋" w:cs="仿宋"/>
                <w:color w:val="auto"/>
                <w:szCs w:val="21"/>
                <w:highlight w:val="none"/>
              </w:rPr>
              <w:t>.燃气系统（燃气管道、事故通风、燃气报警）</w:t>
            </w:r>
          </w:p>
        </w:tc>
        <w:tc>
          <w:tcPr>
            <w:tcW w:w="2255" w:type="dxa"/>
            <w:tcBorders>
              <w:top w:val="single" w:color="000000" w:sz="4" w:space="0"/>
              <w:left w:val="nil"/>
              <w:bottom w:val="single" w:color="000000" w:sz="4" w:space="0"/>
              <w:right w:val="single" w:color="000000" w:sz="4" w:space="0"/>
            </w:tcBorders>
            <w:noWrap w:val="0"/>
            <w:vAlign w:val="center"/>
          </w:tcPr>
          <w:p w14:paraId="3EB3092C">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4C7AF37D">
            <w:pPr>
              <w:spacing w:line="264" w:lineRule="auto"/>
              <w:jc w:val="center"/>
              <w:rPr>
                <w:rFonts w:hint="eastAsia" w:ascii="仿宋" w:hAnsi="仿宋" w:eastAsia="仿宋" w:cs="仿宋"/>
                <w:color w:val="auto"/>
                <w:szCs w:val="21"/>
                <w:highlight w:val="none"/>
              </w:rPr>
            </w:pPr>
          </w:p>
        </w:tc>
      </w:tr>
      <w:tr w14:paraId="5D66554C">
        <w:tblPrEx>
          <w:tblCellMar>
            <w:top w:w="0" w:type="dxa"/>
            <w:left w:w="108" w:type="dxa"/>
            <w:bottom w:w="0" w:type="dxa"/>
            <w:right w:w="108" w:type="dxa"/>
          </w:tblCellMar>
        </w:tblPrEx>
        <w:trPr>
          <w:trHeight w:val="422" w:hRule="atLeast"/>
        </w:trPr>
        <w:tc>
          <w:tcPr>
            <w:tcW w:w="716" w:type="dxa"/>
            <w:vMerge w:val="continue"/>
            <w:tcBorders>
              <w:top w:val="nil"/>
              <w:left w:val="single" w:color="000000" w:sz="4" w:space="0"/>
              <w:bottom w:val="single" w:color="000000" w:sz="4" w:space="0"/>
              <w:right w:val="single" w:color="000000" w:sz="4" w:space="0"/>
            </w:tcBorders>
            <w:noWrap w:val="0"/>
            <w:vAlign w:val="center"/>
          </w:tcPr>
          <w:p w14:paraId="76541551">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3017E1D0">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6</w:t>
            </w:r>
            <w:r>
              <w:rPr>
                <w:rFonts w:hint="eastAsia" w:ascii="仿宋" w:hAnsi="仿宋" w:eastAsia="仿宋" w:cs="仿宋"/>
                <w:color w:val="auto"/>
                <w:szCs w:val="21"/>
                <w:highlight w:val="none"/>
              </w:rPr>
              <w:t>.锁、钥匙</w:t>
            </w:r>
          </w:p>
        </w:tc>
        <w:tc>
          <w:tcPr>
            <w:tcW w:w="2255" w:type="dxa"/>
            <w:tcBorders>
              <w:top w:val="single" w:color="000000" w:sz="4" w:space="0"/>
              <w:left w:val="nil"/>
              <w:bottom w:val="single" w:color="000000" w:sz="4" w:space="0"/>
              <w:right w:val="single" w:color="000000" w:sz="4" w:space="0"/>
            </w:tcBorders>
            <w:noWrap w:val="0"/>
            <w:vAlign w:val="center"/>
          </w:tcPr>
          <w:p w14:paraId="46DA7012">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649B4D98">
            <w:pPr>
              <w:spacing w:line="264" w:lineRule="auto"/>
              <w:jc w:val="center"/>
              <w:rPr>
                <w:rFonts w:hint="eastAsia" w:ascii="仿宋" w:hAnsi="仿宋" w:eastAsia="仿宋" w:cs="仿宋"/>
                <w:color w:val="auto"/>
                <w:szCs w:val="21"/>
                <w:highlight w:val="none"/>
              </w:rPr>
            </w:pPr>
          </w:p>
        </w:tc>
      </w:tr>
      <w:tr w14:paraId="12E31C31">
        <w:tblPrEx>
          <w:tblCellMar>
            <w:top w:w="0" w:type="dxa"/>
            <w:left w:w="108" w:type="dxa"/>
            <w:bottom w:w="0" w:type="dxa"/>
            <w:right w:w="108" w:type="dxa"/>
          </w:tblCellMar>
        </w:tblPrEx>
        <w:trPr>
          <w:trHeight w:val="413" w:hRule="atLeast"/>
        </w:trPr>
        <w:tc>
          <w:tcPr>
            <w:tcW w:w="716" w:type="dxa"/>
            <w:vMerge w:val="continue"/>
            <w:tcBorders>
              <w:top w:val="nil"/>
              <w:left w:val="single" w:color="000000" w:sz="4" w:space="0"/>
              <w:bottom w:val="single" w:color="000000" w:sz="4" w:space="0"/>
              <w:right w:val="single" w:color="000000" w:sz="4" w:space="0"/>
            </w:tcBorders>
            <w:noWrap w:val="0"/>
            <w:vAlign w:val="center"/>
          </w:tcPr>
          <w:p w14:paraId="7D6914C5">
            <w:pPr>
              <w:spacing w:line="264" w:lineRule="auto"/>
              <w:jc w:val="center"/>
              <w:rPr>
                <w:rFonts w:hint="eastAsia" w:ascii="仿宋" w:hAnsi="仿宋" w:eastAsia="仿宋" w:cs="仿宋"/>
                <w:color w:val="auto"/>
                <w:szCs w:val="21"/>
                <w:highlight w:val="none"/>
              </w:rPr>
            </w:pPr>
          </w:p>
        </w:tc>
        <w:tc>
          <w:tcPr>
            <w:tcW w:w="3537" w:type="dxa"/>
            <w:tcBorders>
              <w:top w:val="single" w:color="000000" w:sz="4" w:space="0"/>
              <w:left w:val="nil"/>
              <w:bottom w:val="single" w:color="000000" w:sz="4" w:space="0"/>
              <w:right w:val="single" w:color="000000" w:sz="4" w:space="0"/>
            </w:tcBorders>
            <w:noWrap w:val="0"/>
            <w:vAlign w:val="center"/>
          </w:tcPr>
          <w:p w14:paraId="0472A756">
            <w:pPr>
              <w:spacing w:line="264" w:lineRule="auto"/>
              <w:rPr>
                <w:rFonts w:hint="eastAsia" w:ascii="仿宋" w:hAnsi="仿宋" w:eastAsia="仿宋" w:cs="仿宋"/>
                <w:color w:val="auto"/>
                <w:szCs w:val="21"/>
                <w:highlight w:val="none"/>
              </w:rPr>
            </w:pPr>
            <w:r>
              <w:rPr>
                <w:rFonts w:ascii="仿宋" w:hAnsi="仿宋" w:eastAsia="仿宋" w:cs="仿宋"/>
                <w:color w:val="auto"/>
                <w:szCs w:val="21"/>
                <w:highlight w:val="none"/>
              </w:rPr>
              <w:t>7</w:t>
            </w:r>
            <w:r>
              <w:rPr>
                <w:rFonts w:hint="eastAsia" w:ascii="仿宋" w:hAnsi="仿宋" w:eastAsia="仿宋" w:cs="仿宋"/>
                <w:color w:val="auto"/>
                <w:szCs w:val="21"/>
                <w:highlight w:val="none"/>
              </w:rPr>
              <w:t>.其它</w:t>
            </w:r>
          </w:p>
        </w:tc>
        <w:tc>
          <w:tcPr>
            <w:tcW w:w="2255" w:type="dxa"/>
            <w:tcBorders>
              <w:top w:val="single" w:color="000000" w:sz="4" w:space="0"/>
              <w:left w:val="nil"/>
              <w:bottom w:val="single" w:color="000000" w:sz="4" w:space="0"/>
              <w:right w:val="single" w:color="000000" w:sz="4" w:space="0"/>
            </w:tcBorders>
            <w:noWrap w:val="0"/>
            <w:vAlign w:val="center"/>
          </w:tcPr>
          <w:p w14:paraId="02C1CF43">
            <w:pPr>
              <w:spacing w:line="264" w:lineRule="auto"/>
              <w:jc w:val="center"/>
              <w:rPr>
                <w:rFonts w:hint="eastAsia" w:ascii="仿宋" w:hAnsi="仿宋" w:eastAsia="仿宋" w:cs="仿宋"/>
                <w:color w:val="auto"/>
                <w:szCs w:val="21"/>
                <w:highlight w:val="none"/>
              </w:rPr>
            </w:pPr>
          </w:p>
        </w:tc>
        <w:tc>
          <w:tcPr>
            <w:tcW w:w="2059" w:type="dxa"/>
            <w:tcBorders>
              <w:top w:val="single" w:color="000000" w:sz="4" w:space="0"/>
              <w:left w:val="nil"/>
              <w:bottom w:val="single" w:color="000000" w:sz="4" w:space="0"/>
              <w:right w:val="single" w:color="000000" w:sz="4" w:space="0"/>
            </w:tcBorders>
            <w:noWrap w:val="0"/>
            <w:vAlign w:val="center"/>
          </w:tcPr>
          <w:p w14:paraId="2B90B65F">
            <w:pPr>
              <w:spacing w:line="264" w:lineRule="auto"/>
              <w:jc w:val="center"/>
              <w:rPr>
                <w:rFonts w:hint="eastAsia" w:ascii="仿宋" w:hAnsi="仿宋" w:eastAsia="仿宋" w:cs="仿宋"/>
                <w:color w:val="auto"/>
                <w:szCs w:val="21"/>
                <w:highlight w:val="none"/>
              </w:rPr>
            </w:pPr>
          </w:p>
        </w:tc>
      </w:tr>
    </w:tbl>
    <w:p w14:paraId="62323652">
      <w:pPr>
        <w:rPr>
          <w:rFonts w:hint="eastAsia" w:ascii="仿宋" w:hAnsi="仿宋" w:eastAsia="仿宋" w:cs="仿宋"/>
          <w:color w:val="auto"/>
          <w:szCs w:val="21"/>
          <w:highlight w:val="none"/>
        </w:rPr>
      </w:pPr>
      <w:r>
        <w:rPr>
          <w:rFonts w:hint="eastAsia" w:ascii="仿宋" w:hAnsi="仿宋" w:eastAsia="仿宋" w:cs="仿宋"/>
          <w:b/>
          <w:bCs/>
          <w:color w:val="auto"/>
          <w:szCs w:val="21"/>
          <w:highlight w:val="none"/>
        </w:rPr>
        <w:t>备注声明</w:t>
      </w:r>
      <w:r>
        <w:rPr>
          <w:rFonts w:hint="eastAsia" w:ascii="仿宋" w:hAnsi="仿宋" w:eastAsia="仿宋" w:cs="仿宋"/>
          <w:color w:val="auto"/>
          <w:szCs w:val="21"/>
          <w:highlight w:val="none"/>
        </w:rPr>
        <w:t>：本人/本公司已于_</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_年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日收到上述物业内上表所列之各项设施设备及物品，并确认完好。本人/本公司同意自即日起接受该物业，同时确认</w:t>
      </w:r>
      <w:r>
        <w:rPr>
          <w:rFonts w:hint="eastAsia" w:ascii="仿宋" w:hAnsi="仿宋" w:eastAsia="仿宋" w:cs="仿宋"/>
          <w:color w:val="auto"/>
          <w:szCs w:val="21"/>
          <w:highlight w:val="none"/>
          <w:lang w:val="en-US" w:eastAsia="zh-CN"/>
        </w:rPr>
        <w:t>甲方</w:t>
      </w:r>
      <w:r>
        <w:rPr>
          <w:rFonts w:hint="eastAsia" w:ascii="仿宋" w:hAnsi="仿宋" w:eastAsia="仿宋" w:cs="仿宋"/>
          <w:color w:val="auto"/>
          <w:szCs w:val="21"/>
          <w:highlight w:val="none"/>
        </w:rPr>
        <w:t>已按照合同约定履行交付该</w:t>
      </w:r>
      <w:r>
        <w:rPr>
          <w:rFonts w:hint="eastAsia" w:ascii="仿宋" w:hAnsi="仿宋" w:eastAsia="仿宋" w:cs="仿宋"/>
          <w:color w:val="auto"/>
          <w:szCs w:val="21"/>
          <w:highlight w:val="none"/>
          <w:lang w:eastAsia="zh-Hans"/>
        </w:rPr>
        <w:t>物业</w:t>
      </w:r>
      <w:r>
        <w:rPr>
          <w:rFonts w:hint="eastAsia" w:ascii="仿宋" w:hAnsi="仿宋" w:eastAsia="仿宋" w:cs="仿宋"/>
          <w:color w:val="auto"/>
          <w:szCs w:val="21"/>
          <w:highlight w:val="none"/>
        </w:rPr>
        <w:t>义务，不存在任何违约责任。本交接单</w:t>
      </w:r>
      <w:r>
        <w:rPr>
          <w:rFonts w:hint="eastAsia" w:ascii="仿宋" w:hAnsi="仿宋" w:eastAsia="仿宋" w:cs="仿宋"/>
          <w:color w:val="auto"/>
          <w:szCs w:val="21"/>
          <w:highlight w:val="none"/>
          <w:lang w:eastAsia="zh-Hans"/>
        </w:rPr>
        <w:t>一式</w:t>
      </w:r>
      <w:r>
        <w:rPr>
          <w:rFonts w:hint="eastAsia" w:ascii="仿宋" w:hAnsi="仿宋" w:eastAsia="仿宋" w:cs="仿宋"/>
          <w:color w:val="auto"/>
          <w:szCs w:val="21"/>
          <w:highlight w:val="none"/>
        </w:rPr>
        <w:t>陆份，甲方执肆份、乙方执贰份。</w:t>
      </w:r>
    </w:p>
    <w:p w14:paraId="50FB7946">
      <w:pPr>
        <w:spacing w:line="312" w:lineRule="auto"/>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val="en-US" w:eastAsia="zh-CN"/>
        </w:rPr>
        <w:t>乙方</w:t>
      </w:r>
      <w:r>
        <w:rPr>
          <w:rFonts w:hint="eastAsia" w:ascii="仿宋" w:hAnsi="仿宋" w:eastAsia="仿宋" w:cs="仿宋"/>
          <w:b/>
          <w:bCs/>
          <w:color w:val="auto"/>
          <w:szCs w:val="21"/>
          <w:highlight w:val="none"/>
        </w:rPr>
        <w:t>单位签署：</w:t>
      </w:r>
      <w:r>
        <w:rPr>
          <w:rFonts w:hint="eastAsia" w:ascii="仿宋" w:hAnsi="仿宋" w:eastAsia="仿宋" w:cs="仿宋"/>
          <w:b/>
          <w:bCs/>
          <w:color w:val="auto"/>
          <w:szCs w:val="21"/>
          <w:highlight w:val="none"/>
          <w:u w:val="single"/>
        </w:rPr>
        <w:t xml:space="preserve">               </w:t>
      </w:r>
    </w:p>
    <w:p w14:paraId="06C71E13">
      <w:pPr>
        <w:spacing w:line="312" w:lineRule="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甲方</w:t>
      </w:r>
      <w:r>
        <w:rPr>
          <w:rFonts w:hint="eastAsia" w:ascii="仿宋" w:hAnsi="仿宋" w:eastAsia="仿宋" w:cs="仿宋"/>
          <w:b/>
          <w:bCs/>
          <w:color w:val="auto"/>
          <w:szCs w:val="21"/>
          <w:highlight w:val="none"/>
        </w:rPr>
        <w:t>单位</w:t>
      </w:r>
      <w:r>
        <w:rPr>
          <w:rFonts w:hint="eastAsia" w:ascii="仿宋" w:hAnsi="仿宋" w:eastAsia="仿宋" w:cs="仿宋"/>
          <w:b/>
          <w:bCs/>
          <w:color w:val="auto"/>
          <w:szCs w:val="21"/>
          <w:highlight w:val="none"/>
          <w:lang w:eastAsia="zh-Hans"/>
        </w:rPr>
        <w:t>签署</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u w:val="single"/>
        </w:rPr>
        <w:t xml:space="preserve">               </w:t>
      </w:r>
    </w:p>
    <w:p w14:paraId="24B5DD29">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物业单位</w:t>
      </w:r>
      <w:r>
        <w:rPr>
          <w:rFonts w:hint="eastAsia" w:ascii="仿宋" w:hAnsi="仿宋" w:eastAsia="仿宋" w:cs="仿宋"/>
          <w:b/>
          <w:bCs/>
          <w:color w:val="auto"/>
          <w:szCs w:val="21"/>
          <w:highlight w:val="none"/>
          <w:lang w:eastAsia="zh-Hans"/>
        </w:rPr>
        <w:t>签署</w:t>
      </w: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u w:val="single"/>
        </w:rPr>
        <w:t xml:space="preserve">               </w:t>
      </w:r>
      <w:r>
        <w:rPr>
          <w:rFonts w:hint="eastAsia" w:ascii="仿宋" w:hAnsi="仿宋" w:eastAsia="仿宋"/>
          <w:color w:val="auto"/>
          <w:sz w:val="24"/>
          <w:highlight w:val="none"/>
          <w:lang w:val="en-US" w:eastAsia="zh-CN"/>
        </w:rPr>
        <w:br w:type="page"/>
      </w:r>
      <w:r>
        <w:rPr>
          <w:rFonts w:hint="eastAsia" w:ascii="仿宋" w:hAnsi="仿宋" w:eastAsia="仿宋" w:cs="仿宋"/>
          <w:b/>
          <w:bCs/>
          <w:color w:val="auto"/>
          <w:szCs w:val="21"/>
          <w:highlight w:val="none"/>
        </w:rPr>
        <w:t>附件</w:t>
      </w:r>
      <w:r>
        <w:rPr>
          <w:rFonts w:hint="eastAsia" w:ascii="仿宋" w:hAnsi="仿宋" w:eastAsia="仿宋" w:cs="仿宋"/>
          <w:b/>
          <w:bCs/>
          <w:color w:val="auto"/>
          <w:szCs w:val="21"/>
          <w:highlight w:val="none"/>
          <w:lang w:val="en-US" w:eastAsia="zh-CN"/>
        </w:rPr>
        <w:t>3</w:t>
      </w:r>
    </w:p>
    <w:p w14:paraId="42315FDC">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安全</w:t>
      </w:r>
      <w:r>
        <w:rPr>
          <w:rFonts w:hint="eastAsia" w:ascii="宋体" w:hAnsi="宋体" w:cs="宋体"/>
          <w:b/>
          <w:color w:val="auto"/>
          <w:sz w:val="32"/>
          <w:szCs w:val="32"/>
          <w:highlight w:val="none"/>
          <w:lang w:val="en-US" w:eastAsia="zh-CN"/>
        </w:rPr>
        <w:t>生产管理</w:t>
      </w:r>
      <w:r>
        <w:rPr>
          <w:rFonts w:hint="eastAsia" w:ascii="宋体" w:hAnsi="宋体" w:eastAsia="宋体" w:cs="宋体"/>
          <w:b/>
          <w:color w:val="auto"/>
          <w:sz w:val="32"/>
          <w:szCs w:val="32"/>
          <w:highlight w:val="none"/>
          <w:lang w:val="en-US" w:eastAsia="zh-CN"/>
        </w:rPr>
        <w:t>协议书</w:t>
      </w:r>
    </w:p>
    <w:p w14:paraId="0D7E44BF">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r>
        <w:rPr>
          <w:rFonts w:hint="eastAsia" w:ascii="宋体" w:hAnsi="宋体" w:eastAsia="宋体" w:cs="宋体"/>
          <w:sz w:val="24"/>
          <w:u w:val="single"/>
        </w:rPr>
        <w:t>杭州运河辰祥工业遗址综合保护开发有限公司</w:t>
      </w:r>
    </w:p>
    <w:p w14:paraId="0A2A1522">
      <w:pPr>
        <w:pStyle w:val="5"/>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w:t>
      </w:r>
      <w:r>
        <w:rPr>
          <w:rFonts w:hint="eastAsia" w:ascii="宋体" w:hAnsi="宋体" w:eastAsia="宋体" w:cs="宋体"/>
          <w:sz w:val="24"/>
          <w:szCs w:val="24"/>
          <w:u w:val="single"/>
          <w:lang w:val="en-US" w:eastAsia="zh-CN"/>
        </w:rPr>
        <w:t xml:space="preserve"> </w:t>
      </w:r>
      <w:r>
        <w:rPr>
          <w:rFonts w:hint="eastAsia" w:ascii="仿宋" w:hAnsi="仿宋" w:eastAsia="仿宋" w:cs="仿宋"/>
          <w:sz w:val="24"/>
          <w:highlight w:val="none"/>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仿宋" w:hAnsi="仿宋" w:eastAsia="仿宋" w:cs="仿宋"/>
          <w:sz w:val="24"/>
          <w:szCs w:val="24"/>
          <w:u w:val="single"/>
          <w:lang w:val="en-US" w:eastAsia="zh-CN"/>
        </w:rPr>
        <w:t xml:space="preserve">  </w:t>
      </w:r>
    </w:p>
    <w:p w14:paraId="666BCDEC">
      <w:pPr>
        <w:pStyle w:val="5"/>
        <w:spacing w:line="360" w:lineRule="auto"/>
        <w:rPr>
          <w:rFonts w:hint="eastAsia" w:ascii="宋体" w:hAnsi="宋体" w:eastAsia="宋体" w:cs="宋体"/>
          <w:color w:val="auto"/>
          <w:sz w:val="24"/>
          <w:szCs w:val="24"/>
          <w:highlight w:val="none"/>
        </w:rPr>
      </w:pPr>
    </w:p>
    <w:p w14:paraId="753AD33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乙方接收</w:t>
      </w:r>
      <w:r>
        <w:rPr>
          <w:rFonts w:hint="eastAsia" w:ascii="宋体" w:hAnsi="宋体" w:cs="宋体"/>
          <w:color w:val="auto"/>
          <w:sz w:val="24"/>
          <w:szCs w:val="24"/>
          <w:highlight w:val="none"/>
          <w:u w:val="single"/>
          <w:lang w:val="en-US" w:eastAsia="zh-CN"/>
        </w:rPr>
        <w:t xml:space="preserve"> </w:t>
      </w:r>
      <w:r>
        <w:rPr>
          <w:rFonts w:hint="eastAsia" w:ascii="仿宋" w:hAnsi="仿宋" w:eastAsia="仿宋" w:cs="仿宋"/>
          <w:b w:val="0"/>
          <w:bCs w:val="0"/>
          <w:color w:val="auto"/>
          <w:szCs w:val="21"/>
          <w:highlight w:val="none"/>
          <w:u w:val="single"/>
          <w:lang w:val="en-US" w:eastAsia="zh-CN"/>
        </w:rPr>
        <w:t>杭钢物资大楼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物业</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为创建一个安全、稳定的经营环境，确保</w:t>
      </w:r>
      <w:r>
        <w:rPr>
          <w:rFonts w:hint="eastAsia" w:ascii="宋体" w:hAnsi="宋体" w:cs="宋体"/>
          <w:color w:val="auto"/>
          <w:sz w:val="24"/>
          <w:szCs w:val="24"/>
          <w:highlight w:val="none"/>
          <w:lang w:val="en-US" w:eastAsia="zh-CN"/>
        </w:rPr>
        <w:t>承接</w:t>
      </w:r>
      <w:r>
        <w:rPr>
          <w:rFonts w:hint="eastAsia" w:ascii="宋体" w:hAnsi="宋体" w:eastAsia="宋体" w:cs="宋体"/>
          <w:color w:val="auto"/>
          <w:sz w:val="24"/>
          <w:szCs w:val="24"/>
          <w:highlight w:val="none"/>
        </w:rPr>
        <w:t>区域安全，根据《中华人民共和国消防法》、《机关、团体、企业、事业单位消防安全管理规定》、《浙江省消防条例》及相关规定精神，甲方和乙方订立本</w:t>
      </w:r>
      <w:r>
        <w:rPr>
          <w:rFonts w:hint="eastAsia" w:ascii="宋体" w:hAnsi="宋体" w:cs="宋体"/>
          <w:color w:val="auto"/>
          <w:sz w:val="24"/>
          <w:szCs w:val="24"/>
          <w:highlight w:val="none"/>
          <w:lang w:val="en-US" w:eastAsia="zh-CN"/>
        </w:rPr>
        <w:t>协议</w:t>
      </w:r>
      <w:r>
        <w:rPr>
          <w:rFonts w:hint="eastAsia" w:ascii="宋体" w:hAnsi="宋体" w:eastAsia="宋体" w:cs="宋体"/>
          <w:color w:val="auto"/>
          <w:sz w:val="24"/>
          <w:szCs w:val="24"/>
          <w:highlight w:val="none"/>
        </w:rPr>
        <w:t>。</w:t>
      </w:r>
    </w:p>
    <w:p w14:paraId="0318948A">
      <w:pPr>
        <w:numPr>
          <w:ilvl w:val="0"/>
          <w:numId w:val="1"/>
        </w:num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根据有关法规规定，乙方从接收该物业之日起，其法定代表人或主要负责人为本物业安全生产、消防治安责任人，乙方须对</w:t>
      </w:r>
      <w:r>
        <w:rPr>
          <w:rFonts w:hint="eastAsia" w:ascii="宋体" w:hAnsi="宋体" w:cs="宋体"/>
          <w:color w:val="auto"/>
          <w:sz w:val="24"/>
          <w:szCs w:val="24"/>
          <w:highlight w:val="none"/>
          <w:lang w:val="en-US" w:eastAsia="zh-CN"/>
        </w:rPr>
        <w:t>该</w:t>
      </w:r>
      <w:r>
        <w:rPr>
          <w:rFonts w:hint="eastAsia" w:ascii="宋体" w:hAnsi="宋体" w:eastAsia="宋体" w:cs="宋体"/>
          <w:color w:val="auto"/>
          <w:sz w:val="24"/>
          <w:szCs w:val="24"/>
          <w:highlight w:val="none"/>
        </w:rPr>
        <w:t>物业安全工作负全面的责任。</w:t>
      </w:r>
    </w:p>
    <w:p w14:paraId="4302B50B">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2、物业投入使用时，乙方必须按照《中华人民共和国消防法》和《机关、团体、企业、事业单位消防安全管理规定》以及地方等</w:t>
      </w:r>
      <w:r>
        <w:rPr>
          <w:rFonts w:hint="eastAsia" w:ascii="宋体" w:hAnsi="宋体" w:cs="宋体"/>
          <w:color w:val="auto"/>
          <w:sz w:val="24"/>
          <w:szCs w:val="24"/>
          <w:highlight w:val="none"/>
          <w:lang w:val="en-US" w:eastAsia="zh-CN"/>
        </w:rPr>
        <w:t>安全</w:t>
      </w:r>
      <w:r>
        <w:rPr>
          <w:rFonts w:hint="eastAsia" w:ascii="宋体" w:hAnsi="宋体" w:eastAsia="宋体" w:cs="宋体"/>
          <w:color w:val="auto"/>
          <w:sz w:val="24"/>
          <w:szCs w:val="24"/>
          <w:highlight w:val="none"/>
        </w:rPr>
        <w:t>有关法律、法规，建立本单位安全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消防</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管理制度，并负责督促执行，确保</w:t>
      </w:r>
      <w:r>
        <w:rPr>
          <w:rFonts w:hint="eastAsia" w:ascii="宋体" w:hAnsi="宋体" w:cs="宋体"/>
          <w:color w:val="auto"/>
          <w:sz w:val="24"/>
          <w:szCs w:val="24"/>
          <w:highlight w:val="none"/>
          <w:lang w:val="en-US" w:eastAsia="zh-CN"/>
        </w:rPr>
        <w:t>房屋</w:t>
      </w:r>
      <w:r>
        <w:rPr>
          <w:rFonts w:hint="eastAsia" w:ascii="宋体" w:hAnsi="宋体" w:eastAsia="宋体" w:cs="宋体"/>
          <w:color w:val="auto"/>
          <w:sz w:val="24"/>
          <w:szCs w:val="24"/>
          <w:highlight w:val="none"/>
        </w:rPr>
        <w:t>区域正常安全使用。</w:t>
      </w:r>
      <w:r>
        <w:rPr>
          <w:rFonts w:hint="eastAsia" w:ascii="宋体" w:hAnsi="宋体" w:cs="宋体"/>
          <w:color w:val="auto"/>
          <w:sz w:val="24"/>
          <w:szCs w:val="24"/>
          <w:highlight w:val="none"/>
          <w:lang w:val="en-US" w:eastAsia="zh-CN"/>
        </w:rPr>
        <w:t>根据相关规定，将安全（</w:t>
      </w:r>
      <w:r>
        <w:rPr>
          <w:rFonts w:hint="eastAsia" w:ascii="宋体" w:hAnsi="宋体" w:eastAsia="宋体" w:cs="宋体"/>
          <w:color w:val="auto"/>
          <w:sz w:val="24"/>
          <w:szCs w:val="24"/>
          <w:highlight w:val="none"/>
        </w:rPr>
        <w:t>消防</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管理制度和火警火灾应急处置预案报相关单位审核同意，并落实专人负责。督促落实各级防火责任制，改善消防安全条件，完善消防设施。</w:t>
      </w:r>
    </w:p>
    <w:p w14:paraId="5A337C5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应负责物业的火险隐患整改措施的落实，消除隐患。协助消防大队等职能部门、甲方做好消防日常检查工作，如发现存在安全隐患的，应在甲方通知期限内完成相应消防整改工作，如限期未整改，应支付甲方违约金每次贰千元（在乙方</w:t>
      </w:r>
      <w:r>
        <w:rPr>
          <w:rFonts w:hint="eastAsia" w:ascii="宋体" w:hAnsi="宋体" w:cs="宋体"/>
          <w:color w:val="auto"/>
          <w:sz w:val="24"/>
          <w:szCs w:val="24"/>
          <w:highlight w:val="none"/>
          <w:lang w:val="en-US" w:eastAsia="zh-CN"/>
        </w:rPr>
        <w:t>履约</w:t>
      </w:r>
      <w:r>
        <w:rPr>
          <w:rFonts w:hint="eastAsia" w:ascii="宋体" w:hAnsi="宋体" w:eastAsia="宋体" w:cs="宋体"/>
          <w:color w:val="auto"/>
          <w:sz w:val="24"/>
          <w:szCs w:val="24"/>
          <w:highlight w:val="none"/>
        </w:rPr>
        <w:t>保证金中扣除），且乙方仍应继续整改；拒不整改的，甲方有权解除合同，并按照合同的约定追究乙方违约责任，相关责任与费用由乙方自行承担。</w:t>
      </w:r>
    </w:p>
    <w:p w14:paraId="42CFA1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定期组织员工进行消防知识培训，应持续对所属员工进行消防安全意识教育及消防知识培训，一旦发生火灾，按火警火灾处置预案积极组织扑救，迅速疏散人员，积极协助公安消防监督机关调查火灾原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pacing w:val="0"/>
          <w:sz w:val="24"/>
          <w:szCs w:val="24"/>
          <w:highlight w:val="none"/>
          <w:lang w:val="en-US" w:eastAsia="zh-CN"/>
        </w:rPr>
        <w:t>第一时间口头将火灾情况报告甲方</w:t>
      </w:r>
      <w:r>
        <w:rPr>
          <w:rFonts w:hint="eastAsia" w:ascii="宋体" w:hAnsi="宋体" w:eastAsia="宋体" w:cs="宋体"/>
          <w:color w:val="auto"/>
          <w:sz w:val="24"/>
          <w:szCs w:val="24"/>
          <w:highlight w:val="none"/>
        </w:rPr>
        <w:t>。</w:t>
      </w:r>
    </w:p>
    <w:p w14:paraId="50838A8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5、乙方应积极参加消防安全培训，负责向公安消防监督机关汇报消防安全工作情况，负责建立和健全消防档案，自觉接受物业日常消防管理。</w:t>
      </w:r>
    </w:p>
    <w:p w14:paraId="3381164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6、乙方应建立夜间值班制度，全面检查物业内的安全情况，确认无误，切断电源，做好24小时巡查工作。</w:t>
      </w:r>
    </w:p>
    <w:p w14:paraId="71F6321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7、乙方禁止在管理区域内生产、储存、使用有毒有害及易燃、易爆等化学物品。对未按国家相关规定申报及进行管理者，由乙方承担一切责任。</w:t>
      </w:r>
    </w:p>
    <w:p w14:paraId="6720793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8、乙方在进行焊接、切割等明火作业前，应先到物业管理单位办理动火证，施工前应将工作区域的易燃、易爆物品清理干净，配齐配足灭火器材，并确保操作人员持有有效的特种作业许可证。</w:t>
      </w:r>
    </w:p>
    <w:p w14:paraId="472EEA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乙方应根据管理区域用途性质和场地面积大小，配足相应的灭火器材，且禁止在消防箱和配电箱周围堆放一切物品，禁止阻碍消防及逃生通道。如需安装防盗门窗，必须采取相应的应急措施，确保人员疏散和应急救援的顺利进行。</w:t>
      </w:r>
    </w:p>
    <w:p w14:paraId="7376EEE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10、乙方应划定</w:t>
      </w:r>
      <w:r>
        <w:rPr>
          <w:rFonts w:hint="eastAsia" w:ascii="宋体" w:hAnsi="宋体" w:cs="宋体"/>
          <w:color w:val="auto"/>
          <w:sz w:val="24"/>
          <w:szCs w:val="24"/>
          <w:highlight w:val="none"/>
          <w:lang w:val="en-US" w:eastAsia="zh-CN"/>
        </w:rPr>
        <w:t>管理</w:t>
      </w:r>
      <w:r>
        <w:rPr>
          <w:rFonts w:hint="eastAsia" w:ascii="宋体" w:hAnsi="宋体" w:eastAsia="宋体" w:cs="宋体"/>
          <w:color w:val="auto"/>
          <w:sz w:val="24"/>
          <w:szCs w:val="24"/>
          <w:highlight w:val="none"/>
        </w:rPr>
        <w:t>区域内的重点防火区域和重点防火部位并加强日常监管，禁止员工私自携带电饭煲、电炉、热得快、电热杯等电热器具在区域内使用；不得在管理区域内焚烧任何可燃物</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不准乱拉乱接电线；严禁电动自行车违规充电</w:t>
      </w:r>
      <w:r>
        <w:rPr>
          <w:rFonts w:hint="eastAsia" w:ascii="宋体" w:hAnsi="宋体" w:eastAsia="宋体" w:cs="宋体"/>
          <w:color w:val="auto"/>
          <w:sz w:val="24"/>
          <w:szCs w:val="24"/>
          <w:highlight w:val="none"/>
        </w:rPr>
        <w:t>。</w:t>
      </w:r>
    </w:p>
    <w:p w14:paraId="7F7AB82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11、乙方应负责对厨房烟道、抽油烟机等设施设备按照消防要求每季度定期清洗保养，留存记录备查，防止烟道及抽油烟机油污积垢过多引起火灾；在厨房等有明火场所配足灭火毯等灭火器材。</w:t>
      </w:r>
    </w:p>
    <w:p w14:paraId="5859282A">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12、乙方的二次装修导致消防项目变更，必须做到与装修项目同规划、同设计，报管理单位及政府消防部门审核批准后，并同施工、验收相符，确保物业符合有关建筑消防安全设计规范及防火规范。</w:t>
      </w:r>
    </w:p>
    <w:p w14:paraId="19E12FE1">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13、乙方应指定本物业/单位防火负责人和义务消防员，并将防火负责人和义务消防人员名单、身份证复印件、联系电话等报管理单位备查。</w:t>
      </w:r>
    </w:p>
    <w:p w14:paraId="3BF84512">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14、乙方对自身或下属及有连带关系的他人，因管理不力或行为不慎等引致发生的责任事故承担直接或连带责任。</w:t>
      </w:r>
    </w:p>
    <w:p w14:paraId="08EF47F1">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15、乙方应指定人员按国家规范进行消防安全检查，</w:t>
      </w:r>
      <w:r>
        <w:rPr>
          <w:rFonts w:hint="eastAsia" w:ascii="宋体" w:hAnsi="宋体" w:cs="宋体"/>
          <w:color w:val="auto"/>
          <w:sz w:val="24"/>
          <w:szCs w:val="24"/>
          <w:highlight w:val="none"/>
          <w:lang w:val="en-US" w:eastAsia="zh-CN"/>
        </w:rPr>
        <w:t>发现隐患及时整改并以书面形式向甲方报告。</w:t>
      </w:r>
      <w:r>
        <w:rPr>
          <w:rFonts w:hint="eastAsia" w:ascii="宋体" w:hAnsi="宋体" w:eastAsia="宋体" w:cs="宋体"/>
          <w:color w:val="auto"/>
          <w:sz w:val="24"/>
          <w:szCs w:val="24"/>
          <w:highlight w:val="none"/>
        </w:rPr>
        <w:t>检查的内容：</w:t>
      </w:r>
    </w:p>
    <w:p w14:paraId="25DEC23A">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火灾隐患的整改情况以及防范措施的落实情况；</w:t>
      </w:r>
    </w:p>
    <w:p w14:paraId="7367216C">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安全疏散通道、疏散指示标志、应急照明和安全出口情况；</w:t>
      </w:r>
    </w:p>
    <w:p w14:paraId="760024CC">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烟感、喷淋等消防设施</w:t>
      </w:r>
      <w:r>
        <w:rPr>
          <w:rFonts w:hint="eastAsia" w:ascii="宋体" w:hAnsi="宋体" w:eastAsia="宋体" w:cs="宋体"/>
          <w:color w:val="auto"/>
          <w:sz w:val="24"/>
          <w:szCs w:val="24"/>
          <w:highlight w:val="none"/>
        </w:rPr>
        <w:t>配置及有效情况；</w:t>
      </w:r>
    </w:p>
    <w:p w14:paraId="7B0EF61A">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用火、用电有无违章情况；</w:t>
      </w:r>
    </w:p>
    <w:p w14:paraId="1B839802">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重点工种人员以及其他员工消防知识的掌握情况；</w:t>
      </w:r>
    </w:p>
    <w:p w14:paraId="7E15A226">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消防安全重点部位的管理情况；</w:t>
      </w:r>
    </w:p>
    <w:p w14:paraId="21C396DB">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易燃易爆危险物品和场所防火防爆措施的落实情况以及其他重要物资的防火安全情况；</w:t>
      </w:r>
    </w:p>
    <w:p w14:paraId="1236B7E9">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防火巡查情况；</w:t>
      </w:r>
    </w:p>
    <w:p w14:paraId="42ED8509">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消防安全标志的设置和设施运行、记录情况；</w:t>
      </w:r>
    </w:p>
    <w:p w14:paraId="3ACE1620">
      <w:pPr>
        <w:numPr>
          <w:ilvl w:val="0"/>
          <w:numId w:val="2"/>
        </w:numPr>
        <w:adjustRightInd w:val="0"/>
        <w:spacing w:line="360" w:lineRule="auto"/>
        <w:ind w:left="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其他需要检查的内容。</w:t>
      </w:r>
    </w:p>
    <w:p w14:paraId="4CE60365">
      <w:pPr>
        <w:numPr>
          <w:ilvl w:val="0"/>
          <w:numId w:val="0"/>
        </w:numPr>
        <w:tabs>
          <w:tab w:val="left" w:pos="990"/>
        </w:tabs>
        <w:adjustRightInd w:val="0"/>
        <w:spacing w:line="360" w:lineRule="auto"/>
        <w:ind w:left="0" w:firstLine="480" w:firstLineChars="20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16、乙方应加强风险管控工作，对于高空作业等工作，应由专业资质人员进行操作，存在食品售卖的，应保证食品安全，销售保质期内食品。</w:t>
      </w:r>
    </w:p>
    <w:p w14:paraId="774A2FA1">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、双方根据现场实际情况，对本</w:t>
      </w:r>
      <w:r>
        <w:rPr>
          <w:rFonts w:hint="eastAsia" w:ascii="宋体" w:hAnsi="宋体" w:cs="宋体"/>
          <w:color w:val="auto"/>
          <w:sz w:val="24"/>
          <w:szCs w:val="24"/>
          <w:highlight w:val="none"/>
          <w:lang w:val="en-US" w:eastAsia="zh-CN"/>
        </w:rPr>
        <w:t>协议</w:t>
      </w:r>
      <w:r>
        <w:rPr>
          <w:rFonts w:hint="eastAsia" w:ascii="宋体" w:hAnsi="宋体" w:eastAsia="宋体" w:cs="宋体"/>
          <w:color w:val="auto"/>
          <w:sz w:val="24"/>
          <w:szCs w:val="24"/>
          <w:highlight w:val="none"/>
        </w:rPr>
        <w:t>做进一步修改或补充。</w:t>
      </w:r>
    </w:p>
    <w:p w14:paraId="0DAD1B26">
      <w:pPr>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、凡违反前述规定而引起</w:t>
      </w:r>
      <w:r>
        <w:rPr>
          <w:rFonts w:hint="eastAsia" w:ascii="宋体" w:hAnsi="宋体" w:cs="宋体"/>
          <w:color w:val="auto"/>
          <w:sz w:val="24"/>
          <w:szCs w:val="24"/>
          <w:highlight w:val="none"/>
          <w:lang w:val="en-US" w:eastAsia="zh-CN"/>
        </w:rPr>
        <w:t>安全事故、</w:t>
      </w:r>
      <w:r>
        <w:rPr>
          <w:rFonts w:hint="eastAsia" w:ascii="宋体" w:hAnsi="宋体" w:eastAsia="宋体" w:cs="宋体"/>
          <w:color w:val="auto"/>
          <w:sz w:val="24"/>
          <w:szCs w:val="24"/>
          <w:highlight w:val="none"/>
        </w:rPr>
        <w:t>火灾或被公安消防监督机关查处，由乙方承担全部经济损失和法律责任，若甲方因此承担任何责任的，有权全额向乙方予以追偿。</w:t>
      </w:r>
    </w:p>
    <w:p w14:paraId="4B1C5B38">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、本</w:t>
      </w:r>
      <w:r>
        <w:rPr>
          <w:rFonts w:hint="eastAsia" w:ascii="宋体" w:hAnsi="宋体" w:cs="宋体"/>
          <w:color w:val="auto"/>
          <w:sz w:val="24"/>
          <w:szCs w:val="24"/>
          <w:highlight w:val="none"/>
          <w:lang w:val="en-US" w:eastAsia="zh-CN"/>
        </w:rPr>
        <w:t>协议</w:t>
      </w:r>
      <w:r>
        <w:rPr>
          <w:rFonts w:hint="eastAsia" w:ascii="宋体" w:hAnsi="宋体" w:eastAsia="宋体" w:cs="宋体"/>
          <w:color w:val="auto"/>
          <w:sz w:val="24"/>
          <w:szCs w:val="24"/>
          <w:highlight w:val="none"/>
        </w:rPr>
        <w:t>书自甲乙双方完成物业移交之日起生效。</w:t>
      </w:r>
    </w:p>
    <w:p w14:paraId="13925A02">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、本</w:t>
      </w:r>
      <w:r>
        <w:rPr>
          <w:rFonts w:hint="eastAsia" w:ascii="宋体" w:hAnsi="宋体" w:cs="宋体"/>
          <w:color w:val="auto"/>
          <w:sz w:val="24"/>
          <w:szCs w:val="24"/>
          <w:highlight w:val="none"/>
          <w:lang w:val="en-US" w:eastAsia="zh-CN"/>
        </w:rPr>
        <w:t>协议</w:t>
      </w:r>
      <w:r>
        <w:rPr>
          <w:rFonts w:hint="eastAsia" w:ascii="宋体" w:hAnsi="宋体" w:eastAsia="宋体" w:cs="宋体"/>
          <w:color w:val="auto"/>
          <w:sz w:val="24"/>
          <w:szCs w:val="24"/>
          <w:highlight w:val="none"/>
        </w:rPr>
        <w:t>书解释权属甲方；未尽内容或与有关法律法规相抵触之内容,以法律法规为准。</w:t>
      </w:r>
    </w:p>
    <w:p w14:paraId="16B16A0F">
      <w:pPr>
        <w:tabs>
          <w:tab w:val="left" w:pos="630"/>
        </w:tabs>
        <w:adjustRightInd w:val="0"/>
        <w:spacing w:before="0" w:beforeLines="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协议</w:t>
      </w:r>
      <w:r>
        <w:rPr>
          <w:rFonts w:hint="eastAsia" w:ascii="宋体" w:hAnsi="宋体" w:eastAsia="宋体" w:cs="宋体"/>
          <w:color w:val="auto"/>
          <w:sz w:val="24"/>
          <w:szCs w:val="24"/>
          <w:highlight w:val="none"/>
        </w:rPr>
        <w:t>书共一式</w:t>
      </w:r>
      <w:r>
        <w:rPr>
          <w:rFonts w:hint="eastAsia" w:ascii="宋体" w:hAnsi="宋体" w:cs="宋体"/>
          <w:color w:val="auto"/>
          <w:sz w:val="24"/>
          <w:szCs w:val="24"/>
          <w:highlight w:val="none"/>
          <w:lang w:val="en-US" w:eastAsia="zh-CN"/>
        </w:rPr>
        <w:t xml:space="preserve"> 陆 </w:t>
      </w:r>
      <w:r>
        <w:rPr>
          <w:rFonts w:hint="eastAsia" w:ascii="宋体" w:hAnsi="宋体" w:eastAsia="宋体" w:cs="宋体"/>
          <w:color w:val="auto"/>
          <w:sz w:val="24"/>
          <w:szCs w:val="24"/>
          <w:highlight w:val="none"/>
        </w:rPr>
        <w:t>份，甲</w:t>
      </w:r>
      <w:r>
        <w:rPr>
          <w:rFonts w:hint="eastAsia" w:ascii="宋体" w:hAnsi="宋体" w:cs="宋体"/>
          <w:color w:val="auto"/>
          <w:sz w:val="24"/>
          <w:szCs w:val="24"/>
          <w:highlight w:val="none"/>
          <w:lang w:val="en-US" w:eastAsia="zh-CN"/>
        </w:rPr>
        <w:t>方执 肆 份，</w:t>
      </w:r>
      <w:r>
        <w:rPr>
          <w:rFonts w:hint="eastAsia" w:ascii="宋体" w:hAnsi="宋体" w:eastAsia="宋体" w:cs="宋体"/>
          <w:color w:val="auto"/>
          <w:sz w:val="24"/>
          <w:szCs w:val="24"/>
          <w:highlight w:val="none"/>
        </w:rPr>
        <w:t>乙</w:t>
      </w:r>
      <w:r>
        <w:rPr>
          <w:rFonts w:hint="eastAsia" w:ascii="宋体" w:hAnsi="宋体" w:cs="宋体"/>
          <w:color w:val="auto"/>
          <w:sz w:val="24"/>
          <w:szCs w:val="24"/>
          <w:highlight w:val="none"/>
          <w:lang w:val="en-US" w:eastAsia="zh-CN"/>
        </w:rPr>
        <w:t>方</w:t>
      </w:r>
      <w:r>
        <w:rPr>
          <w:rFonts w:hint="eastAsia" w:ascii="宋体" w:hAnsi="宋体" w:eastAsia="宋体" w:cs="宋体"/>
          <w:color w:val="auto"/>
          <w:sz w:val="24"/>
          <w:szCs w:val="24"/>
          <w:highlight w:val="none"/>
        </w:rPr>
        <w:t>执</w:t>
      </w:r>
      <w:r>
        <w:rPr>
          <w:rFonts w:hint="eastAsia" w:ascii="宋体" w:hAnsi="宋体" w:cs="宋体"/>
          <w:color w:val="auto"/>
          <w:sz w:val="24"/>
          <w:szCs w:val="24"/>
          <w:highlight w:val="none"/>
          <w:lang w:val="en-US" w:eastAsia="zh-CN"/>
        </w:rPr>
        <w:t xml:space="preserve"> 贰 </w:t>
      </w:r>
      <w:r>
        <w:rPr>
          <w:rFonts w:hint="eastAsia" w:ascii="宋体" w:hAnsi="宋体" w:eastAsia="宋体" w:cs="宋体"/>
          <w:color w:val="auto"/>
          <w:sz w:val="24"/>
          <w:szCs w:val="24"/>
          <w:highlight w:val="none"/>
        </w:rPr>
        <w:t>份。</w:t>
      </w:r>
    </w:p>
    <w:p w14:paraId="4643214B">
      <w:pPr>
        <w:tabs>
          <w:tab w:val="left" w:pos="630"/>
        </w:tabs>
        <w:adjustRightIn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（以下无正文）</w:t>
      </w:r>
    </w:p>
    <w:p w14:paraId="7E359979">
      <w:pPr>
        <w:pStyle w:val="18"/>
        <w:spacing w:line="480" w:lineRule="exact"/>
        <w:rPr>
          <w:rFonts w:hint="eastAsia" w:ascii="仿宋" w:hAnsi="仿宋" w:eastAsia="仿宋" w:cs="仿宋"/>
          <w:color w:val="auto"/>
          <w:kern w:val="2"/>
          <w:sz w:val="21"/>
          <w:szCs w:val="21"/>
          <w:highlight w:val="none"/>
          <w:lang w:val="en-US"/>
        </w:rPr>
      </w:pPr>
    </w:p>
    <w:p w14:paraId="162F50BF">
      <w:pPr>
        <w:spacing w:line="480" w:lineRule="exact"/>
        <w:rPr>
          <w:rFonts w:hint="eastAsia" w:ascii="仿宋" w:hAnsi="仿宋" w:eastAsia="仿宋" w:cs="仿宋"/>
          <w:b w:val="0"/>
          <w:bCs w:val="0"/>
          <w:sz w:val="21"/>
          <w:szCs w:val="21"/>
          <w:u w:val="single"/>
        </w:rPr>
      </w:pPr>
      <w:r>
        <w:rPr>
          <w:rFonts w:hint="eastAsia" w:ascii="仿宋" w:hAnsi="仿宋" w:eastAsia="仿宋" w:cs="仿宋"/>
          <w:b w:val="0"/>
          <w:bCs w:val="0"/>
          <w:color w:val="auto"/>
          <w:sz w:val="21"/>
          <w:szCs w:val="21"/>
          <w:highlight w:val="none"/>
        </w:rPr>
        <w:t xml:space="preserve">甲方（盖章）： </w:t>
      </w:r>
      <w:r>
        <w:rPr>
          <w:rFonts w:hint="eastAsia" w:ascii="仿宋" w:hAnsi="仿宋" w:eastAsia="仿宋" w:cs="仿宋"/>
          <w:b w:val="0"/>
          <w:bCs w:val="0"/>
          <w:sz w:val="21"/>
          <w:szCs w:val="21"/>
          <w:u w:val="single"/>
        </w:rPr>
        <w:t>杭州运河辰祥工业遗址</w:t>
      </w:r>
      <w:r>
        <w:rPr>
          <w:rFonts w:hint="eastAsia" w:ascii="仿宋" w:hAnsi="仿宋" w:eastAsia="仿宋" w:cs="仿宋"/>
          <w:b w:val="0"/>
          <w:bCs w:val="0"/>
          <w:sz w:val="21"/>
          <w:szCs w:val="21"/>
          <w:u w:val="none"/>
          <w:lang w:val="en-US" w:eastAsia="zh-CN"/>
        </w:rPr>
        <w:t xml:space="preserve">     </w:t>
      </w:r>
      <w:r>
        <w:rPr>
          <w:rFonts w:hint="eastAsia" w:ascii="仿宋" w:hAnsi="仿宋" w:eastAsia="仿宋" w:cs="仿宋"/>
          <w:b w:val="0"/>
          <w:bCs w:val="0"/>
          <w:color w:val="auto"/>
          <w:sz w:val="21"/>
          <w:szCs w:val="21"/>
          <w:highlight w:val="none"/>
        </w:rPr>
        <w:t>乙方(盖章）：</w:t>
      </w:r>
    </w:p>
    <w:p w14:paraId="058657F9">
      <w:pPr>
        <w:spacing w:line="480" w:lineRule="exact"/>
        <w:ind w:firstLine="1470" w:firstLineChars="700"/>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sz w:val="21"/>
          <w:szCs w:val="21"/>
          <w:u w:val="single"/>
        </w:rPr>
        <w:t>综合保护开发有限公司</w:t>
      </w:r>
      <w:r>
        <w:rPr>
          <w:rFonts w:hint="eastAsia" w:ascii="仿宋" w:hAnsi="仿宋" w:eastAsia="仿宋" w:cs="仿宋"/>
          <w:b w:val="0"/>
          <w:bCs w:val="0"/>
          <w:sz w:val="21"/>
          <w:szCs w:val="21"/>
          <w:u w:val="single"/>
          <w:lang w:val="en-US" w:eastAsia="zh-CN"/>
        </w:rPr>
        <w:t xml:space="preserve"> </w:t>
      </w:r>
      <w:r>
        <w:rPr>
          <w:rFonts w:hint="eastAsia" w:ascii="仿宋" w:hAnsi="仿宋" w:eastAsia="仿宋" w:cs="仿宋"/>
          <w:b w:val="0"/>
          <w:bCs w:val="0"/>
          <w:color w:val="auto"/>
          <w:sz w:val="21"/>
          <w:szCs w:val="21"/>
          <w:highlight w:val="none"/>
        </w:rPr>
        <w:t xml:space="preserve">    </w:t>
      </w:r>
      <w:r>
        <w:rPr>
          <w:rFonts w:hint="eastAsia" w:ascii="仿宋" w:hAnsi="仿宋" w:eastAsia="仿宋" w:cs="仿宋"/>
          <w:b w:val="0"/>
          <w:bCs w:val="0"/>
          <w:color w:val="auto"/>
          <w:sz w:val="21"/>
          <w:szCs w:val="21"/>
          <w:highlight w:val="none"/>
          <w:lang w:val="en-US" w:eastAsia="zh-CN"/>
        </w:rPr>
        <w:t xml:space="preserve">        </w:t>
      </w:r>
    </w:p>
    <w:p w14:paraId="40DF1A19">
      <w:pPr>
        <w:spacing w:line="480" w:lineRule="exact"/>
        <w:rPr>
          <w:rFonts w:hint="eastAsia" w:ascii="仿宋" w:hAnsi="仿宋" w:eastAsia="仿宋" w:cs="仿宋"/>
          <w:color w:val="auto"/>
          <w:szCs w:val="21"/>
          <w:highlight w:val="none"/>
        </w:rPr>
      </w:pPr>
      <w:r>
        <w:rPr>
          <w:rFonts w:hint="eastAsia" w:ascii="仿宋" w:hAnsi="仿宋" w:eastAsia="仿宋" w:cs="仿宋"/>
          <w:b w:val="0"/>
          <w:bCs w:val="0"/>
          <w:color w:val="auto"/>
          <w:sz w:val="21"/>
          <w:szCs w:val="21"/>
          <w:highlight w:val="none"/>
        </w:rPr>
        <w:t xml:space="preserve">法定代表人：                             法定代表人：    </w:t>
      </w:r>
      <w:r>
        <w:rPr>
          <w:rFonts w:hint="eastAsia" w:ascii="仿宋" w:hAnsi="仿宋" w:eastAsia="仿宋" w:cs="仿宋"/>
          <w:color w:val="auto"/>
          <w:szCs w:val="21"/>
          <w:highlight w:val="none"/>
        </w:rPr>
        <w:t xml:space="preserve">                               </w:t>
      </w:r>
    </w:p>
    <w:p w14:paraId="61B6BA01">
      <w:pPr>
        <w:spacing w:line="480" w:lineRule="exact"/>
        <w:ind w:firstLine="840" w:firstLineChars="400"/>
        <w:rPr>
          <w:rFonts w:hint="eastAsia" w:ascii="仿宋" w:hAnsi="仿宋" w:eastAsia="仿宋" w:cs="仿宋"/>
          <w:color w:val="auto"/>
          <w:szCs w:val="21"/>
          <w:highlight w:val="none"/>
        </w:rPr>
      </w:pPr>
    </w:p>
    <w:p w14:paraId="1742644B">
      <w:pPr>
        <w:spacing w:line="480" w:lineRule="exact"/>
        <w:ind w:firstLine="0" w:firstLineChars="0"/>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年    月    日            </w:t>
      </w:r>
      <w:r>
        <w:rPr>
          <w:rFonts w:ascii="仿宋" w:hAnsi="仿宋" w:eastAsia="仿宋" w:cs="仿宋"/>
          <w:color w:val="auto"/>
          <w:szCs w:val="21"/>
          <w:highlight w:val="none"/>
        </w:rPr>
        <w:t xml:space="preserve">              </w:t>
      </w:r>
      <w:r>
        <w:rPr>
          <w:rFonts w:hint="eastAsia" w:ascii="仿宋" w:hAnsi="仿宋" w:eastAsia="仿宋" w:cs="仿宋"/>
          <w:color w:val="auto"/>
          <w:szCs w:val="21"/>
          <w:highlight w:val="none"/>
        </w:rPr>
        <w:t xml:space="preserve"> 年    月    日</w:t>
      </w:r>
    </w:p>
    <w:p w14:paraId="18E6BDFC">
      <w:pPr>
        <w:adjustRightInd w:val="0"/>
        <w:snapToGrid w:val="0"/>
        <w:spacing w:before="157" w:beforeLines="50" w:after="157" w:afterLines="50" w:line="360" w:lineRule="exact"/>
        <w:ind w:firstLine="480" w:firstLineChars="200"/>
        <w:jc w:val="left"/>
        <w:rPr>
          <w:rFonts w:hint="default" w:ascii="仿宋" w:hAnsi="仿宋" w:eastAsia="仿宋" w:cs="仿宋"/>
          <w:color w:val="auto"/>
          <w:szCs w:val="21"/>
          <w:highlight w:val="none"/>
          <w:lang w:val="en-US" w:eastAsia="zh-CN"/>
        </w:rPr>
      </w:pPr>
      <w:r>
        <w:rPr>
          <w:rFonts w:hint="eastAsia" w:ascii="仿宋" w:hAnsi="仿宋" w:eastAsia="仿宋"/>
          <w:color w:val="auto"/>
          <w:sz w:val="24"/>
          <w:highlight w:val="none"/>
          <w:lang w:val="en-US" w:eastAsia="zh-CN"/>
        </w:rPr>
        <w:br w:type="page"/>
      </w:r>
      <w:r>
        <w:rPr>
          <w:rFonts w:hint="eastAsia" w:ascii="仿宋" w:hAnsi="仿宋" w:eastAsia="仿宋" w:cs="仿宋"/>
          <w:color w:val="auto"/>
          <w:szCs w:val="21"/>
          <w:highlight w:val="none"/>
          <w:lang w:val="en-US" w:eastAsia="zh-CN"/>
        </w:rPr>
        <w:t>附件4</w:t>
      </w:r>
    </w:p>
    <w:p w14:paraId="663C23B3">
      <w:pPr>
        <w:adjustRightInd w:val="0"/>
        <w:snapToGrid w:val="0"/>
        <w:spacing w:before="0" w:beforeLines="0" w:after="0" w:afterLines="0" w:line="360" w:lineRule="exact"/>
        <w:ind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32"/>
          <w:szCs w:val="32"/>
          <w:highlight w:val="none"/>
          <w:lang w:val="en-US" w:eastAsia="zh-CN"/>
        </w:rPr>
        <w:t>年度考评表</w:t>
      </w:r>
    </w:p>
    <w:tbl>
      <w:tblPr>
        <w:tblStyle w:val="13"/>
        <w:tblpPr w:leftFromText="180" w:rightFromText="180" w:vertAnchor="text" w:horzAnchor="page" w:tblpXSpec="center" w:tblpY="673"/>
        <w:tblOverlap w:val="never"/>
        <w:tblW w:w="921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7"/>
        <w:gridCol w:w="4125"/>
        <w:gridCol w:w="645"/>
        <w:gridCol w:w="765"/>
        <w:gridCol w:w="1413"/>
        <w:gridCol w:w="807"/>
      </w:tblGrid>
      <w:tr w14:paraId="591B8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2" w:hRule="atLeast"/>
          <w:jc w:val="center"/>
        </w:trPr>
        <w:tc>
          <w:tcPr>
            <w:tcW w:w="1457" w:type="dxa"/>
            <w:noWrap w:val="0"/>
            <w:vAlign w:val="center"/>
          </w:tcPr>
          <w:p w14:paraId="2EC0C914">
            <w:pPr>
              <w:widowControl/>
              <w:spacing w:before="157" w:beforeLines="50" w:after="157" w:afterLines="50" w:line="240" w:lineRule="auto"/>
              <w:ind w:left="210" w:leftChars="100" w:right="210" w:rightChars="100" w:firstLine="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rPr>
              <w:t>项目名称</w:t>
            </w:r>
          </w:p>
        </w:tc>
        <w:tc>
          <w:tcPr>
            <w:tcW w:w="4125" w:type="dxa"/>
            <w:noWrap w:val="0"/>
            <w:vAlign w:val="center"/>
          </w:tcPr>
          <w:p w14:paraId="55FC9698">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rPr>
            </w:pPr>
          </w:p>
        </w:tc>
        <w:tc>
          <w:tcPr>
            <w:tcW w:w="1410" w:type="dxa"/>
            <w:gridSpan w:val="2"/>
            <w:noWrap w:val="0"/>
            <w:vAlign w:val="center"/>
          </w:tcPr>
          <w:p w14:paraId="7CE5242F">
            <w:pPr>
              <w:widowControl/>
              <w:spacing w:before="157" w:beforeLines="50" w:after="157" w:afterLines="50" w:line="240" w:lineRule="auto"/>
              <w:ind w:left="210" w:leftChars="100" w:right="210" w:rightChars="100" w:firstLine="0"/>
              <w:jc w:val="center"/>
              <w:rPr>
                <w:rFonts w:hint="default" w:ascii="Times New Roman" w:hAnsi="Times New Roman" w:eastAsia="仿宋_GB2312" w:cs="Times New Roman"/>
                <w:color w:val="auto"/>
                <w:kern w:val="0"/>
                <w:sz w:val="21"/>
                <w:szCs w:val="21"/>
                <w:highlight w:val="none"/>
              </w:rPr>
            </w:pPr>
            <w:r>
              <w:rPr>
                <w:rFonts w:hint="eastAsia" w:ascii="Times New Roman" w:hAnsi="Times New Roman" w:eastAsia="仿宋_GB2312" w:cs="Times New Roman"/>
                <w:b w:val="0"/>
                <w:bCs w:val="0"/>
                <w:color w:val="auto"/>
                <w:spacing w:val="0"/>
                <w:kern w:val="0"/>
                <w:sz w:val="21"/>
                <w:szCs w:val="21"/>
                <w:highlight w:val="none"/>
                <w:lang w:val="en-US" w:eastAsia="zh-CN"/>
              </w:rPr>
              <w:t>商</w:t>
            </w:r>
            <w:r>
              <w:rPr>
                <w:rFonts w:hint="default" w:ascii="Times New Roman" w:hAnsi="Times New Roman" w:eastAsia="仿宋_GB2312" w:cs="Times New Roman"/>
                <w:b w:val="0"/>
                <w:bCs w:val="0"/>
                <w:color w:val="auto"/>
                <w:spacing w:val="0"/>
                <w:kern w:val="0"/>
                <w:sz w:val="21"/>
                <w:szCs w:val="21"/>
                <w:highlight w:val="none"/>
              </w:rPr>
              <w:t>户名称</w:t>
            </w:r>
          </w:p>
        </w:tc>
        <w:tc>
          <w:tcPr>
            <w:tcW w:w="2220" w:type="dxa"/>
            <w:gridSpan w:val="2"/>
            <w:noWrap w:val="0"/>
            <w:vAlign w:val="center"/>
          </w:tcPr>
          <w:p w14:paraId="5ADA0961">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rPr>
            </w:pPr>
          </w:p>
        </w:tc>
      </w:tr>
      <w:tr w14:paraId="17062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jc w:val="center"/>
        </w:trPr>
        <w:tc>
          <w:tcPr>
            <w:tcW w:w="1457" w:type="dxa"/>
            <w:noWrap w:val="0"/>
            <w:vAlign w:val="center"/>
          </w:tcPr>
          <w:p w14:paraId="65CF10D4">
            <w:pPr>
              <w:widowControl/>
              <w:spacing w:before="157" w:beforeLines="50" w:after="157" w:afterLines="50" w:line="240" w:lineRule="auto"/>
              <w:ind w:left="210" w:leftChars="100" w:right="210" w:rightChars="100" w:firstLine="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rPr>
              <w:t>地</w:t>
            </w:r>
            <w:r>
              <w:rPr>
                <w:rFonts w:hint="eastAsia" w:ascii="仿宋_GB2312" w:hAnsi="仿宋_GB2312" w:eastAsia="仿宋_GB2312" w:cs="仿宋_GB2312"/>
                <w:color w:val="auto"/>
                <w:spacing w:val="0"/>
                <w:kern w:val="0"/>
                <w:sz w:val="21"/>
                <w:szCs w:val="21"/>
                <w:highlight w:val="none"/>
              </w:rPr>
              <w:t xml:space="preserve">    </w:t>
            </w:r>
            <w:r>
              <w:rPr>
                <w:rFonts w:hint="eastAsia" w:ascii="仿宋_GB2312" w:hAnsi="仿宋_GB2312" w:eastAsia="仿宋_GB2312" w:cs="仿宋_GB2312"/>
                <w:b w:val="0"/>
                <w:bCs w:val="0"/>
                <w:color w:val="auto"/>
                <w:spacing w:val="0"/>
                <w:kern w:val="0"/>
                <w:sz w:val="21"/>
                <w:szCs w:val="21"/>
                <w:highlight w:val="none"/>
              </w:rPr>
              <w:t>址</w:t>
            </w:r>
          </w:p>
        </w:tc>
        <w:tc>
          <w:tcPr>
            <w:tcW w:w="4125" w:type="dxa"/>
            <w:noWrap w:val="0"/>
            <w:vAlign w:val="center"/>
          </w:tcPr>
          <w:p w14:paraId="71FED734">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rPr>
            </w:pPr>
          </w:p>
        </w:tc>
        <w:tc>
          <w:tcPr>
            <w:tcW w:w="1410" w:type="dxa"/>
            <w:gridSpan w:val="2"/>
            <w:noWrap w:val="0"/>
            <w:vAlign w:val="center"/>
          </w:tcPr>
          <w:p w14:paraId="6365B4F7">
            <w:pPr>
              <w:widowControl/>
              <w:spacing w:before="157" w:beforeLines="50" w:after="157" w:afterLines="50" w:line="240" w:lineRule="auto"/>
              <w:ind w:left="210" w:leftChars="100" w:right="210" w:rightChars="100" w:firstLine="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b w:val="0"/>
                <w:bCs w:val="0"/>
                <w:color w:val="auto"/>
                <w:spacing w:val="0"/>
                <w:kern w:val="0"/>
                <w:sz w:val="21"/>
                <w:szCs w:val="21"/>
                <w:highlight w:val="none"/>
              </w:rPr>
              <w:t>考评日期</w:t>
            </w:r>
          </w:p>
        </w:tc>
        <w:tc>
          <w:tcPr>
            <w:tcW w:w="2220" w:type="dxa"/>
            <w:gridSpan w:val="2"/>
            <w:noWrap w:val="0"/>
            <w:vAlign w:val="center"/>
          </w:tcPr>
          <w:p w14:paraId="73515FAA">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rPr>
            </w:pPr>
          </w:p>
        </w:tc>
      </w:tr>
      <w:tr w14:paraId="10F3C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1457" w:type="dxa"/>
            <w:noWrap w:val="0"/>
            <w:vAlign w:val="center"/>
          </w:tcPr>
          <w:p w14:paraId="56F59DC8">
            <w:pPr>
              <w:widowControl/>
              <w:spacing w:before="157" w:beforeLines="50" w:after="157" w:afterLines="50" w:line="240" w:lineRule="auto"/>
              <w:ind w:left="210" w:leftChars="100" w:right="210" w:rightChars="100" w:firstLine="0"/>
              <w:jc w:val="center"/>
              <w:rPr>
                <w:rFonts w:hint="eastAsia" w:ascii="仿宋_GB2312" w:hAnsi="仿宋_GB2312" w:eastAsia="仿宋_GB2312" w:cs="仿宋_GB2312"/>
                <w:color w:val="auto"/>
                <w:kern w:val="0"/>
                <w:sz w:val="21"/>
                <w:szCs w:val="21"/>
                <w:highlight w:val="none"/>
              </w:rPr>
            </w:pPr>
            <w:r>
              <w:rPr>
                <w:rFonts w:hint="default" w:ascii="仿宋_GB2312" w:hAnsi="仿宋_GB2312" w:eastAsia="仿宋_GB2312" w:cs="仿宋_GB2312"/>
                <w:color w:val="auto"/>
                <w:kern w:val="0"/>
                <w:sz w:val="21"/>
                <w:szCs w:val="21"/>
                <w:highlight w:val="none"/>
                <w:lang w:val="en-US" w:eastAsia="zh-CN"/>
              </w:rPr>
              <w:t>考核项</w:t>
            </w:r>
          </w:p>
        </w:tc>
        <w:tc>
          <w:tcPr>
            <w:tcW w:w="4125" w:type="dxa"/>
            <w:noWrap w:val="0"/>
            <w:vAlign w:val="center"/>
          </w:tcPr>
          <w:p w14:paraId="59028405">
            <w:pPr>
              <w:widowControl/>
              <w:spacing w:before="157" w:beforeLines="50" w:after="157" w:afterLines="50" w:line="240" w:lineRule="auto"/>
              <w:ind w:left="210" w:leftChars="100" w:right="210" w:rightChars="100" w:firstLine="0"/>
              <w:jc w:val="center"/>
              <w:rPr>
                <w:rFonts w:hint="eastAsia" w:ascii="仿宋_GB2312" w:hAnsi="仿宋_GB2312" w:eastAsia="仿宋_GB2312" w:cs="仿宋_GB2312"/>
                <w:b w:val="0"/>
                <w:bCs w:val="0"/>
                <w:color w:val="auto"/>
                <w:spacing w:val="0"/>
                <w:kern w:val="0"/>
                <w:sz w:val="21"/>
                <w:szCs w:val="21"/>
                <w:highlight w:val="none"/>
              </w:rPr>
            </w:pPr>
            <w:r>
              <w:rPr>
                <w:rFonts w:hint="default" w:ascii="仿宋_GB2312" w:hAnsi="仿宋_GB2312" w:eastAsia="仿宋_GB2312" w:cs="仿宋_GB2312"/>
                <w:b w:val="0"/>
                <w:bCs w:val="0"/>
                <w:color w:val="auto"/>
                <w:spacing w:val="0"/>
                <w:kern w:val="0"/>
                <w:sz w:val="21"/>
                <w:szCs w:val="21"/>
                <w:highlight w:val="none"/>
              </w:rPr>
              <w:t>评分依据</w:t>
            </w:r>
          </w:p>
        </w:tc>
        <w:tc>
          <w:tcPr>
            <w:tcW w:w="645" w:type="dxa"/>
            <w:noWrap w:val="0"/>
            <w:vAlign w:val="center"/>
          </w:tcPr>
          <w:p w14:paraId="7C2A8BA0">
            <w:pPr>
              <w:widowControl/>
              <w:spacing w:before="157" w:beforeLines="50" w:after="157" w:afterLines="50" w:line="240" w:lineRule="auto"/>
              <w:ind w:left="210" w:leftChars="100" w:right="210" w:rightChars="100" w:firstLine="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lang w:val="en-US" w:eastAsia="zh-CN"/>
              </w:rPr>
              <w:t>分值</w:t>
            </w:r>
          </w:p>
        </w:tc>
        <w:tc>
          <w:tcPr>
            <w:tcW w:w="765" w:type="dxa"/>
            <w:noWrap w:val="0"/>
            <w:vAlign w:val="center"/>
          </w:tcPr>
          <w:p w14:paraId="5742E240">
            <w:pPr>
              <w:widowControl/>
              <w:spacing w:before="157" w:beforeLines="50" w:after="157" w:afterLines="50" w:line="240" w:lineRule="auto"/>
              <w:ind w:left="210" w:leftChars="100" w:right="210" w:rightChars="100" w:firstLine="0"/>
              <w:jc w:val="center"/>
              <w:rPr>
                <w:rFonts w:hint="default" w:ascii="Times New Roman" w:hAnsi="Times New Roman" w:eastAsia="仿宋_GB2312" w:cs="Times New Roman"/>
                <w:color w:val="auto"/>
                <w:kern w:val="0"/>
                <w:sz w:val="21"/>
                <w:szCs w:val="21"/>
                <w:highlight w:val="none"/>
              </w:rPr>
            </w:pPr>
            <w:r>
              <w:rPr>
                <w:rFonts w:hint="default" w:ascii="Times New Roman" w:hAnsi="Times New Roman" w:eastAsia="仿宋_GB2312" w:cs="Times New Roman"/>
                <w:color w:val="auto"/>
                <w:kern w:val="0"/>
                <w:sz w:val="21"/>
                <w:szCs w:val="21"/>
                <w:highlight w:val="none"/>
                <w:lang w:val="en-US" w:eastAsia="zh-CN"/>
              </w:rPr>
              <w:t>得分</w:t>
            </w:r>
          </w:p>
        </w:tc>
        <w:tc>
          <w:tcPr>
            <w:tcW w:w="1413" w:type="dxa"/>
            <w:noWrap w:val="0"/>
            <w:vAlign w:val="center"/>
          </w:tcPr>
          <w:p w14:paraId="2EBCDAFF">
            <w:pPr>
              <w:widowControl/>
              <w:spacing w:before="157" w:beforeLines="50" w:after="157" w:afterLines="50" w:line="240" w:lineRule="auto"/>
              <w:ind w:left="210" w:leftChars="100" w:right="210" w:rightChars="100" w:firstLine="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rPr>
              <w:t>考评人员</w:t>
            </w:r>
          </w:p>
        </w:tc>
        <w:tc>
          <w:tcPr>
            <w:tcW w:w="807" w:type="dxa"/>
            <w:noWrap w:val="0"/>
            <w:vAlign w:val="center"/>
          </w:tcPr>
          <w:p w14:paraId="5063AC55">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rPr>
              <w:t>备注</w:t>
            </w:r>
          </w:p>
        </w:tc>
      </w:tr>
      <w:tr w14:paraId="0BA37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restart"/>
            <w:noWrap w:val="0"/>
            <w:vAlign w:val="center"/>
          </w:tcPr>
          <w:p w14:paraId="2EAD6E22">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lang w:val="en-US" w:eastAsia="zh-CN"/>
              </w:rPr>
              <w:t>诚信履约</w:t>
            </w:r>
          </w:p>
        </w:tc>
        <w:tc>
          <w:tcPr>
            <w:tcW w:w="4125" w:type="dxa"/>
            <w:noWrap w:val="0"/>
            <w:vAlign w:val="center"/>
          </w:tcPr>
          <w:p w14:paraId="2C0237AF">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r>
              <w:rPr>
                <w:rFonts w:hint="default" w:ascii="仿宋_GB2312" w:hAnsi="仿宋_GB2312" w:eastAsia="仿宋_GB2312" w:cs="仿宋_GB2312"/>
                <w:b w:val="0"/>
                <w:bCs w:val="0"/>
                <w:color w:val="auto"/>
                <w:spacing w:val="0"/>
                <w:kern w:val="0"/>
                <w:sz w:val="21"/>
                <w:szCs w:val="21"/>
                <w:highlight w:val="none"/>
              </w:rPr>
              <w:t>按时足额缴纳</w:t>
            </w:r>
            <w:r>
              <w:rPr>
                <w:rFonts w:hint="eastAsia" w:ascii="仿宋_GB2312" w:hAnsi="仿宋_GB2312" w:eastAsia="仿宋_GB2312" w:cs="仿宋_GB2312"/>
                <w:b w:val="0"/>
                <w:bCs w:val="0"/>
                <w:color w:val="auto"/>
                <w:spacing w:val="0"/>
                <w:kern w:val="0"/>
                <w:sz w:val="21"/>
                <w:szCs w:val="21"/>
                <w:highlight w:val="none"/>
                <w:lang w:val="en-US" w:eastAsia="zh-CN"/>
              </w:rPr>
              <w:t>履约保证金、保底租金收益</w:t>
            </w:r>
            <w:r>
              <w:rPr>
                <w:rFonts w:hint="eastAsia" w:ascii="仿宋_GB2312" w:hAnsi="仿宋_GB2312" w:eastAsia="仿宋_GB2312" w:cs="仿宋_GB2312"/>
                <w:b w:val="0"/>
                <w:bCs w:val="0"/>
                <w:color w:val="auto"/>
                <w:spacing w:val="0"/>
                <w:kern w:val="0"/>
                <w:sz w:val="21"/>
                <w:szCs w:val="21"/>
                <w:highlight w:val="none"/>
                <w:lang w:eastAsia="zh-CN"/>
              </w:rPr>
              <w:t>、</w:t>
            </w:r>
            <w:r>
              <w:rPr>
                <w:rFonts w:hint="eastAsia" w:ascii="仿宋_GB2312" w:hAnsi="仿宋_GB2312" w:eastAsia="仿宋_GB2312" w:cs="仿宋_GB2312"/>
                <w:b w:val="0"/>
                <w:bCs w:val="0"/>
                <w:color w:val="auto"/>
                <w:spacing w:val="0"/>
                <w:kern w:val="0"/>
                <w:sz w:val="21"/>
                <w:szCs w:val="21"/>
                <w:highlight w:val="none"/>
                <w:lang w:val="en-US" w:eastAsia="zh-CN"/>
              </w:rPr>
              <w:t>水电费</w:t>
            </w:r>
            <w:r>
              <w:rPr>
                <w:rFonts w:hint="default" w:ascii="仿宋_GB2312" w:hAnsi="仿宋_GB2312" w:eastAsia="仿宋_GB2312" w:cs="仿宋_GB2312"/>
                <w:b w:val="0"/>
                <w:bCs w:val="0"/>
                <w:color w:val="auto"/>
                <w:spacing w:val="0"/>
                <w:kern w:val="0"/>
                <w:sz w:val="21"/>
                <w:szCs w:val="21"/>
                <w:highlight w:val="none"/>
              </w:rPr>
              <w:t>等（逾期 1-9天每次扣1分，10-19天每次扣 2 分，20-29天每次扣3 分，30-3</w:t>
            </w:r>
            <w:r>
              <w:rPr>
                <w:rFonts w:hint="eastAsia" w:ascii="仿宋_GB2312" w:hAnsi="仿宋_GB2312" w:eastAsia="仿宋_GB2312" w:cs="仿宋_GB2312"/>
                <w:b w:val="0"/>
                <w:bCs w:val="0"/>
                <w:color w:val="auto"/>
                <w:spacing w:val="0"/>
                <w:kern w:val="0"/>
                <w:sz w:val="21"/>
                <w:szCs w:val="21"/>
                <w:highlight w:val="none"/>
                <w:lang w:val="en-US" w:eastAsia="zh-CN"/>
              </w:rPr>
              <w:t>4</w:t>
            </w:r>
            <w:r>
              <w:rPr>
                <w:rFonts w:hint="default" w:ascii="仿宋_GB2312" w:hAnsi="仿宋_GB2312" w:eastAsia="仿宋_GB2312" w:cs="仿宋_GB2312"/>
                <w:b w:val="0"/>
                <w:bCs w:val="0"/>
                <w:color w:val="auto"/>
                <w:spacing w:val="0"/>
                <w:kern w:val="0"/>
                <w:sz w:val="21"/>
                <w:szCs w:val="21"/>
                <w:highlight w:val="none"/>
              </w:rPr>
              <w:t>天每次扣5分，</w:t>
            </w:r>
            <w:r>
              <w:rPr>
                <w:rFonts w:ascii="仿宋_GB2312" w:hAnsi="仿宋_GB2312" w:eastAsia="仿宋_GB2312" w:cs="仿宋_GB2312"/>
                <w:color w:val="auto"/>
                <w:kern w:val="0"/>
                <w:szCs w:val="21"/>
                <w:highlight w:val="none"/>
              </w:rPr>
              <w:t>3</w:t>
            </w:r>
            <w:r>
              <w:rPr>
                <w:rFonts w:hint="eastAsia" w:ascii="仿宋_GB2312" w:hAnsi="仿宋_GB2312" w:eastAsia="仿宋_GB2312" w:cs="仿宋_GB2312"/>
                <w:color w:val="auto"/>
                <w:kern w:val="0"/>
                <w:szCs w:val="21"/>
                <w:highlight w:val="none"/>
                <w:lang w:val="en-US" w:eastAsia="zh-CN"/>
              </w:rPr>
              <w:t>5</w:t>
            </w:r>
            <w:r>
              <w:rPr>
                <w:rFonts w:ascii="仿宋_GB2312" w:hAnsi="仿宋_GB2312" w:eastAsia="仿宋_GB2312" w:cs="仿宋_GB2312"/>
                <w:color w:val="auto"/>
                <w:kern w:val="0"/>
                <w:szCs w:val="21"/>
                <w:highlight w:val="none"/>
              </w:rPr>
              <w:t>-39天每次扣</w:t>
            </w:r>
            <w:r>
              <w:rPr>
                <w:rFonts w:hint="eastAsia" w:ascii="仿宋_GB2312" w:hAnsi="仿宋_GB2312" w:eastAsia="仿宋_GB2312" w:cs="仿宋_GB2312"/>
                <w:color w:val="auto"/>
                <w:kern w:val="0"/>
                <w:szCs w:val="21"/>
                <w:highlight w:val="none"/>
                <w:lang w:val="en-US" w:eastAsia="zh-CN"/>
              </w:rPr>
              <w:t>10</w:t>
            </w:r>
            <w:r>
              <w:rPr>
                <w:rFonts w:ascii="仿宋_GB2312" w:hAnsi="仿宋_GB2312" w:eastAsia="仿宋_GB2312" w:cs="仿宋_GB2312"/>
                <w:color w:val="auto"/>
                <w:kern w:val="0"/>
                <w:szCs w:val="21"/>
                <w:highlight w:val="none"/>
              </w:rPr>
              <w:t>分，</w:t>
            </w:r>
            <w:r>
              <w:rPr>
                <w:rFonts w:hint="default" w:ascii="仿宋_GB2312" w:hAnsi="仿宋_GB2312" w:eastAsia="仿宋_GB2312" w:cs="仿宋_GB2312"/>
                <w:b w:val="0"/>
                <w:bCs w:val="0"/>
                <w:color w:val="auto"/>
                <w:spacing w:val="0"/>
                <w:kern w:val="0"/>
                <w:sz w:val="21"/>
                <w:szCs w:val="21"/>
                <w:highlight w:val="none"/>
              </w:rPr>
              <w:t>40-44天，扣除1</w:t>
            </w:r>
            <w:r>
              <w:rPr>
                <w:rFonts w:hint="eastAsia" w:ascii="仿宋_GB2312" w:hAnsi="仿宋_GB2312" w:eastAsia="仿宋_GB2312" w:cs="仿宋_GB2312"/>
                <w:b w:val="0"/>
                <w:bCs w:val="0"/>
                <w:color w:val="auto"/>
                <w:spacing w:val="0"/>
                <w:kern w:val="0"/>
                <w:sz w:val="21"/>
                <w:szCs w:val="21"/>
                <w:highlight w:val="none"/>
                <w:lang w:val="en-US" w:eastAsia="zh-CN"/>
              </w:rPr>
              <w:t>5</w:t>
            </w:r>
            <w:r>
              <w:rPr>
                <w:rFonts w:hint="default" w:ascii="仿宋_GB2312" w:hAnsi="仿宋_GB2312" w:eastAsia="仿宋_GB2312" w:cs="仿宋_GB2312"/>
                <w:b w:val="0"/>
                <w:bCs w:val="0"/>
                <w:color w:val="auto"/>
                <w:spacing w:val="0"/>
                <w:kern w:val="0"/>
                <w:sz w:val="21"/>
                <w:szCs w:val="21"/>
                <w:highlight w:val="none"/>
              </w:rPr>
              <w:t>分，超过45天（含）属于一票否决项）。</w:t>
            </w:r>
          </w:p>
        </w:tc>
        <w:tc>
          <w:tcPr>
            <w:tcW w:w="645" w:type="dxa"/>
            <w:noWrap w:val="0"/>
            <w:vAlign w:val="center"/>
          </w:tcPr>
          <w:p w14:paraId="67462DDF">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7E4C156D">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spacing w:val="0"/>
                <w:kern w:val="0"/>
                <w:position w:val="0"/>
                <w:sz w:val="21"/>
                <w:szCs w:val="21"/>
                <w:highlight w:val="none"/>
                <w:lang w:val="en-US" w:eastAsia="zh-CN"/>
              </w:rPr>
              <w:t>1</w:t>
            </w:r>
            <w:r>
              <w:rPr>
                <w:rFonts w:hint="eastAsia" w:ascii="Times New Roman" w:hAnsi="Times New Roman" w:eastAsia="仿宋_GB2312" w:cs="Times New Roman"/>
                <w:color w:val="auto"/>
                <w:spacing w:val="0"/>
                <w:kern w:val="0"/>
                <w:position w:val="0"/>
                <w:sz w:val="21"/>
                <w:szCs w:val="21"/>
                <w:highlight w:val="none"/>
                <w:lang w:val="en-US" w:eastAsia="zh-CN"/>
              </w:rPr>
              <w:t>5</w:t>
            </w:r>
          </w:p>
        </w:tc>
        <w:tc>
          <w:tcPr>
            <w:tcW w:w="765" w:type="dxa"/>
            <w:noWrap w:val="0"/>
            <w:textDirection w:val="tbRlV"/>
            <w:vAlign w:val="center"/>
          </w:tcPr>
          <w:p w14:paraId="202FCD7B">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486CAE81">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73CAD584">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2ECC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4C7E4F05">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0444FB86">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r>
              <w:rPr>
                <w:rFonts w:hint="default" w:ascii="仿宋_GB2312" w:hAnsi="仿宋_GB2312" w:eastAsia="仿宋_GB2312" w:cs="仿宋_GB2312"/>
                <w:color w:val="auto"/>
                <w:kern w:val="0"/>
                <w:sz w:val="21"/>
                <w:szCs w:val="21"/>
                <w:highlight w:val="none"/>
                <w:lang w:val="en-US" w:eastAsia="zh-CN"/>
              </w:rPr>
              <w:t>因</w:t>
            </w:r>
            <w:r>
              <w:rPr>
                <w:rFonts w:hint="eastAsia" w:ascii="仿宋_GB2312" w:hAnsi="仿宋_GB2312" w:eastAsia="仿宋_GB2312" w:cs="仿宋_GB2312"/>
                <w:color w:val="auto"/>
                <w:kern w:val="0"/>
                <w:sz w:val="21"/>
                <w:szCs w:val="21"/>
                <w:highlight w:val="none"/>
                <w:lang w:val="en-US" w:eastAsia="zh-CN"/>
              </w:rPr>
              <w:t>乙方方</w:t>
            </w:r>
            <w:r>
              <w:rPr>
                <w:rFonts w:hint="default" w:ascii="仿宋_GB2312" w:hAnsi="仿宋_GB2312" w:eastAsia="仿宋_GB2312" w:cs="仿宋_GB2312"/>
                <w:color w:val="auto"/>
                <w:kern w:val="0"/>
                <w:sz w:val="21"/>
                <w:szCs w:val="21"/>
                <w:highlight w:val="none"/>
                <w:lang w:val="en-US" w:eastAsia="zh-CN"/>
              </w:rPr>
              <w:t>原因造成房屋或设备等损坏</w:t>
            </w:r>
            <w:r>
              <w:rPr>
                <w:rFonts w:hint="eastAsia" w:ascii="仿宋_GB2312" w:hAnsi="仿宋_GB2312" w:eastAsia="仿宋_GB2312" w:cs="仿宋_GB2312"/>
                <w:color w:val="auto"/>
                <w:kern w:val="0"/>
                <w:sz w:val="21"/>
                <w:szCs w:val="21"/>
                <w:highlight w:val="none"/>
                <w:lang w:val="en-US" w:eastAsia="zh-CN"/>
              </w:rPr>
              <w:t>，拒不承担修缮责任。（经书面通知后，每迟延一天扣除1分）</w:t>
            </w:r>
          </w:p>
        </w:tc>
        <w:tc>
          <w:tcPr>
            <w:tcW w:w="645" w:type="dxa"/>
            <w:noWrap w:val="0"/>
            <w:vAlign w:val="center"/>
          </w:tcPr>
          <w:p w14:paraId="5EA215BD">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 w:val="21"/>
                <w:szCs w:val="21"/>
                <w:highlight w:val="none"/>
                <w:lang w:val="en-US" w:eastAsia="zh-CN"/>
              </w:rPr>
              <w:t>10</w:t>
            </w:r>
          </w:p>
        </w:tc>
        <w:tc>
          <w:tcPr>
            <w:tcW w:w="765" w:type="dxa"/>
            <w:noWrap w:val="0"/>
            <w:textDirection w:val="tbRlV"/>
            <w:vAlign w:val="center"/>
          </w:tcPr>
          <w:p w14:paraId="7E77606D">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0C18C275">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49609052">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6C015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412C4A67">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36D3050D">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lang w:val="en-US" w:eastAsia="zh-CN"/>
              </w:rPr>
              <w:t>未按照约定时间营业。（每出现一次扣1分。）</w:t>
            </w:r>
          </w:p>
        </w:tc>
        <w:tc>
          <w:tcPr>
            <w:tcW w:w="645" w:type="dxa"/>
            <w:noWrap w:val="0"/>
            <w:vAlign w:val="center"/>
          </w:tcPr>
          <w:p w14:paraId="74040B04">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eastAsia="zh-CN"/>
              </w:rPr>
              <w:t>1</w:t>
            </w:r>
            <w:r>
              <w:rPr>
                <w:rFonts w:hint="default" w:ascii="Times New Roman" w:hAnsi="Times New Roman" w:eastAsia="仿宋_GB2312" w:cs="Times New Roman"/>
                <w:color w:val="auto"/>
                <w:kern w:val="0"/>
                <w:sz w:val="21"/>
                <w:szCs w:val="21"/>
                <w:highlight w:val="none"/>
                <w:lang w:val="en-US" w:eastAsia="zh-CN"/>
              </w:rPr>
              <w:t>0</w:t>
            </w:r>
          </w:p>
        </w:tc>
        <w:tc>
          <w:tcPr>
            <w:tcW w:w="765" w:type="dxa"/>
            <w:noWrap w:val="0"/>
            <w:vAlign w:val="center"/>
          </w:tcPr>
          <w:p w14:paraId="488DAF34">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7CAB4315">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4E297BF5">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56623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2BF9058C">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002EE8AF">
            <w:pPr>
              <w:widowControl/>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rPr>
              <w:t>在各项活动中，未听从管理指挥，影响活动开展。（每出现一次扣1分。）</w:t>
            </w:r>
          </w:p>
        </w:tc>
        <w:tc>
          <w:tcPr>
            <w:tcW w:w="645" w:type="dxa"/>
            <w:noWrap w:val="0"/>
            <w:vAlign w:val="center"/>
          </w:tcPr>
          <w:p w14:paraId="0A25C56C">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position w:val="0"/>
                <w:sz w:val="21"/>
                <w:szCs w:val="21"/>
                <w:highlight w:val="none"/>
                <w:lang w:eastAsia="zh-CN"/>
              </w:rPr>
              <w:t>1</w:t>
            </w:r>
            <w:r>
              <w:rPr>
                <w:rFonts w:hint="default" w:ascii="Times New Roman" w:hAnsi="Times New Roman" w:eastAsia="仿宋_GB2312" w:cs="Times New Roman"/>
                <w:color w:val="auto"/>
                <w:kern w:val="0"/>
                <w:position w:val="0"/>
                <w:sz w:val="21"/>
                <w:szCs w:val="21"/>
                <w:highlight w:val="none"/>
                <w:lang w:val="en-US" w:eastAsia="zh-CN"/>
              </w:rPr>
              <w:t>0</w:t>
            </w:r>
          </w:p>
        </w:tc>
        <w:tc>
          <w:tcPr>
            <w:tcW w:w="765" w:type="dxa"/>
            <w:noWrap w:val="0"/>
            <w:vAlign w:val="center"/>
          </w:tcPr>
          <w:p w14:paraId="0D55B940">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5988B02C">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205DB1E0">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1A253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restart"/>
            <w:noWrap w:val="0"/>
            <w:vAlign w:val="center"/>
          </w:tcPr>
          <w:p w14:paraId="6FFF5BA8">
            <w:pPr>
              <w:spacing w:before="157" w:beforeLines="50" w:after="157" w:afterLines="50" w:line="240" w:lineRule="auto"/>
              <w:ind w:left="210" w:leftChars="100" w:right="210" w:rightChars="100" w:firstLine="0"/>
              <w:jc w:val="center"/>
              <w:rPr>
                <w:rFonts w:hint="eastAsia" w:ascii="仿宋_GB2312" w:hAnsi="仿宋_GB2312" w:eastAsia="仿宋_GB2312" w:cs="仿宋_GB2312"/>
                <w:b w:val="0"/>
                <w:bCs w:val="0"/>
                <w:color w:val="auto"/>
                <w:spacing w:val="0"/>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lang w:val="en-US" w:eastAsia="zh-CN"/>
              </w:rPr>
              <w:t>规范经营</w:t>
            </w:r>
          </w:p>
        </w:tc>
        <w:tc>
          <w:tcPr>
            <w:tcW w:w="4125" w:type="dxa"/>
            <w:noWrap w:val="0"/>
            <w:vAlign w:val="center"/>
          </w:tcPr>
          <w:p w14:paraId="0F04E5C7">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rPr>
              <w:t>涉及到工商、城管、食品安全、消防等事项，未按照政府职能部门要求进行报批报备（经政府职能部门核查抄告或要求整改的，如未按时整改落实则每项每次扣除2分；不配合整改，全部扣除）。</w:t>
            </w:r>
          </w:p>
        </w:tc>
        <w:tc>
          <w:tcPr>
            <w:tcW w:w="645" w:type="dxa"/>
            <w:noWrap w:val="0"/>
            <w:vAlign w:val="center"/>
          </w:tcPr>
          <w:p w14:paraId="046FBF5E">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2091C0D0">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position w:val="0"/>
                <w:sz w:val="21"/>
                <w:szCs w:val="21"/>
                <w:highlight w:val="none"/>
                <w:lang w:eastAsia="zh-CN"/>
              </w:rPr>
              <w:t>1</w:t>
            </w:r>
            <w:r>
              <w:rPr>
                <w:rFonts w:hint="default" w:ascii="Times New Roman" w:hAnsi="Times New Roman" w:eastAsia="仿宋_GB2312" w:cs="Times New Roman"/>
                <w:color w:val="auto"/>
                <w:kern w:val="0"/>
                <w:position w:val="0"/>
                <w:sz w:val="21"/>
                <w:szCs w:val="21"/>
                <w:highlight w:val="none"/>
                <w:lang w:val="en-US" w:eastAsia="zh-CN"/>
              </w:rPr>
              <w:t>0</w:t>
            </w:r>
          </w:p>
        </w:tc>
        <w:tc>
          <w:tcPr>
            <w:tcW w:w="765" w:type="dxa"/>
            <w:noWrap w:val="0"/>
            <w:vAlign w:val="center"/>
          </w:tcPr>
          <w:p w14:paraId="6D4C005A">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47A53622">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75FF8AD6">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7FC6D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11093130">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1E99A86D">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rPr>
              <w:t>对外展示面、</w:t>
            </w:r>
            <w:r>
              <w:rPr>
                <w:rFonts w:hint="eastAsia" w:ascii="仿宋_GB2312" w:hAnsi="仿宋_GB2312" w:eastAsia="仿宋_GB2312" w:cs="仿宋_GB2312"/>
                <w:color w:val="auto"/>
                <w:spacing w:val="0"/>
                <w:kern w:val="0"/>
                <w:sz w:val="21"/>
                <w:szCs w:val="21"/>
                <w:highlight w:val="none"/>
              </w:rPr>
              <w:t>经营环境卫生整洁</w:t>
            </w:r>
            <w:r>
              <w:rPr>
                <w:rFonts w:hint="eastAsia" w:ascii="仿宋_GB2312" w:hAnsi="仿宋_GB2312" w:eastAsia="仿宋_GB2312" w:cs="仿宋_GB2312"/>
                <w:color w:val="auto"/>
                <w:spacing w:val="0"/>
                <w:kern w:val="0"/>
                <w:sz w:val="21"/>
                <w:szCs w:val="21"/>
                <w:highlight w:val="none"/>
                <w:lang w:val="en-US" w:eastAsia="zh-CN"/>
              </w:rPr>
              <w:t>符合协议约定的品牌及经营范围</w:t>
            </w:r>
            <w:r>
              <w:rPr>
                <w:rFonts w:hint="eastAsia" w:ascii="仿宋_GB2312" w:hAnsi="仿宋_GB2312" w:eastAsia="仿宋_GB2312" w:cs="仿宋_GB2312"/>
                <w:color w:val="auto"/>
                <w:spacing w:val="0"/>
                <w:kern w:val="0"/>
                <w:sz w:val="21"/>
                <w:szCs w:val="21"/>
                <w:highlight w:val="none"/>
              </w:rPr>
              <w:t>。</w:t>
            </w:r>
          </w:p>
        </w:tc>
        <w:tc>
          <w:tcPr>
            <w:tcW w:w="645" w:type="dxa"/>
            <w:noWrap w:val="0"/>
            <w:vAlign w:val="center"/>
          </w:tcPr>
          <w:p w14:paraId="1B5251FE">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sz w:val="21"/>
                <w:szCs w:val="21"/>
                <w:highlight w:val="none"/>
                <w:lang w:val="en-US" w:eastAsia="zh-CN"/>
              </w:rPr>
              <w:t>5</w:t>
            </w:r>
          </w:p>
        </w:tc>
        <w:tc>
          <w:tcPr>
            <w:tcW w:w="765" w:type="dxa"/>
            <w:noWrap w:val="0"/>
            <w:vAlign w:val="center"/>
          </w:tcPr>
          <w:p w14:paraId="3FC4363F">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56C21842">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6369249A">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2BF97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7AB7C10A">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5967E722">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rPr>
              <w:t>及时、有效地处理</w:t>
            </w:r>
            <w:r>
              <w:rPr>
                <w:rFonts w:hint="eastAsia" w:ascii="仿宋_GB2312" w:hAnsi="仿宋_GB2312" w:eastAsia="仿宋_GB2312" w:cs="仿宋_GB2312"/>
                <w:color w:val="auto"/>
                <w:spacing w:val="0"/>
                <w:kern w:val="0"/>
                <w:sz w:val="21"/>
                <w:szCs w:val="21"/>
                <w:highlight w:val="none"/>
                <w:lang w:val="en-US" w:eastAsia="zh-CN"/>
              </w:rPr>
              <w:t>与自身有关</w:t>
            </w:r>
            <w:r>
              <w:rPr>
                <w:rFonts w:hint="eastAsia" w:ascii="仿宋_GB2312" w:hAnsi="仿宋_GB2312" w:eastAsia="仿宋_GB2312" w:cs="仿宋_GB2312"/>
                <w:color w:val="auto"/>
                <w:spacing w:val="0"/>
                <w:kern w:val="0"/>
                <w:sz w:val="21"/>
                <w:szCs w:val="21"/>
                <w:highlight w:val="none"/>
              </w:rPr>
              <w:t>的投诉（如未及时处理投诉、信访</w:t>
            </w:r>
            <w:r>
              <w:rPr>
                <w:rFonts w:hint="eastAsia" w:ascii="仿宋_GB2312" w:hAnsi="仿宋_GB2312" w:eastAsia="仿宋_GB2312" w:cs="仿宋_GB2312"/>
                <w:color w:val="auto"/>
                <w:spacing w:val="0"/>
                <w:kern w:val="0"/>
                <w:sz w:val="21"/>
                <w:szCs w:val="21"/>
                <w:highlight w:val="none"/>
                <w:lang w:val="en-US" w:eastAsia="zh-CN"/>
              </w:rPr>
              <w:t>出现不</w:t>
            </w:r>
            <w:r>
              <w:rPr>
                <w:rFonts w:hint="eastAsia" w:ascii="仿宋_GB2312" w:hAnsi="仿宋_GB2312" w:eastAsia="仿宋_GB2312" w:cs="仿宋_GB2312"/>
                <w:color w:val="auto"/>
                <w:spacing w:val="0"/>
                <w:kern w:val="0"/>
                <w:sz w:val="21"/>
                <w:szCs w:val="21"/>
                <w:highlight w:val="none"/>
              </w:rPr>
              <w:t>满意</w:t>
            </w:r>
            <w:r>
              <w:rPr>
                <w:rFonts w:hint="eastAsia" w:ascii="仿宋_GB2312" w:hAnsi="仿宋_GB2312" w:eastAsia="仿宋_GB2312" w:cs="仿宋_GB2312"/>
                <w:color w:val="auto"/>
                <w:spacing w:val="0"/>
                <w:kern w:val="0"/>
                <w:sz w:val="21"/>
                <w:szCs w:val="21"/>
                <w:highlight w:val="none"/>
                <w:lang w:val="en-US" w:eastAsia="zh-CN"/>
              </w:rPr>
              <w:t>件</w:t>
            </w:r>
            <w:r>
              <w:rPr>
                <w:rFonts w:hint="eastAsia" w:ascii="仿宋_GB2312" w:hAnsi="仿宋_GB2312" w:eastAsia="仿宋_GB2312" w:cs="仿宋_GB2312"/>
                <w:color w:val="auto"/>
                <w:spacing w:val="0"/>
                <w:kern w:val="0"/>
                <w:sz w:val="21"/>
                <w:szCs w:val="21"/>
                <w:highlight w:val="none"/>
              </w:rPr>
              <w:t>，则每次扣除</w:t>
            </w:r>
            <w:r>
              <w:rPr>
                <w:rFonts w:hint="eastAsia" w:ascii="仿宋_GB2312" w:hAnsi="仿宋_GB2312" w:eastAsia="仿宋_GB2312" w:cs="仿宋_GB2312"/>
                <w:color w:val="auto"/>
                <w:spacing w:val="0"/>
                <w:kern w:val="0"/>
                <w:sz w:val="21"/>
                <w:szCs w:val="21"/>
                <w:highlight w:val="none"/>
                <w:lang w:val="en-US" w:eastAsia="zh-CN"/>
              </w:rPr>
              <w:t>2</w:t>
            </w:r>
            <w:r>
              <w:rPr>
                <w:rFonts w:hint="eastAsia" w:ascii="仿宋_GB2312" w:hAnsi="仿宋_GB2312" w:eastAsia="仿宋_GB2312" w:cs="仿宋_GB2312"/>
                <w:color w:val="auto"/>
                <w:spacing w:val="0"/>
                <w:kern w:val="0"/>
                <w:sz w:val="21"/>
                <w:szCs w:val="21"/>
                <w:highlight w:val="none"/>
              </w:rPr>
              <w:t>分，不配合处理，</w:t>
            </w:r>
            <w:r>
              <w:rPr>
                <w:rFonts w:hint="eastAsia" w:ascii="仿宋_GB2312" w:hAnsi="仿宋_GB2312" w:eastAsia="仿宋_GB2312" w:cs="仿宋_GB2312"/>
                <w:color w:val="auto"/>
                <w:kern w:val="0"/>
                <w:sz w:val="21"/>
                <w:szCs w:val="21"/>
                <w:highlight w:val="none"/>
              </w:rPr>
              <w:t xml:space="preserve"> </w:t>
            </w:r>
            <w:r>
              <w:rPr>
                <w:rFonts w:hint="eastAsia" w:ascii="仿宋_GB2312" w:hAnsi="仿宋_GB2312" w:eastAsia="仿宋_GB2312" w:cs="仿宋_GB2312"/>
                <w:color w:val="auto"/>
                <w:spacing w:val="0"/>
                <w:kern w:val="0"/>
                <w:sz w:val="21"/>
                <w:szCs w:val="21"/>
                <w:highlight w:val="none"/>
              </w:rPr>
              <w:t>全部扣除）。</w:t>
            </w:r>
          </w:p>
        </w:tc>
        <w:tc>
          <w:tcPr>
            <w:tcW w:w="645" w:type="dxa"/>
            <w:noWrap w:val="0"/>
            <w:vAlign w:val="center"/>
          </w:tcPr>
          <w:p w14:paraId="3A0D75BD">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0008A6FA">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sz w:val="21"/>
                <w:szCs w:val="21"/>
                <w:highlight w:val="none"/>
                <w:lang w:val="en-US" w:eastAsia="zh-CN" w:bidi="ar-SA"/>
              </w:rPr>
              <w:t>10</w:t>
            </w:r>
          </w:p>
        </w:tc>
        <w:tc>
          <w:tcPr>
            <w:tcW w:w="765" w:type="dxa"/>
            <w:noWrap w:val="0"/>
            <w:vAlign w:val="center"/>
          </w:tcPr>
          <w:p w14:paraId="52411DA6">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5D2F17C4">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7A28B897">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6952B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3E45EB57">
            <w:pPr>
              <w:spacing w:before="157" w:beforeLines="50" w:after="157" w:afterLines="50" w:line="240" w:lineRule="auto"/>
              <w:ind w:left="210" w:leftChars="100" w:right="210" w:rightChars="100" w:firstLine="0"/>
              <w:jc w:val="center"/>
              <w:rPr>
                <w:rFonts w:hint="default" w:ascii="仿宋_GB2312" w:hAnsi="仿宋_GB2312" w:eastAsia="仿宋_GB2312" w:cs="仿宋_GB2312"/>
                <w:b w:val="0"/>
                <w:bCs w:val="0"/>
                <w:color w:val="auto"/>
                <w:spacing w:val="0"/>
                <w:kern w:val="0"/>
                <w:sz w:val="21"/>
                <w:szCs w:val="21"/>
                <w:highlight w:val="none"/>
              </w:rPr>
            </w:pPr>
          </w:p>
        </w:tc>
        <w:tc>
          <w:tcPr>
            <w:tcW w:w="4125" w:type="dxa"/>
            <w:noWrap w:val="0"/>
            <w:vAlign w:val="center"/>
          </w:tcPr>
          <w:p w14:paraId="13C9A62F">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rPr>
              <w:t>擅自占用公共区域经营或摆放灯箱、广告、座椅等物品，每项每次扣1分，如经提醒不配合整改的，全部扣除。</w:t>
            </w:r>
          </w:p>
        </w:tc>
        <w:tc>
          <w:tcPr>
            <w:tcW w:w="645" w:type="dxa"/>
            <w:noWrap w:val="0"/>
            <w:vAlign w:val="center"/>
          </w:tcPr>
          <w:p w14:paraId="3DA50E4C">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position w:val="0"/>
                <w:sz w:val="21"/>
                <w:szCs w:val="21"/>
                <w:highlight w:val="none"/>
                <w:lang w:eastAsia="zh-CN"/>
              </w:rPr>
              <w:t>1</w:t>
            </w:r>
            <w:r>
              <w:rPr>
                <w:rFonts w:hint="default" w:ascii="Times New Roman" w:hAnsi="Times New Roman" w:eastAsia="仿宋_GB2312" w:cs="Times New Roman"/>
                <w:color w:val="auto"/>
                <w:kern w:val="0"/>
                <w:position w:val="0"/>
                <w:sz w:val="21"/>
                <w:szCs w:val="21"/>
                <w:highlight w:val="none"/>
                <w:lang w:val="en-US" w:eastAsia="zh-CN"/>
              </w:rPr>
              <w:t>0</w:t>
            </w:r>
          </w:p>
        </w:tc>
        <w:tc>
          <w:tcPr>
            <w:tcW w:w="765" w:type="dxa"/>
            <w:noWrap w:val="0"/>
            <w:vAlign w:val="center"/>
          </w:tcPr>
          <w:p w14:paraId="797446DD">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018C3F1F">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1C32F0E7">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1C580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noWrap w:val="0"/>
            <w:vAlign w:val="center"/>
          </w:tcPr>
          <w:p w14:paraId="02907952">
            <w:pPr>
              <w:spacing w:before="157" w:beforeLines="50" w:after="157" w:afterLines="50" w:line="240" w:lineRule="auto"/>
              <w:ind w:left="210" w:leftChars="100" w:right="210" w:rightChars="100" w:firstLine="0"/>
              <w:jc w:val="center"/>
              <w:rPr>
                <w:rFonts w:hint="eastAsia" w:ascii="仿宋_GB2312" w:hAnsi="仿宋_GB2312" w:eastAsia="仿宋_GB2312" w:cs="仿宋_GB2312"/>
                <w:b w:val="0"/>
                <w:bCs w:val="0"/>
                <w:color w:val="auto"/>
                <w:spacing w:val="0"/>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lang w:val="en-US" w:eastAsia="zh-CN"/>
              </w:rPr>
              <w:t>安全管理</w:t>
            </w:r>
          </w:p>
        </w:tc>
        <w:tc>
          <w:tcPr>
            <w:tcW w:w="4125" w:type="dxa"/>
            <w:noWrap w:val="0"/>
            <w:vAlign w:val="center"/>
          </w:tcPr>
          <w:p w14:paraId="75572F59">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rPr>
              <w:t>具备强烈的安全意识，区域内安全消防设施设备配备齐全、完好，无安全消防隐患</w:t>
            </w:r>
            <w:r>
              <w:rPr>
                <w:rFonts w:hint="eastAsia" w:ascii="仿宋_GB2312" w:hAnsi="仿宋_GB2312" w:eastAsia="仿宋_GB2312" w:cs="仿宋_GB2312"/>
                <w:color w:val="auto"/>
                <w:spacing w:val="0"/>
                <w:kern w:val="0"/>
                <w:sz w:val="21"/>
                <w:szCs w:val="21"/>
                <w:highlight w:val="none"/>
                <w:lang w:eastAsia="zh-CN"/>
              </w:rPr>
              <w:t>。</w:t>
            </w:r>
            <w:r>
              <w:rPr>
                <w:rFonts w:hint="eastAsia" w:ascii="仿宋_GB2312" w:hAnsi="仿宋_GB2312" w:eastAsia="仿宋_GB2312" w:cs="仿宋_GB2312"/>
                <w:color w:val="auto"/>
                <w:spacing w:val="0"/>
                <w:kern w:val="0"/>
                <w:sz w:val="21"/>
                <w:szCs w:val="21"/>
                <w:highlight w:val="none"/>
              </w:rPr>
              <w:t>积极排查(自查)并整改安全隐患（未按要求整改完成的，发生</w:t>
            </w:r>
            <w:r>
              <w:rPr>
                <w:rFonts w:hint="eastAsia" w:ascii="仿宋_GB2312" w:hAnsi="仿宋_GB2312" w:eastAsia="仿宋_GB2312" w:cs="仿宋_GB2312"/>
                <w:color w:val="auto"/>
                <w:kern w:val="0"/>
                <w:sz w:val="21"/>
                <w:szCs w:val="21"/>
                <w:highlight w:val="none"/>
              </w:rPr>
              <w:t>1次则扣5分。</w:t>
            </w:r>
            <w:r>
              <w:rPr>
                <w:rFonts w:hint="eastAsia" w:ascii="仿宋_GB2312" w:hAnsi="仿宋_GB2312" w:eastAsia="仿宋_GB2312" w:cs="仿宋_GB2312"/>
                <w:b w:val="0"/>
                <w:bCs w:val="0"/>
                <w:color w:val="auto"/>
                <w:kern w:val="0"/>
                <w:sz w:val="21"/>
                <w:szCs w:val="21"/>
                <w:highlight w:val="none"/>
              </w:rPr>
              <w:t>发生火灾事故的；发生安全生产责任事故（或</w:t>
            </w:r>
            <w:r>
              <w:rPr>
                <w:rFonts w:hint="eastAsia" w:ascii="仿宋_GB2312" w:hAnsi="仿宋_GB2312" w:eastAsia="仿宋_GB2312" w:cs="仿宋_GB2312"/>
                <w:b w:val="0"/>
                <w:bCs w:val="0"/>
                <w:color w:val="auto"/>
                <w:spacing w:val="0"/>
                <w:kern w:val="0"/>
                <w:sz w:val="21"/>
                <w:szCs w:val="21"/>
                <w:highlight w:val="none"/>
              </w:rPr>
              <w:t>恶性事件），造成社会不良影响的</w:t>
            </w:r>
            <w:r>
              <w:rPr>
                <w:rFonts w:hint="eastAsia" w:ascii="仿宋_GB2312" w:hAnsi="仿宋_GB2312" w:eastAsia="仿宋_GB2312" w:cs="仿宋_GB2312"/>
                <w:color w:val="auto"/>
                <w:spacing w:val="0"/>
                <w:kern w:val="0"/>
                <w:sz w:val="21"/>
                <w:szCs w:val="21"/>
                <w:highlight w:val="none"/>
              </w:rPr>
              <w:t xml:space="preserve"> </w:t>
            </w:r>
            <w:r>
              <w:rPr>
                <w:rFonts w:hint="eastAsia" w:ascii="仿宋_GB2312" w:hAnsi="仿宋_GB2312" w:eastAsia="仿宋_GB2312" w:cs="仿宋_GB2312"/>
                <w:b w:val="0"/>
                <w:bCs w:val="0"/>
                <w:color w:val="auto"/>
                <w:spacing w:val="0"/>
                <w:kern w:val="0"/>
                <w:sz w:val="21"/>
                <w:szCs w:val="21"/>
                <w:highlight w:val="none"/>
              </w:rPr>
              <w:t>；连续2次在公司下发的安全隐患整改通知时限内隐患未整改完毕的；拒收管辖职能部门的整改通知，拒不整改的；餐饮企业发生食物中毒的，造成负面新闻的；发生严重治安事件的涉及以上</w:t>
            </w:r>
            <w:r>
              <w:rPr>
                <w:rFonts w:hint="eastAsia" w:ascii="仿宋_GB2312" w:hAnsi="仿宋_GB2312" w:eastAsia="仿宋_GB2312" w:cs="仿宋_GB2312"/>
                <w:color w:val="auto"/>
                <w:spacing w:val="0"/>
                <w:kern w:val="0"/>
                <w:sz w:val="21"/>
                <w:szCs w:val="21"/>
                <w:highlight w:val="none"/>
              </w:rPr>
              <w:t xml:space="preserve"> </w:t>
            </w:r>
            <w:r>
              <w:rPr>
                <w:rFonts w:hint="eastAsia" w:ascii="仿宋_GB2312" w:hAnsi="仿宋_GB2312" w:eastAsia="仿宋_GB2312" w:cs="仿宋_GB2312"/>
                <w:b w:val="0"/>
                <w:bCs w:val="0"/>
                <w:color w:val="auto"/>
                <w:spacing w:val="0"/>
                <w:kern w:val="0"/>
                <w:sz w:val="21"/>
                <w:szCs w:val="21"/>
                <w:highlight w:val="none"/>
              </w:rPr>
              <w:t>6</w:t>
            </w:r>
            <w:r>
              <w:rPr>
                <w:rFonts w:hint="eastAsia" w:ascii="仿宋_GB2312" w:hAnsi="仿宋_GB2312" w:eastAsia="仿宋_GB2312" w:cs="仿宋_GB2312"/>
                <w:color w:val="auto"/>
                <w:spacing w:val="0"/>
                <w:kern w:val="0"/>
                <w:sz w:val="21"/>
                <w:szCs w:val="21"/>
                <w:highlight w:val="none"/>
              </w:rPr>
              <w:t xml:space="preserve"> </w:t>
            </w:r>
            <w:r>
              <w:rPr>
                <w:rFonts w:hint="eastAsia" w:ascii="仿宋_GB2312" w:hAnsi="仿宋_GB2312" w:eastAsia="仿宋_GB2312" w:cs="仿宋_GB2312"/>
                <w:b w:val="0"/>
                <w:bCs w:val="0"/>
                <w:color w:val="auto"/>
                <w:spacing w:val="0"/>
                <w:kern w:val="0"/>
                <w:sz w:val="21"/>
                <w:szCs w:val="21"/>
                <w:highlight w:val="none"/>
              </w:rPr>
              <w:t>项均属于一票否决项。</w:t>
            </w:r>
            <w:r>
              <w:rPr>
                <w:rFonts w:hint="eastAsia" w:ascii="仿宋_GB2312" w:hAnsi="仿宋_GB2312" w:eastAsia="仿宋_GB2312" w:cs="仿宋_GB2312"/>
                <w:color w:val="auto"/>
                <w:spacing w:val="0"/>
                <w:kern w:val="0"/>
                <w:sz w:val="21"/>
                <w:szCs w:val="21"/>
                <w:highlight w:val="none"/>
              </w:rPr>
              <w:t>）</w:t>
            </w:r>
          </w:p>
        </w:tc>
        <w:tc>
          <w:tcPr>
            <w:tcW w:w="645" w:type="dxa"/>
            <w:noWrap w:val="0"/>
            <w:vAlign w:val="center"/>
          </w:tcPr>
          <w:p w14:paraId="74CEBC3C">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37CE0DA7">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4CCA1474">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0B6AD322">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rPr>
            </w:pPr>
          </w:p>
          <w:p w14:paraId="029DF9F4">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eastAsia="仿宋_GB2312" w:cs="Times New Roman"/>
                <w:color w:val="auto"/>
                <w:kern w:val="0"/>
                <w:position w:val="0"/>
                <w:sz w:val="21"/>
                <w:szCs w:val="21"/>
                <w:highlight w:val="none"/>
                <w:lang w:eastAsia="zh-CN"/>
              </w:rPr>
              <w:t>1</w:t>
            </w:r>
            <w:r>
              <w:rPr>
                <w:rFonts w:hint="default" w:ascii="Times New Roman" w:hAnsi="Times New Roman" w:eastAsia="仿宋_GB2312" w:cs="Times New Roman"/>
                <w:color w:val="auto"/>
                <w:kern w:val="0"/>
                <w:position w:val="0"/>
                <w:sz w:val="21"/>
                <w:szCs w:val="21"/>
                <w:highlight w:val="none"/>
                <w:lang w:val="en-US" w:eastAsia="zh-CN"/>
              </w:rPr>
              <w:t>0</w:t>
            </w:r>
          </w:p>
        </w:tc>
        <w:tc>
          <w:tcPr>
            <w:tcW w:w="765" w:type="dxa"/>
            <w:noWrap w:val="0"/>
            <w:vAlign w:val="center"/>
          </w:tcPr>
          <w:p w14:paraId="09F863BE">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10128F7D">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776E588A">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5FA36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restart"/>
            <w:noWrap w:val="0"/>
            <w:vAlign w:val="center"/>
          </w:tcPr>
          <w:p w14:paraId="139EE75F">
            <w:pPr>
              <w:spacing w:before="157" w:beforeLines="50" w:after="157" w:afterLines="50" w:line="240" w:lineRule="auto"/>
              <w:ind w:left="210" w:leftChars="100" w:right="210" w:rightChars="100" w:firstLine="0"/>
              <w:jc w:val="center"/>
              <w:rPr>
                <w:rFonts w:hint="eastAsia" w:ascii="仿宋_GB2312" w:hAnsi="仿宋_GB2312" w:eastAsia="仿宋_GB2312" w:cs="仿宋_GB2312"/>
                <w:b w:val="0"/>
                <w:bCs w:val="0"/>
                <w:color w:val="auto"/>
                <w:spacing w:val="0"/>
                <w:kern w:val="0"/>
                <w:sz w:val="21"/>
                <w:szCs w:val="21"/>
                <w:highlight w:val="none"/>
              </w:rPr>
            </w:pPr>
            <w:r>
              <w:rPr>
                <w:rFonts w:hint="eastAsia" w:ascii="仿宋_GB2312" w:hAnsi="仿宋_GB2312" w:eastAsia="仿宋_GB2312" w:cs="仿宋_GB2312"/>
                <w:b w:val="0"/>
                <w:bCs w:val="0"/>
                <w:color w:val="auto"/>
                <w:spacing w:val="0"/>
                <w:kern w:val="0"/>
                <w:sz w:val="21"/>
                <w:szCs w:val="21"/>
                <w:highlight w:val="none"/>
                <w:lang w:val="en-US" w:eastAsia="zh-CN"/>
              </w:rPr>
              <w:t>其他</w:t>
            </w:r>
          </w:p>
        </w:tc>
        <w:tc>
          <w:tcPr>
            <w:tcW w:w="4125" w:type="dxa"/>
            <w:noWrap w:val="0"/>
            <w:vAlign w:val="center"/>
          </w:tcPr>
          <w:p w14:paraId="1CCED245">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rPr>
              <w:t>配合政府政务接待、考察调研等活动（如经通知后仍不配合的，每项每次扣 2 分）。</w:t>
            </w:r>
          </w:p>
        </w:tc>
        <w:tc>
          <w:tcPr>
            <w:tcW w:w="645" w:type="dxa"/>
            <w:noWrap w:val="0"/>
            <w:vAlign w:val="center"/>
          </w:tcPr>
          <w:p w14:paraId="691E84A4">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sz w:val="21"/>
                <w:szCs w:val="21"/>
                <w:highlight w:val="none"/>
                <w:lang w:val="en-US" w:eastAsia="zh-CN" w:bidi="ar-SA"/>
              </w:rPr>
            </w:pPr>
            <w:r>
              <w:rPr>
                <w:rFonts w:hint="eastAsia" w:ascii="Times New Roman" w:hAnsi="Times New Roman" w:eastAsia="仿宋_GB2312" w:cs="Times New Roman"/>
                <w:color w:val="auto"/>
                <w:kern w:val="0"/>
                <w:position w:val="0"/>
                <w:sz w:val="21"/>
                <w:szCs w:val="21"/>
                <w:highlight w:val="none"/>
                <w:lang w:val="en-US" w:eastAsia="zh-CN"/>
              </w:rPr>
              <w:t>5</w:t>
            </w:r>
          </w:p>
        </w:tc>
        <w:tc>
          <w:tcPr>
            <w:tcW w:w="765" w:type="dxa"/>
            <w:noWrap w:val="0"/>
            <w:vAlign w:val="center"/>
          </w:tcPr>
          <w:p w14:paraId="6BC59127">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210A385E">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313B02F2">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48278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1457" w:type="dxa"/>
            <w:vMerge w:val="continue"/>
            <w:noWrap w:val="0"/>
            <w:vAlign w:val="center"/>
          </w:tcPr>
          <w:p w14:paraId="34B34FF2">
            <w:pPr>
              <w:spacing w:before="157" w:beforeLines="50" w:after="157" w:afterLines="50" w:line="240" w:lineRule="auto"/>
              <w:ind w:left="210" w:leftChars="100" w:right="210" w:rightChars="100" w:firstLine="0"/>
              <w:jc w:val="center"/>
              <w:rPr>
                <w:rFonts w:hint="eastAsia" w:ascii="仿宋_GB2312" w:hAnsi="仿宋_GB2312" w:eastAsia="仿宋_GB2312" w:cs="仿宋_GB2312"/>
                <w:b w:val="0"/>
                <w:bCs w:val="0"/>
                <w:color w:val="auto"/>
                <w:spacing w:val="0"/>
                <w:kern w:val="0"/>
                <w:sz w:val="21"/>
                <w:szCs w:val="21"/>
                <w:highlight w:val="none"/>
                <w:lang w:val="en-US" w:eastAsia="zh-CN"/>
              </w:rPr>
            </w:pPr>
          </w:p>
        </w:tc>
        <w:tc>
          <w:tcPr>
            <w:tcW w:w="4125" w:type="dxa"/>
            <w:noWrap w:val="0"/>
            <w:vAlign w:val="center"/>
          </w:tcPr>
          <w:p w14:paraId="091552EF">
            <w:pPr>
              <w:widowControl/>
              <w:spacing w:before="157" w:beforeLines="50" w:after="157" w:afterLines="50" w:line="240" w:lineRule="auto"/>
              <w:ind w:left="210" w:leftChars="100" w:right="210" w:rightChars="100" w:firstLine="0"/>
              <w:jc w:val="both"/>
              <w:rPr>
                <w:rFonts w:hint="eastAsia" w:ascii="仿宋_GB2312" w:hAnsi="仿宋_GB2312" w:eastAsia="仿宋_GB2312" w:cs="仿宋_GB2312"/>
                <w:color w:val="auto"/>
                <w:spacing w:val="0"/>
                <w:kern w:val="0"/>
                <w:sz w:val="21"/>
                <w:szCs w:val="21"/>
                <w:highlight w:val="none"/>
              </w:rPr>
            </w:pPr>
            <w:r>
              <w:rPr>
                <w:rFonts w:hint="eastAsia" w:ascii="仿宋_GB2312" w:hAnsi="仿宋_GB2312" w:eastAsia="仿宋_GB2312" w:cs="仿宋_GB2312"/>
                <w:color w:val="auto"/>
                <w:spacing w:val="0"/>
                <w:kern w:val="0"/>
                <w:sz w:val="21"/>
                <w:szCs w:val="21"/>
                <w:highlight w:val="none"/>
                <w:lang w:val="en-US" w:eastAsia="zh-CN"/>
              </w:rPr>
              <w:t>对外诋毁，对公司管理的房产造成不良影响的。（发现后每次扣1分）</w:t>
            </w:r>
          </w:p>
        </w:tc>
        <w:tc>
          <w:tcPr>
            <w:tcW w:w="645" w:type="dxa"/>
            <w:noWrap w:val="0"/>
            <w:vAlign w:val="center"/>
          </w:tcPr>
          <w:p w14:paraId="1E39A5A0">
            <w:pPr>
              <w:widowControl/>
              <w:spacing w:before="157" w:beforeLines="50" w:after="157" w:afterLines="50" w:line="240" w:lineRule="auto"/>
              <w:ind w:left="210" w:leftChars="100" w:right="210" w:rightChars="100" w:firstLine="0"/>
              <w:jc w:val="both"/>
              <w:rPr>
                <w:rFonts w:hint="default" w:ascii="Times New Roman" w:hAnsi="Times New Roman" w:eastAsia="仿宋_GB2312" w:cs="Times New Roman"/>
                <w:color w:val="auto"/>
                <w:kern w:val="0"/>
                <w:position w:val="0"/>
                <w:sz w:val="21"/>
                <w:szCs w:val="21"/>
                <w:highlight w:val="none"/>
                <w:lang w:val="en-US" w:eastAsia="zh-CN"/>
              </w:rPr>
            </w:pPr>
            <w:r>
              <w:rPr>
                <w:rFonts w:hint="eastAsia" w:ascii="Times New Roman" w:hAnsi="Times New Roman" w:eastAsia="仿宋_GB2312" w:cs="Times New Roman"/>
                <w:color w:val="auto"/>
                <w:kern w:val="0"/>
                <w:position w:val="0"/>
                <w:sz w:val="21"/>
                <w:szCs w:val="21"/>
                <w:highlight w:val="none"/>
                <w:lang w:val="en-US" w:eastAsia="zh-CN"/>
              </w:rPr>
              <w:t>5</w:t>
            </w:r>
          </w:p>
        </w:tc>
        <w:tc>
          <w:tcPr>
            <w:tcW w:w="765" w:type="dxa"/>
            <w:noWrap w:val="0"/>
            <w:vAlign w:val="center"/>
          </w:tcPr>
          <w:p w14:paraId="1C6026CD">
            <w:pPr>
              <w:spacing w:before="157" w:beforeLines="50" w:after="157" w:afterLines="50" w:line="240" w:lineRule="auto"/>
              <w:ind w:left="210" w:leftChars="100" w:right="210" w:rightChars="100" w:firstLine="0"/>
              <w:jc w:val="both"/>
              <w:rPr>
                <w:rFonts w:hint="default" w:ascii="Times New Roman" w:hAnsi="Times New Roman" w:eastAsia="仿宋_GB2312" w:cs="Times New Roman"/>
                <w:b w:val="0"/>
                <w:bCs w:val="0"/>
                <w:color w:val="auto"/>
                <w:spacing w:val="0"/>
                <w:kern w:val="0"/>
                <w:sz w:val="21"/>
                <w:szCs w:val="21"/>
                <w:highlight w:val="none"/>
              </w:rPr>
            </w:pPr>
          </w:p>
        </w:tc>
        <w:tc>
          <w:tcPr>
            <w:tcW w:w="1413" w:type="dxa"/>
            <w:noWrap w:val="0"/>
            <w:vAlign w:val="center"/>
          </w:tcPr>
          <w:p w14:paraId="7C2437B1">
            <w:pPr>
              <w:spacing w:before="157" w:beforeLines="50" w:after="157" w:afterLines="50" w:line="240" w:lineRule="auto"/>
              <w:ind w:left="210" w:leftChars="100" w:right="210" w:rightChars="100" w:firstLine="0"/>
              <w:jc w:val="both"/>
              <w:rPr>
                <w:rFonts w:hint="default" w:ascii="仿宋_GB2312" w:hAnsi="仿宋_GB2312" w:eastAsia="仿宋_GB2312" w:cs="仿宋_GB2312"/>
                <w:b w:val="0"/>
                <w:bCs w:val="0"/>
                <w:color w:val="auto"/>
                <w:spacing w:val="0"/>
                <w:kern w:val="0"/>
                <w:sz w:val="21"/>
                <w:szCs w:val="21"/>
                <w:highlight w:val="none"/>
              </w:rPr>
            </w:pPr>
          </w:p>
        </w:tc>
        <w:tc>
          <w:tcPr>
            <w:tcW w:w="807" w:type="dxa"/>
            <w:noWrap w:val="0"/>
            <w:vAlign w:val="center"/>
          </w:tcPr>
          <w:p w14:paraId="6C4DC7DA">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rPr>
            </w:pPr>
          </w:p>
        </w:tc>
      </w:tr>
      <w:tr w14:paraId="49D46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9212" w:type="dxa"/>
            <w:gridSpan w:val="6"/>
            <w:noWrap w:val="0"/>
            <w:vAlign w:val="center"/>
          </w:tcPr>
          <w:p w14:paraId="512C3A7B">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b w:val="0"/>
                <w:bCs w:val="0"/>
                <w:color w:val="auto"/>
                <w:spacing w:val="0"/>
                <w:kern w:val="0"/>
                <w:sz w:val="21"/>
                <w:szCs w:val="21"/>
                <w:highlight w:val="none"/>
                <w:lang w:val="en-US" w:eastAsia="zh-CN"/>
              </w:rPr>
              <w:t xml:space="preserve">合计得分：         </w:t>
            </w:r>
            <w:r>
              <w:rPr>
                <w:rFonts w:hint="eastAsia" w:ascii="仿宋_GB2312" w:hAnsi="仿宋_GB2312" w:eastAsia="仿宋_GB2312" w:cs="仿宋_GB2312"/>
                <w:color w:val="auto"/>
                <w:kern w:val="0"/>
                <w:sz w:val="21"/>
                <w:szCs w:val="21"/>
                <w:highlight w:val="none"/>
                <w:lang w:val="en-US" w:eastAsia="zh-CN"/>
              </w:rPr>
              <w:t>分</w:t>
            </w:r>
          </w:p>
        </w:tc>
      </w:tr>
      <w:tr w14:paraId="01834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9212" w:type="dxa"/>
            <w:gridSpan w:val="6"/>
            <w:noWrap w:val="0"/>
            <w:vAlign w:val="center"/>
          </w:tcPr>
          <w:p w14:paraId="56C35C24">
            <w:pPr>
              <w:spacing w:before="157" w:beforeLines="50" w:after="157" w:afterLines="50" w:line="240" w:lineRule="auto"/>
              <w:ind w:left="210" w:leftChars="100" w:right="210" w:rightChars="100" w:firstLine="0"/>
              <w:jc w:val="both"/>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b w:val="0"/>
                <w:bCs w:val="0"/>
                <w:color w:val="auto"/>
                <w:spacing w:val="0"/>
                <w:kern w:val="0"/>
                <w:sz w:val="21"/>
                <w:szCs w:val="21"/>
                <w:highlight w:val="none"/>
                <w:lang w:val="en-US" w:eastAsia="zh-CN"/>
              </w:rPr>
              <w:t>园区运营事业部负责人：                            分管领导：</w:t>
            </w:r>
          </w:p>
        </w:tc>
      </w:tr>
    </w:tbl>
    <w:p w14:paraId="76DEEA50">
      <w:pPr>
        <w:snapToGrid w:val="0"/>
        <w:spacing w:line="360" w:lineRule="auto"/>
        <w:ind w:firstLine="396" w:firstLineChars="2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备注：</w:t>
      </w:r>
    </w:p>
    <w:p w14:paraId="79D76C22">
      <w:pPr>
        <w:snapToGrid w:val="0"/>
        <w:spacing w:line="360" w:lineRule="auto"/>
        <w:ind w:firstLine="396" w:firstLineChars="2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1.</w:t>
      </w:r>
      <w:r>
        <w:rPr>
          <w:rFonts w:hint="eastAsia" w:ascii="仿宋_GB2312" w:hAnsi="仿宋_GB2312" w:eastAsia="仿宋_GB2312" w:cs="仿宋_GB2312"/>
          <w:color w:val="auto"/>
          <w:spacing w:val="-6"/>
          <w:sz w:val="21"/>
          <w:szCs w:val="21"/>
          <w:highlight w:val="none"/>
          <w:lang w:val="en-US" w:eastAsia="zh-CN"/>
        </w:rPr>
        <w:t>园区运营事业部</w:t>
      </w:r>
      <w:r>
        <w:rPr>
          <w:rFonts w:hint="eastAsia" w:ascii="仿宋_GB2312" w:hAnsi="仿宋_GB2312" w:eastAsia="仿宋_GB2312" w:cs="仿宋_GB2312"/>
          <w:color w:val="auto"/>
          <w:spacing w:val="-6"/>
          <w:sz w:val="21"/>
          <w:szCs w:val="21"/>
          <w:highlight w:val="none"/>
        </w:rPr>
        <w:t>组织在</w:t>
      </w:r>
      <w:r>
        <w:rPr>
          <w:rFonts w:hint="eastAsia" w:ascii="仿宋_GB2312" w:hAnsi="仿宋_GB2312" w:eastAsia="仿宋_GB2312" w:cs="仿宋_GB2312"/>
          <w:color w:val="auto"/>
          <w:spacing w:val="-6"/>
          <w:sz w:val="21"/>
          <w:szCs w:val="21"/>
          <w:highlight w:val="none"/>
          <w:lang w:val="en-US" w:eastAsia="zh-CN"/>
        </w:rPr>
        <w:t>合同</w:t>
      </w:r>
      <w:r>
        <w:rPr>
          <w:rFonts w:hint="eastAsia" w:ascii="仿宋_GB2312" w:hAnsi="仿宋_GB2312" w:eastAsia="仿宋_GB2312" w:cs="仿宋_GB2312"/>
          <w:color w:val="auto"/>
          <w:spacing w:val="-6"/>
          <w:sz w:val="21"/>
          <w:szCs w:val="21"/>
          <w:highlight w:val="none"/>
        </w:rPr>
        <w:t>期内按自然年度每年考评一次。</w:t>
      </w:r>
    </w:p>
    <w:p w14:paraId="66ACA75E">
      <w:pPr>
        <w:snapToGrid w:val="0"/>
        <w:spacing w:line="360" w:lineRule="auto"/>
        <w:ind w:firstLine="396" w:firstLineChars="2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2.原则上</w:t>
      </w:r>
      <w:r>
        <w:rPr>
          <w:rFonts w:hint="eastAsia" w:ascii="仿宋_GB2312" w:hAnsi="仿宋_GB2312" w:eastAsia="仿宋_GB2312" w:cs="仿宋_GB2312"/>
          <w:color w:val="auto"/>
          <w:spacing w:val="-6"/>
          <w:sz w:val="21"/>
          <w:szCs w:val="21"/>
          <w:highlight w:val="none"/>
          <w:lang w:val="en-US" w:eastAsia="zh-CN"/>
        </w:rPr>
        <w:t>合同期</w:t>
      </w:r>
      <w:r>
        <w:rPr>
          <w:rFonts w:hint="eastAsia" w:ascii="仿宋_GB2312" w:hAnsi="仿宋_GB2312" w:eastAsia="仿宋_GB2312" w:cs="仿宋_GB2312"/>
          <w:color w:val="auto"/>
          <w:spacing w:val="-6"/>
          <w:sz w:val="21"/>
          <w:szCs w:val="21"/>
          <w:highlight w:val="none"/>
        </w:rPr>
        <w:t>满三个月的</w:t>
      </w:r>
      <w:r>
        <w:rPr>
          <w:rFonts w:hint="eastAsia" w:ascii="仿宋_GB2312" w:hAnsi="仿宋_GB2312" w:eastAsia="仿宋_GB2312" w:cs="仿宋_GB2312"/>
          <w:color w:val="auto"/>
          <w:spacing w:val="-6"/>
          <w:sz w:val="21"/>
          <w:szCs w:val="21"/>
          <w:highlight w:val="none"/>
          <w:lang w:val="en-US" w:eastAsia="zh-CN"/>
        </w:rPr>
        <w:t>商户</w:t>
      </w:r>
      <w:r>
        <w:rPr>
          <w:rFonts w:hint="eastAsia" w:ascii="仿宋_GB2312" w:hAnsi="仿宋_GB2312" w:eastAsia="仿宋_GB2312" w:cs="仿宋_GB2312"/>
          <w:color w:val="auto"/>
          <w:spacing w:val="-6"/>
          <w:sz w:val="21"/>
          <w:szCs w:val="21"/>
          <w:highlight w:val="none"/>
        </w:rPr>
        <w:t>，均须列入考评。</w:t>
      </w:r>
    </w:p>
    <w:p w14:paraId="56DEEA68">
      <w:pPr>
        <w:snapToGrid w:val="0"/>
        <w:spacing w:line="360" w:lineRule="auto"/>
        <w:ind w:firstLine="396" w:firstLineChars="2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3.考核分值共计100分。</w:t>
      </w:r>
    </w:p>
    <w:p w14:paraId="67815282">
      <w:pPr>
        <w:pStyle w:val="2"/>
        <w:ind w:left="0"/>
      </w:pPr>
      <w:r>
        <w:rPr>
          <w:rFonts w:hint="eastAsia" w:ascii="仿宋_GB2312" w:hAnsi="仿宋_GB2312" w:eastAsia="仿宋_GB2312" w:cs="仿宋_GB2312"/>
          <w:color w:val="auto"/>
          <w:spacing w:val="-6"/>
          <w:sz w:val="21"/>
          <w:szCs w:val="21"/>
          <w:highlight w:val="none"/>
        </w:rPr>
        <w:t>4.</w:t>
      </w:r>
      <w:r>
        <w:rPr>
          <w:rFonts w:hint="eastAsia" w:ascii="仿宋_GB2312" w:hAnsi="仿宋_GB2312" w:eastAsia="仿宋_GB2312" w:cs="仿宋_GB2312"/>
          <w:color w:val="auto"/>
          <w:spacing w:val="-6"/>
          <w:sz w:val="21"/>
          <w:szCs w:val="21"/>
          <w:highlight w:val="none"/>
          <w:lang w:val="en-US" w:eastAsia="zh-CN"/>
        </w:rPr>
        <w:t>合同</w:t>
      </w:r>
      <w:r>
        <w:rPr>
          <w:rFonts w:hint="eastAsia" w:ascii="仿宋_GB2312" w:hAnsi="仿宋_GB2312" w:eastAsia="仿宋_GB2312" w:cs="仿宋_GB2312"/>
          <w:color w:val="auto"/>
          <w:spacing w:val="-6"/>
          <w:sz w:val="21"/>
          <w:szCs w:val="21"/>
          <w:highlight w:val="none"/>
        </w:rPr>
        <w:t>期内考评平均分在90分以上，为优质</w:t>
      </w:r>
      <w:r>
        <w:rPr>
          <w:rFonts w:hint="eastAsia" w:ascii="仿宋_GB2312" w:hAnsi="仿宋_GB2312" w:eastAsia="仿宋_GB2312" w:cs="仿宋_GB2312"/>
          <w:color w:val="auto"/>
          <w:spacing w:val="-6"/>
          <w:sz w:val="21"/>
          <w:szCs w:val="21"/>
          <w:highlight w:val="none"/>
          <w:lang w:val="en-US" w:eastAsia="zh-CN"/>
        </w:rPr>
        <w:t>商</w:t>
      </w:r>
      <w:r>
        <w:rPr>
          <w:rFonts w:hint="eastAsia" w:ascii="仿宋_GB2312" w:hAnsi="仿宋_GB2312" w:eastAsia="仿宋_GB2312" w:cs="仿宋_GB2312"/>
          <w:color w:val="auto"/>
          <w:spacing w:val="-6"/>
          <w:sz w:val="21"/>
          <w:szCs w:val="21"/>
          <w:highlight w:val="none"/>
        </w:rPr>
        <w:t>户</w:t>
      </w:r>
      <w:r>
        <w:rPr>
          <w:rFonts w:hint="eastAsia" w:ascii="仿宋_GB2312" w:hAnsi="仿宋_GB2312" w:eastAsia="仿宋_GB2312" w:cs="仿宋_GB2312"/>
          <w:color w:val="auto"/>
          <w:spacing w:val="-6"/>
          <w:sz w:val="21"/>
          <w:szCs w:val="21"/>
          <w:highlight w:val="none"/>
          <w:lang w:eastAsia="zh-CN"/>
        </w:rPr>
        <w:t>。</w:t>
      </w:r>
    </w:p>
    <w:sectPr>
      <w:pgSz w:w="11906" w:h="16838"/>
      <w:pgMar w:top="850" w:right="1588" w:bottom="85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font>
  <w:font w:name="Kingsoft Mark">
    <w:altName w:val="Segoe Print"/>
    <w:panose1 w:val="05030102010509060703"/>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Kingsoft UE">
    <w:altName w:val="Segoe Print"/>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FF0C0">
    <w:pPr>
      <w:pStyle w:val="7"/>
      <w:jc w:val="center"/>
    </w:pPr>
    <w:r>
      <w:fldChar w:fldCharType="begin"/>
    </w:r>
    <w:r>
      <w:instrText xml:space="preserve">PAGE   \* MERGEFORMAT</w:instrText>
    </w:r>
    <w:r>
      <w:fldChar w:fldCharType="separate"/>
    </w:r>
    <w:r>
      <w:rPr>
        <w:lang w:val="zh-CN"/>
      </w:rPr>
      <w:t>8</w:t>
    </w:r>
    <w:r>
      <w:fldChar w:fldCharType="end"/>
    </w:r>
  </w:p>
  <w:p w14:paraId="60457225">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DFBA1">
    <w:pPr>
      <w:pStyle w:val="8"/>
      <w:jc w:val="right"/>
      <w:rPr>
        <w:rFonts w:hint="default"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08F4C9"/>
    <w:multiLevelType w:val="singleLevel"/>
    <w:tmpl w:val="D908F4C9"/>
    <w:lvl w:ilvl="0" w:tentative="0">
      <w:start w:val="1"/>
      <w:numFmt w:val="decimal"/>
      <w:suff w:val="nothing"/>
      <w:lvlText w:val="%1、"/>
      <w:lvlJc w:val="left"/>
    </w:lvl>
  </w:abstractNum>
  <w:abstractNum w:abstractNumId="1">
    <w:nsid w:val="59CD4805"/>
    <w:multiLevelType w:val="multilevel"/>
    <w:tmpl w:val="59CD4805"/>
    <w:lvl w:ilvl="0" w:tentative="0">
      <w:start w:val="1"/>
      <w:numFmt w:val="decimalEnclosedParen"/>
      <w:lvlText w:val="%1"/>
      <w:lvlJc w:val="left"/>
      <w:pPr>
        <w:tabs>
          <w:tab w:val="left" w:pos="990"/>
        </w:tabs>
        <w:ind w:left="990" w:hanging="360"/>
      </w:p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539CE"/>
    <w:rsid w:val="09523412"/>
    <w:rsid w:val="0B974FAD"/>
    <w:rsid w:val="18B8611F"/>
    <w:rsid w:val="1A4365B6"/>
    <w:rsid w:val="305F4269"/>
    <w:rsid w:val="316E69A1"/>
    <w:rsid w:val="38F55F13"/>
    <w:rsid w:val="481D62FF"/>
    <w:rsid w:val="608A21AF"/>
    <w:rsid w:val="71507D71"/>
    <w:rsid w:val="7232461F"/>
    <w:rsid w:val="7AE55753"/>
    <w:rsid w:val="7D5B54FC"/>
    <w:rsid w:val="A7F7D482"/>
    <w:rsid w:val="BF758FC3"/>
    <w:rsid w:val="F37F56E5"/>
    <w:rsid w:val="FE7BABE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before="102"/>
      <w:ind w:left="112"/>
    </w:pPr>
    <w:rPr>
      <w:sz w:val="28"/>
      <w:szCs w:val="28"/>
    </w:r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Indent"/>
    <w:basedOn w:val="1"/>
    <w:qFormat/>
    <w:uiPriority w:val="99"/>
    <w:pPr>
      <w:ind w:firstLine="568" w:firstLineChars="203"/>
    </w:pPr>
    <w:rPr>
      <w:sz w:val="28"/>
    </w:rPr>
  </w:style>
  <w:style w:type="paragraph" w:styleId="6">
    <w:name w:val="Body Text Indent 2"/>
    <w:basedOn w:val="1"/>
    <w:qFormat/>
    <w:uiPriority w:val="0"/>
    <w:pPr>
      <w:spacing w:after="120" w:line="480" w:lineRule="auto"/>
      <w:ind w:left="420" w:leftChars="200"/>
    </w:p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widowControl/>
      <w:spacing w:after="100" w:line="259" w:lineRule="auto"/>
    </w:pPr>
    <w:rPr>
      <w:rFonts w:ascii="等线" w:hAnsi="等线" w:eastAsia="等线"/>
      <w:sz w:val="22"/>
      <w:szCs w:val="22"/>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Title"/>
    <w:basedOn w:val="1"/>
    <w:next w:val="1"/>
    <w:qFormat/>
    <w:uiPriority w:val="0"/>
    <w:pPr>
      <w:spacing w:before="240" w:after="60"/>
      <w:jc w:val="center"/>
      <w:outlineLvl w:val="0"/>
    </w:pPr>
    <w:rPr>
      <w:rFonts w:ascii="Arial" w:hAnsi="Arial" w:eastAsia="宋体" w:cs="Arial"/>
      <w:b/>
      <w:bCs/>
      <w:szCs w:val="32"/>
    </w:rPr>
  </w:style>
  <w:style w:type="paragraph" w:styleId="12">
    <w:name w:val="Body Text First Indent 2"/>
    <w:basedOn w:val="5"/>
    <w:qFormat/>
    <w:uiPriority w:val="0"/>
    <w:pPr>
      <w:spacing w:after="0"/>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首行缩进"/>
    <w:basedOn w:val="1"/>
    <w:qFormat/>
    <w:uiPriority w:val="0"/>
    <w:pPr>
      <w:ind w:firstLine="480" w:firstLineChars="200"/>
    </w:pPr>
    <w:rPr>
      <w:lang w:val="zh-CN"/>
    </w:rPr>
  </w:style>
  <w:style w:type="paragraph" w:customStyle="1" w:styleId="17">
    <w:name w:val="样式 小四3"/>
    <w:qFormat/>
    <w:uiPriority w:val="0"/>
    <w:rPr>
      <w:rFonts w:ascii="等线" w:hAnsi="等线" w:eastAsia="等线" w:cs="Times New Roman"/>
      <w:sz w:val="24"/>
      <w:szCs w:val="24"/>
      <w:lang w:val="en-US" w:eastAsia="en-US" w:bidi="ar-SA"/>
    </w:rPr>
  </w:style>
  <w:style w:type="paragraph" w:customStyle="1" w:styleId="18">
    <w:name w:val="[Normal]"/>
    <w:qFormat/>
    <w:uiPriority w:val="0"/>
    <w:rPr>
      <w:rFonts w:ascii="宋体" w:hAnsi="宋体" w:eastAsia="宋体" w:cs="Times New Roman"/>
      <w:sz w:val="24"/>
      <w:szCs w:val="22"/>
      <w:lang w:val="zh-CN"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961</Words>
  <Characters>998</Characters>
  <Lines>0</Lines>
  <Paragraphs>0</Paragraphs>
  <TotalTime>114</TotalTime>
  <ScaleCrop>false</ScaleCrop>
  <LinksUpToDate>false</LinksUpToDate>
  <CharactersWithSpaces>1028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2026-10-02T05:07:00Z</dcterms:created>
  <dc:creator>Administrator</dc:creator>
  <cp:lastModifiedBy>k</cp:lastModifiedBy>
  <dcterms:modified xsi:type="dcterms:W3CDTF">2026-11-05T05:45:30Z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eyJoZGlkIjoiNWIzZDM2OGVkZTg1MmRhNTViMjNlN2M3ZTIzM2JiYWUiLCJ1c2VySWQiOiI5NTMwNTIxNDkifQ==</vt:lpwstr>
  </property>
  <property fmtid="{D5CDD505-2E9C-101B-9397-08002B2CF9AE}" pid="4" name="ICV">
    <vt:lpwstr>55D4B9D4FBC3488DB07DDC72F314BC8F_13</vt:lpwstr>
  </property>
</Properties>
</file>