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1AF3CC">
      <w:pPr>
        <w:spacing w:line="360" w:lineRule="auto"/>
        <w:jc w:val="center"/>
        <w:rPr>
          <w:rFonts w:hint="eastAsia" w:ascii="黑体" w:hAnsi="黑体" w:eastAsia="黑体"/>
          <w:b/>
          <w:sz w:val="36"/>
          <w:szCs w:val="36"/>
        </w:rPr>
      </w:pPr>
      <w:r>
        <w:rPr>
          <w:rFonts w:hint="eastAsia" w:ascii="黑体" w:hAnsi="黑体" w:eastAsia="黑体"/>
          <w:b/>
          <w:sz w:val="36"/>
          <w:szCs w:val="36"/>
        </w:rPr>
        <w:t>承诺函</w:t>
      </w:r>
    </w:p>
    <w:p w14:paraId="78355425">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杭州产权交易所有限责任公司：</w:t>
      </w:r>
    </w:p>
    <w:p w14:paraId="50A103AF">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14:paraId="53C999B1">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我方拟承租</w:t>
      </w:r>
      <w:r>
        <w:rPr>
          <w:rFonts w:hint="eastAsia" w:asciiTheme="minorEastAsia" w:hAnsiTheme="minorEastAsia" w:eastAsiaTheme="minorEastAsia"/>
          <w:b/>
          <w:bCs/>
          <w:szCs w:val="21"/>
          <w:u w:val="single"/>
        </w:rPr>
        <w:t>杭州市拱墅区都市水乡水滟苑1幢107 室二层全部、水滟苑1幢108室(广业街232、234号二层全部、广业街236、238号）房屋5年租赁权</w:t>
      </w:r>
      <w:bookmarkStart w:id="4" w:name="_GoBack"/>
      <w:bookmarkEnd w:id="4"/>
      <w:r>
        <w:rPr>
          <w:rFonts w:hint="eastAsia" w:asciiTheme="minorEastAsia" w:hAnsiTheme="minorEastAsia" w:eastAsiaTheme="minorEastAsia"/>
          <w:szCs w:val="21"/>
        </w:rPr>
        <w:t>，现做如下承诺：</w:t>
      </w:r>
    </w:p>
    <w:p w14:paraId="47296E7A">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1、我方已认真阅读、知悉并自愿遵守杭州产权交易所《房屋出租交易规则》、《在线报价实施办法》和《在线报价交易须知》等文件的规定，同意按照相关规定参加本项目竞价活动。</w:t>
      </w:r>
    </w:p>
    <w:p w14:paraId="4F1D8065">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2、我方提交承租申请并且交纳交易保证金后，即视为已详细阅读并完全认可本项目所披露内容以及已完成对标的的现场踏勘，表明已完全了解并自愿接受标的的全部现状及瑕疵，并自愿承担一切交易风险。</w:t>
      </w:r>
    </w:p>
    <w:p w14:paraId="3F2238A4">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w:t>
      </w:r>
      <w:bookmarkStart w:id="0" w:name="OLE_LINK4"/>
      <w:r>
        <w:rPr>
          <w:rFonts w:hint="eastAsia" w:asciiTheme="minorEastAsia" w:hAnsiTheme="minorEastAsia" w:eastAsiaTheme="minorEastAsia"/>
          <w:szCs w:val="21"/>
        </w:rPr>
        <w:t>同意在被确定为承租方之日起3个工作日内携带承租申请材料原件到杭交所完成现场确认并签署《成交通知书》、《房屋租赁合同》和《房屋管理合同》；并在</w:t>
      </w:r>
      <w:bookmarkStart w:id="1" w:name="OLE_LINK20"/>
      <w:r>
        <w:rPr>
          <w:rFonts w:hint="eastAsia" w:asciiTheme="minorEastAsia" w:hAnsiTheme="minorEastAsia" w:eastAsiaTheme="minorEastAsia"/>
          <w:szCs w:val="21"/>
        </w:rPr>
        <w:t>《房屋租赁合同》</w:t>
      </w:r>
      <w:bookmarkEnd w:id="1"/>
      <w:r>
        <w:rPr>
          <w:rFonts w:hint="eastAsia" w:asciiTheme="minorEastAsia" w:hAnsiTheme="minorEastAsia" w:eastAsiaTheme="minorEastAsia"/>
          <w:szCs w:val="21"/>
        </w:rPr>
        <w:t>、《房屋管理合同》签署之日起</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个工作日内向杭交所指定账户一次性支付交易服务费、履约保证金、</w:t>
      </w:r>
      <w:r>
        <w:rPr>
          <w:rFonts w:hint="eastAsia" w:asciiTheme="minorEastAsia" w:hAnsiTheme="minorEastAsia" w:eastAsiaTheme="minorEastAsia"/>
          <w:szCs w:val="21"/>
          <w:lang w:val="en-US" w:eastAsia="zh-CN"/>
        </w:rPr>
        <w:t>装修保证金、</w:t>
      </w:r>
      <w:r>
        <w:rPr>
          <w:rFonts w:hint="eastAsia" w:asciiTheme="minorEastAsia" w:hAnsiTheme="minorEastAsia" w:eastAsiaTheme="minorEastAsia"/>
          <w:szCs w:val="21"/>
        </w:rPr>
        <w:t>首期租金等交易资金（以到账时间为准）</w:t>
      </w:r>
      <w:bookmarkEnd w:id="0"/>
      <w:r>
        <w:rPr>
          <w:rFonts w:hint="eastAsia" w:asciiTheme="minorEastAsia" w:hAnsiTheme="minorEastAsia" w:eastAsiaTheme="minorEastAsia"/>
          <w:szCs w:val="21"/>
        </w:rPr>
        <w:t>。</w:t>
      </w:r>
    </w:p>
    <w:p w14:paraId="2CBF66ED">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4、同意杭交所经出租方申请之日起3个工作日内将承租方已交纳的首期租金、履约保证金</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装修保证金</w:t>
      </w:r>
      <w:r>
        <w:rPr>
          <w:rFonts w:hint="eastAsia" w:asciiTheme="minorEastAsia" w:hAnsiTheme="minorEastAsia" w:eastAsiaTheme="minorEastAsia"/>
          <w:szCs w:val="21"/>
        </w:rPr>
        <w:t>等交易资金全部划转至出租方指定账户。</w:t>
      </w:r>
    </w:p>
    <w:p w14:paraId="066BB13D">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若我方成为承租方，我方已知悉并同意：出租方对于租赁业态的要求仅系按照整体经营目标设定，不构成出租方对于满足该业态的任何实质或预期承诺。承租方须在承租前自行对租赁房屋进行全面了解，并对营业所需的各项审批条件和规定进行充分自核。承租方参与竞租的行为将被认为已作充分的预判和决策，无论因何种原因导致不能获得营业开设审批（包括房屋规划用途和房屋既有结构、设计等因素在内），或后续因为政策变化导致无法继续开设的各项经营风险，承租方承诺独立承担，出租方不对无法履行、投入成本、装修损失等承担任何形式的赔偿或补偿责任。</w:t>
      </w:r>
    </w:p>
    <w:p w14:paraId="7FDCF7E5">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6、若我方成为承租方，我方已知悉并同意：承租方应自行办理经营许可等开业前的一切行政审批手续，因未能办理相关行政审批手续造成的责任及经济损失由承租方自行承担（因租赁房屋相关证件不齐全导致承租方无法办理的除外）；如在办理过程中，需要出租方提供现有资料的，出租方予以协助。承租方应按照该等执照、批准证等证书或许可证的规定进行合法合规经营。</w:t>
      </w:r>
    </w:p>
    <w:p w14:paraId="4E38E568">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、意向承诺方须承诺：本次租赁权成交后，未经出租方书面同意，不得整体转租、转让该租赁标的</w:t>
      </w:r>
      <w:r>
        <w:rPr>
          <w:rFonts w:hint="eastAsia" w:asciiTheme="minorEastAsia" w:hAnsiTheme="minorEastAsia" w:eastAsiaTheme="minorEastAsia"/>
          <w:szCs w:val="21"/>
          <w:lang w:val="en-US" w:eastAsia="zh-CN"/>
        </w:rPr>
        <w:t>。</w:t>
      </w:r>
    </w:p>
    <w:p w14:paraId="556A5C9A">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8、若我方成为承租方，我方已知悉并同意：本次交易标的的租金出租底价已充分考虑到房屋维修、维护等现状承租相应成本，承租后该房屋的所有维修、维护均由承租方自行承担。</w:t>
      </w:r>
    </w:p>
    <w:p w14:paraId="15CFBF0D">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9、</w:t>
      </w:r>
      <w:bookmarkStart w:id="2" w:name="OLE_LINK2"/>
      <w:r>
        <w:rPr>
          <w:rFonts w:hint="eastAsia" w:asciiTheme="minorEastAsia" w:hAnsiTheme="minorEastAsia" w:eastAsiaTheme="minorEastAsia"/>
          <w:szCs w:val="21"/>
          <w:lang w:val="en-US" w:eastAsia="zh-CN"/>
        </w:rPr>
        <w:t>若我方成为承租方，我方已知悉并同意：</w:t>
      </w:r>
      <w:bookmarkEnd w:id="2"/>
      <w:r>
        <w:rPr>
          <w:rFonts w:hint="eastAsia" w:asciiTheme="minorEastAsia" w:hAnsiTheme="minorEastAsia" w:eastAsiaTheme="minorEastAsia"/>
          <w:szCs w:val="21"/>
          <w:lang w:val="en-US" w:eastAsia="zh-CN"/>
        </w:rPr>
        <w:t>本次租赁权成交后，水、电、燃气、电视、网络费用、公摊费等一切房屋使用费均由承租方自行承担，物业费除外。</w:t>
      </w:r>
    </w:p>
    <w:p w14:paraId="3601A23D">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10、若我方成为承租方，我方已知悉并承诺：该标的存在无法办理餐饮、住宿等业态营业执照的风险，承租方在竞租前自行向有关行政部门核实，如成交后无法办理相关餐饮、住宿等证照，需自行承担风险。</w:t>
      </w:r>
    </w:p>
    <w:p w14:paraId="75744FB1">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11、已知悉并承诺：因都市水乡水滟苑小区的商铺与住宅的消防工程为统一建设，在设计上为统一整体、连通运行，小区物业等单位正分批次开展都市水乡水滟苑等公区及商铺消防设施设备的改造、维修。承租方须无条件配合施工，由此导致的停业、客流减少等一切营业影响及经济损失均由承租方自行承担，出租方不予任何减免或补偿。</w:t>
      </w:r>
    </w:p>
    <w:p w14:paraId="64C423F7">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default"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12、若我方成为承租方，我方已知悉并承诺：承租方不得拆除、遮挡无线APP烟感报警器、悬挂式自动干粉灭火器等消防设施。</w:t>
      </w:r>
    </w:p>
    <w:p w14:paraId="087F4BF9">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13、若我方成为承租方，我方已知悉并承诺：本次交易成交后如因承租方未在规定时间内足额支付履约保证金、装修保证金及首期租金等交易资金导致《房屋租赁合同》、《房屋管理合同》不生效的，承租方已支付的交易资金不予返还。</w:t>
      </w:r>
    </w:p>
    <w:p w14:paraId="0D59BDB9">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14、</w:t>
      </w:r>
      <w:bookmarkStart w:id="3" w:name="OLE_LINK1"/>
      <w:r>
        <w:rPr>
          <w:rFonts w:hint="eastAsia" w:cs="Times New Roman" w:asciiTheme="minorEastAsia" w:hAnsiTheme="minorEastAsia" w:eastAsiaTheme="minorEastAsia"/>
          <w:szCs w:val="21"/>
          <w:lang w:val="en-US" w:eastAsia="zh-CN"/>
        </w:rPr>
        <w:t>若我方成为承租方，我方已知悉并同意：</w:t>
      </w:r>
      <w:bookmarkEnd w:id="3"/>
      <w:r>
        <w:rPr>
          <w:rFonts w:hint="eastAsia" w:cs="Times New Roman" w:asciiTheme="minorEastAsia" w:hAnsiTheme="minorEastAsia" w:eastAsiaTheme="minorEastAsia"/>
          <w:szCs w:val="21"/>
          <w:lang w:val="en-US" w:eastAsia="zh-CN"/>
        </w:rPr>
        <w:t>本次交易出租方和承租方的相关权利义务及房屋交付以《房屋租赁合同》（样本）、《房屋管理合同》（样本）为准。</w:t>
      </w:r>
    </w:p>
    <w:p w14:paraId="60CEAF14">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default"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15、意向承租方知悉并同意若因意向承租方原因出现信息披露公告中约定的保证金不予退还的情形，意向承租方同意杭交所将扣除相关服务费用后的剩余部分划转至出租方指定账户。意向承租方对保证金处置有异议的，承诺直接与出租方协商解决，与杭交所无涉。</w:t>
      </w:r>
    </w:p>
    <w:p w14:paraId="218B2258">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16、我方已知悉并同意：本项目成交的，承租方须缴纳按首年半个月租金计取的交易服务费。</w:t>
      </w:r>
    </w:p>
    <w:p w14:paraId="6ACCB2BA">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17、若非出租方原因出现以下任一情况时，意向承租方交纳的保证金不予退还，扣除相关服务费用后的剩余部分由杭交所根据出租方的书面指令进行处置。交易双方对保证金处置有异议的，由双方协商解决；协商不成的，可通过仲裁或诉讼途径解决，与杭交所及经纪会员无涉：</w:t>
      </w:r>
    </w:p>
    <w:p w14:paraId="5E2747EE">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（1）意向承租方提交承租申请并交纳交易保证金后单方撤回承租申请的；</w:t>
      </w:r>
    </w:p>
    <w:p w14:paraId="3BA7BD6F">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cs="Times New Roman" w:asciiTheme="minorEastAsia" w:hAnsiTheme="minorEastAsia" w:eastAsiaTheme="minorEastAsia"/>
          <w:szCs w:val="21"/>
          <w:lang w:val="en-US" w:eastAsia="zh-CN"/>
        </w:rPr>
        <w:t>（2）产生符合条件的意向承</w:t>
      </w:r>
      <w:r>
        <w:rPr>
          <w:rFonts w:hint="eastAsia" w:asciiTheme="minorEastAsia" w:hAnsiTheme="minorEastAsia" w:eastAsiaTheme="minorEastAsia"/>
          <w:szCs w:val="21"/>
        </w:rPr>
        <w:t>租方后，各意向承租方在竞价期间均不报价的；</w:t>
      </w:r>
    </w:p>
    <w:p w14:paraId="12C7C157">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（3）在被确定为承租方后未按约定签署《房屋租赁合同》、《房屋管理合同》的或未按约定支付首期租金、履约保证金、</w:t>
      </w:r>
      <w:r>
        <w:rPr>
          <w:rFonts w:hint="eastAsia" w:asciiTheme="minorEastAsia" w:hAnsiTheme="minorEastAsia" w:eastAsiaTheme="minorEastAsia"/>
          <w:szCs w:val="21"/>
          <w:lang w:val="en-US" w:eastAsia="zh-CN"/>
        </w:rPr>
        <w:t>装修保证金和</w:t>
      </w:r>
      <w:r>
        <w:rPr>
          <w:rFonts w:hint="eastAsia" w:asciiTheme="minorEastAsia" w:hAnsiTheme="minorEastAsia" w:eastAsiaTheme="minorEastAsia"/>
          <w:szCs w:val="21"/>
        </w:rPr>
        <w:t>交易服务费的；</w:t>
      </w:r>
    </w:p>
    <w:p w14:paraId="2BF488E7">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（4）意向承租方未履行书面承诺事项的；</w:t>
      </w:r>
    </w:p>
    <w:p w14:paraId="6FADFC51">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14:paraId="4E6884CA">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 xml:space="preserve">                                               </w:t>
      </w:r>
    </w:p>
    <w:p w14:paraId="490CBEE9">
      <w:pPr>
        <w:keepNext w:val="0"/>
        <w:keepLines w:val="0"/>
        <w:pageBreakBefore w:val="0"/>
        <w:widowControl w:val="0"/>
        <w:kinsoku/>
        <w:wordWrap/>
        <w:overflowPunct/>
        <w:topLinePunct w:val="0"/>
        <w:autoSpaceDE/>
        <w:autoSpaceDN/>
        <w:bidi w:val="0"/>
        <w:adjustRightInd/>
        <w:snapToGrid/>
        <w:spacing w:line="380" w:lineRule="exact"/>
        <w:ind w:firstLine="4410" w:firstLineChars="21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意向承租方（签章）：</w:t>
      </w:r>
    </w:p>
    <w:p w14:paraId="555FA478">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 xml:space="preserve">      </w:t>
      </w:r>
      <w:r>
        <w:rPr>
          <w:rFonts w:hint="eastAsia" w:asciiTheme="minorEastAsia" w:hAnsiTheme="minorEastAsia" w:eastAsiaTheme="minorEastAsia"/>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4353A"/>
    <w:rsid w:val="000451DE"/>
    <w:rsid w:val="0005613E"/>
    <w:rsid w:val="00057099"/>
    <w:rsid w:val="00090A54"/>
    <w:rsid w:val="00096355"/>
    <w:rsid w:val="000B2C55"/>
    <w:rsid w:val="000D2A01"/>
    <w:rsid w:val="000E77EC"/>
    <w:rsid w:val="000F422A"/>
    <w:rsid w:val="00103830"/>
    <w:rsid w:val="00135261"/>
    <w:rsid w:val="00143D8A"/>
    <w:rsid w:val="001853BE"/>
    <w:rsid w:val="0019572F"/>
    <w:rsid w:val="0020310B"/>
    <w:rsid w:val="00207DFC"/>
    <w:rsid w:val="00210803"/>
    <w:rsid w:val="00215ECB"/>
    <w:rsid w:val="002278BB"/>
    <w:rsid w:val="002526A0"/>
    <w:rsid w:val="00255411"/>
    <w:rsid w:val="00272EE2"/>
    <w:rsid w:val="00274544"/>
    <w:rsid w:val="003165D3"/>
    <w:rsid w:val="003229C2"/>
    <w:rsid w:val="00324E9E"/>
    <w:rsid w:val="00343639"/>
    <w:rsid w:val="00356B1E"/>
    <w:rsid w:val="003A2F6F"/>
    <w:rsid w:val="003C07CD"/>
    <w:rsid w:val="003E079C"/>
    <w:rsid w:val="00413930"/>
    <w:rsid w:val="0042791F"/>
    <w:rsid w:val="00430675"/>
    <w:rsid w:val="00434300"/>
    <w:rsid w:val="00455D9B"/>
    <w:rsid w:val="00466542"/>
    <w:rsid w:val="004701CE"/>
    <w:rsid w:val="0049186F"/>
    <w:rsid w:val="004C246D"/>
    <w:rsid w:val="004D1B74"/>
    <w:rsid w:val="004E1479"/>
    <w:rsid w:val="004E3107"/>
    <w:rsid w:val="004E38FA"/>
    <w:rsid w:val="004F3BEF"/>
    <w:rsid w:val="00503879"/>
    <w:rsid w:val="005367F3"/>
    <w:rsid w:val="00544F53"/>
    <w:rsid w:val="0055051A"/>
    <w:rsid w:val="00554BD8"/>
    <w:rsid w:val="00557E19"/>
    <w:rsid w:val="0056145E"/>
    <w:rsid w:val="005767C5"/>
    <w:rsid w:val="005C1397"/>
    <w:rsid w:val="005E6A17"/>
    <w:rsid w:val="005F613A"/>
    <w:rsid w:val="00627BE3"/>
    <w:rsid w:val="00641516"/>
    <w:rsid w:val="0064408F"/>
    <w:rsid w:val="006507CA"/>
    <w:rsid w:val="00653B08"/>
    <w:rsid w:val="00662215"/>
    <w:rsid w:val="006711F7"/>
    <w:rsid w:val="006733A2"/>
    <w:rsid w:val="006954B9"/>
    <w:rsid w:val="006B740B"/>
    <w:rsid w:val="00735BDE"/>
    <w:rsid w:val="00736371"/>
    <w:rsid w:val="00737286"/>
    <w:rsid w:val="00773F46"/>
    <w:rsid w:val="007847DD"/>
    <w:rsid w:val="00790D21"/>
    <w:rsid w:val="007E4EDD"/>
    <w:rsid w:val="0084282E"/>
    <w:rsid w:val="0087000D"/>
    <w:rsid w:val="0087169F"/>
    <w:rsid w:val="00884F8A"/>
    <w:rsid w:val="00892386"/>
    <w:rsid w:val="008A71B6"/>
    <w:rsid w:val="008C0530"/>
    <w:rsid w:val="008D41B2"/>
    <w:rsid w:val="008D466A"/>
    <w:rsid w:val="008D72E8"/>
    <w:rsid w:val="00906FAC"/>
    <w:rsid w:val="0093437E"/>
    <w:rsid w:val="00934A3A"/>
    <w:rsid w:val="0096235F"/>
    <w:rsid w:val="009733B3"/>
    <w:rsid w:val="009B0F56"/>
    <w:rsid w:val="009B10A4"/>
    <w:rsid w:val="009E1269"/>
    <w:rsid w:val="009F646A"/>
    <w:rsid w:val="00A11F15"/>
    <w:rsid w:val="00A16016"/>
    <w:rsid w:val="00A165E7"/>
    <w:rsid w:val="00A24DD0"/>
    <w:rsid w:val="00A53E81"/>
    <w:rsid w:val="00A6018E"/>
    <w:rsid w:val="00A82B0F"/>
    <w:rsid w:val="00A96775"/>
    <w:rsid w:val="00AA4243"/>
    <w:rsid w:val="00AA5407"/>
    <w:rsid w:val="00AA7FBA"/>
    <w:rsid w:val="00AC5AAD"/>
    <w:rsid w:val="00AE01F9"/>
    <w:rsid w:val="00AE275A"/>
    <w:rsid w:val="00AF7180"/>
    <w:rsid w:val="00B15A11"/>
    <w:rsid w:val="00B170BB"/>
    <w:rsid w:val="00B35714"/>
    <w:rsid w:val="00B36433"/>
    <w:rsid w:val="00B81419"/>
    <w:rsid w:val="00B91182"/>
    <w:rsid w:val="00B923AA"/>
    <w:rsid w:val="00BA1B3B"/>
    <w:rsid w:val="00BB7877"/>
    <w:rsid w:val="00BC1FC6"/>
    <w:rsid w:val="00BD265F"/>
    <w:rsid w:val="00BD2687"/>
    <w:rsid w:val="00BD2FD0"/>
    <w:rsid w:val="00BD6679"/>
    <w:rsid w:val="00BF1150"/>
    <w:rsid w:val="00C02F3D"/>
    <w:rsid w:val="00C06575"/>
    <w:rsid w:val="00C07B7D"/>
    <w:rsid w:val="00C2125E"/>
    <w:rsid w:val="00C300A5"/>
    <w:rsid w:val="00C80243"/>
    <w:rsid w:val="00C85BC7"/>
    <w:rsid w:val="00CA2A1E"/>
    <w:rsid w:val="00CB4AD7"/>
    <w:rsid w:val="00CB5B8C"/>
    <w:rsid w:val="00CF30E1"/>
    <w:rsid w:val="00CF638F"/>
    <w:rsid w:val="00D56D57"/>
    <w:rsid w:val="00D74127"/>
    <w:rsid w:val="00D91E99"/>
    <w:rsid w:val="00D923A3"/>
    <w:rsid w:val="00D9451C"/>
    <w:rsid w:val="00DA3FB7"/>
    <w:rsid w:val="00DA41FC"/>
    <w:rsid w:val="00DC5B10"/>
    <w:rsid w:val="00DF1F7D"/>
    <w:rsid w:val="00DF39B9"/>
    <w:rsid w:val="00E00E55"/>
    <w:rsid w:val="00E514FF"/>
    <w:rsid w:val="00E60BD5"/>
    <w:rsid w:val="00EB2A88"/>
    <w:rsid w:val="00EB51E9"/>
    <w:rsid w:val="00EB68B1"/>
    <w:rsid w:val="00EC6A03"/>
    <w:rsid w:val="00EC7352"/>
    <w:rsid w:val="00ED4E9F"/>
    <w:rsid w:val="00ED754C"/>
    <w:rsid w:val="00EF62AF"/>
    <w:rsid w:val="00F06BEC"/>
    <w:rsid w:val="00F33197"/>
    <w:rsid w:val="00F34AFD"/>
    <w:rsid w:val="00F47654"/>
    <w:rsid w:val="00F6123F"/>
    <w:rsid w:val="00F63294"/>
    <w:rsid w:val="00F73915"/>
    <w:rsid w:val="00F9525F"/>
    <w:rsid w:val="00F9594B"/>
    <w:rsid w:val="00FA0343"/>
    <w:rsid w:val="00FA6AB7"/>
    <w:rsid w:val="00FD24CB"/>
    <w:rsid w:val="00FF2FAD"/>
    <w:rsid w:val="00FF32D4"/>
    <w:rsid w:val="013271D0"/>
    <w:rsid w:val="02F4084C"/>
    <w:rsid w:val="03D07775"/>
    <w:rsid w:val="061C73F5"/>
    <w:rsid w:val="0767015F"/>
    <w:rsid w:val="076829F5"/>
    <w:rsid w:val="07CC170B"/>
    <w:rsid w:val="07D87335"/>
    <w:rsid w:val="0A25564B"/>
    <w:rsid w:val="0B3A162A"/>
    <w:rsid w:val="0B3C05D4"/>
    <w:rsid w:val="0ED418D7"/>
    <w:rsid w:val="0F056E8D"/>
    <w:rsid w:val="0FEC78F6"/>
    <w:rsid w:val="102F2AB4"/>
    <w:rsid w:val="10D054E3"/>
    <w:rsid w:val="10FD1A45"/>
    <w:rsid w:val="11B07DEC"/>
    <w:rsid w:val="13AB13A7"/>
    <w:rsid w:val="1433022F"/>
    <w:rsid w:val="16BD1BA6"/>
    <w:rsid w:val="16F2658D"/>
    <w:rsid w:val="174D738C"/>
    <w:rsid w:val="18651586"/>
    <w:rsid w:val="19B122C7"/>
    <w:rsid w:val="19B324A8"/>
    <w:rsid w:val="19CF393C"/>
    <w:rsid w:val="19F154FF"/>
    <w:rsid w:val="1B3E1C6F"/>
    <w:rsid w:val="1D5E2A13"/>
    <w:rsid w:val="1E14735D"/>
    <w:rsid w:val="1EFA488D"/>
    <w:rsid w:val="1F223145"/>
    <w:rsid w:val="1FE75D9F"/>
    <w:rsid w:val="21152ED3"/>
    <w:rsid w:val="24F23406"/>
    <w:rsid w:val="25526291"/>
    <w:rsid w:val="25B34C3E"/>
    <w:rsid w:val="25C85E06"/>
    <w:rsid w:val="2731534B"/>
    <w:rsid w:val="279515A0"/>
    <w:rsid w:val="28CD421D"/>
    <w:rsid w:val="29064147"/>
    <w:rsid w:val="2B085401"/>
    <w:rsid w:val="2B224A23"/>
    <w:rsid w:val="2B646547"/>
    <w:rsid w:val="2B68501D"/>
    <w:rsid w:val="2BBD3CE2"/>
    <w:rsid w:val="2BDC2DE5"/>
    <w:rsid w:val="2CB34425"/>
    <w:rsid w:val="2CD954CB"/>
    <w:rsid w:val="2DE64B98"/>
    <w:rsid w:val="2E5F656E"/>
    <w:rsid w:val="2E6953D9"/>
    <w:rsid w:val="31C62720"/>
    <w:rsid w:val="34EF4296"/>
    <w:rsid w:val="36DE44D8"/>
    <w:rsid w:val="387E46F3"/>
    <w:rsid w:val="390461AA"/>
    <w:rsid w:val="3AD83A40"/>
    <w:rsid w:val="3C2C4C6F"/>
    <w:rsid w:val="3C940D63"/>
    <w:rsid w:val="3D4E2474"/>
    <w:rsid w:val="3E782391"/>
    <w:rsid w:val="3EBF19DA"/>
    <w:rsid w:val="3EC21F50"/>
    <w:rsid w:val="3EF353BB"/>
    <w:rsid w:val="40E53FB4"/>
    <w:rsid w:val="413362B8"/>
    <w:rsid w:val="42B45E09"/>
    <w:rsid w:val="42C54CCE"/>
    <w:rsid w:val="45F94112"/>
    <w:rsid w:val="48CD454B"/>
    <w:rsid w:val="494F753A"/>
    <w:rsid w:val="4A9D5263"/>
    <w:rsid w:val="4AFF3DA7"/>
    <w:rsid w:val="4CC66179"/>
    <w:rsid w:val="4E0013D2"/>
    <w:rsid w:val="50B653E2"/>
    <w:rsid w:val="50EE6AAC"/>
    <w:rsid w:val="51317EBA"/>
    <w:rsid w:val="52FA2FF0"/>
    <w:rsid w:val="535D214D"/>
    <w:rsid w:val="53601081"/>
    <w:rsid w:val="53D97A78"/>
    <w:rsid w:val="54E742B4"/>
    <w:rsid w:val="563F5F26"/>
    <w:rsid w:val="56EE2F1F"/>
    <w:rsid w:val="5760196D"/>
    <w:rsid w:val="580A43FE"/>
    <w:rsid w:val="581B1593"/>
    <w:rsid w:val="584668FF"/>
    <w:rsid w:val="58C44DE5"/>
    <w:rsid w:val="5983467E"/>
    <w:rsid w:val="59F94169"/>
    <w:rsid w:val="5B3B3E60"/>
    <w:rsid w:val="5B4864E4"/>
    <w:rsid w:val="5B5244CB"/>
    <w:rsid w:val="5DB959AE"/>
    <w:rsid w:val="60143733"/>
    <w:rsid w:val="62A03507"/>
    <w:rsid w:val="633A51EB"/>
    <w:rsid w:val="657C12B1"/>
    <w:rsid w:val="6656185A"/>
    <w:rsid w:val="66B8002E"/>
    <w:rsid w:val="67251409"/>
    <w:rsid w:val="690704A4"/>
    <w:rsid w:val="69790D5D"/>
    <w:rsid w:val="6A2F474B"/>
    <w:rsid w:val="6A405098"/>
    <w:rsid w:val="6B8B6FF7"/>
    <w:rsid w:val="6C431C35"/>
    <w:rsid w:val="6C77321F"/>
    <w:rsid w:val="6D1B0EA5"/>
    <w:rsid w:val="6D511A93"/>
    <w:rsid w:val="6F7A6D9C"/>
    <w:rsid w:val="71711121"/>
    <w:rsid w:val="71933AE8"/>
    <w:rsid w:val="71E501E5"/>
    <w:rsid w:val="736C7394"/>
    <w:rsid w:val="73B45BA4"/>
    <w:rsid w:val="74D422A5"/>
    <w:rsid w:val="776E5FD8"/>
    <w:rsid w:val="77BD028F"/>
    <w:rsid w:val="790125A6"/>
    <w:rsid w:val="7AE46738"/>
    <w:rsid w:val="7BCA7706"/>
    <w:rsid w:val="7CE83E47"/>
    <w:rsid w:val="7D1C592E"/>
    <w:rsid w:val="7FF616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qFormat="1" w:uiPriority="99" w:semiHidden="0"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spacing w:before="60" w:after="60"/>
      <w:outlineLvl w:val="0"/>
    </w:pPr>
    <w:rPr>
      <w:rFonts w:ascii="仿宋_GB2312" w:eastAsia="仿宋_GB2312"/>
      <w:sz w:val="24"/>
    </w:rPr>
  </w:style>
  <w:style w:type="character" w:default="1" w:styleId="9">
    <w:name w:val="Default Paragraph Font"/>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customStyle="1" w:styleId="2">
    <w:name w:val="NormalIndent"/>
    <w:basedOn w:val="1"/>
    <w:qFormat/>
    <w:uiPriority w:val="0"/>
    <w:pPr>
      <w:ind w:firstLine="420"/>
    </w:pPr>
    <w:rPr>
      <w:rFonts w:ascii="Calibri" w:hAnsi="Calibri"/>
      <w:szCs w:val="22"/>
    </w:rPr>
  </w:style>
  <w:style w:type="paragraph" w:styleId="4">
    <w:name w:val="Normal Indent"/>
    <w:basedOn w:val="1"/>
    <w:qFormat/>
    <w:uiPriority w:val="99"/>
    <w:pPr>
      <w:ind w:firstLine="420"/>
    </w:pPr>
  </w:style>
  <w:style w:type="paragraph" w:styleId="5">
    <w:name w:val="footer"/>
    <w:basedOn w:val="1"/>
    <w:link w:val="19"/>
    <w:unhideWhenUsed/>
    <w:qFormat/>
    <w:uiPriority w:val="99"/>
    <w:pPr>
      <w:tabs>
        <w:tab w:val="center" w:pos="4153"/>
        <w:tab w:val="right" w:pos="8306"/>
      </w:tabs>
      <w:snapToGrid w:val="0"/>
      <w:jc w:val="left"/>
    </w:pPr>
    <w:rPr>
      <w:sz w:val="18"/>
      <w:szCs w:val="18"/>
    </w:rPr>
  </w:style>
  <w:style w:type="paragraph" w:styleId="6">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character" w:styleId="10">
    <w:name w:val="Strong"/>
    <w:basedOn w:val="9"/>
    <w:qFormat/>
    <w:uiPriority w:val="22"/>
    <w:rPr>
      <w:b/>
    </w:rPr>
  </w:style>
  <w:style w:type="character" w:styleId="11">
    <w:name w:val="FollowedHyperlink"/>
    <w:basedOn w:val="9"/>
    <w:semiHidden/>
    <w:unhideWhenUsed/>
    <w:qFormat/>
    <w:uiPriority w:val="99"/>
    <w:rPr>
      <w:color w:val="57BBE9"/>
      <w:u w:val="none"/>
    </w:rPr>
  </w:style>
  <w:style w:type="character" w:styleId="12">
    <w:name w:val="HTML Definition"/>
    <w:basedOn w:val="9"/>
    <w:semiHidden/>
    <w:unhideWhenUsed/>
    <w:qFormat/>
    <w:uiPriority w:val="99"/>
    <w:rPr>
      <w:i/>
    </w:rPr>
  </w:style>
  <w:style w:type="character" w:styleId="13">
    <w:name w:val="Hyperlink"/>
    <w:basedOn w:val="9"/>
    <w:unhideWhenUsed/>
    <w:qFormat/>
    <w:uiPriority w:val="99"/>
    <w:rPr>
      <w:color w:val="57BBE9"/>
      <w:u w:val="none"/>
    </w:rPr>
  </w:style>
  <w:style w:type="character" w:styleId="14">
    <w:name w:val="HTML Code"/>
    <w:basedOn w:val="9"/>
    <w:semiHidden/>
    <w:unhideWhenUsed/>
    <w:qFormat/>
    <w:uiPriority w:val="99"/>
    <w:rPr>
      <w:rFonts w:hint="default" w:ascii="monospace" w:hAnsi="monospace" w:eastAsia="monospace" w:cs="monospace"/>
      <w:sz w:val="21"/>
      <w:szCs w:val="21"/>
    </w:rPr>
  </w:style>
  <w:style w:type="character" w:styleId="15">
    <w:name w:val="HTML Keyboard"/>
    <w:basedOn w:val="9"/>
    <w:semiHidden/>
    <w:unhideWhenUsed/>
    <w:qFormat/>
    <w:uiPriority w:val="99"/>
    <w:rPr>
      <w:rFonts w:ascii="monospace" w:hAnsi="monospace" w:eastAsia="monospace" w:cs="monospace"/>
      <w:sz w:val="21"/>
      <w:szCs w:val="21"/>
    </w:rPr>
  </w:style>
  <w:style w:type="character" w:styleId="16">
    <w:name w:val="HTML Sample"/>
    <w:basedOn w:val="9"/>
    <w:semiHidden/>
    <w:unhideWhenUsed/>
    <w:qFormat/>
    <w:uiPriority w:val="99"/>
    <w:rPr>
      <w:rFonts w:hint="default" w:ascii="monospace" w:hAnsi="monospace" w:eastAsia="monospace" w:cs="monospace"/>
      <w:sz w:val="21"/>
      <w:szCs w:val="21"/>
    </w:rPr>
  </w:style>
  <w:style w:type="paragraph" w:customStyle="1" w:styleId="17">
    <w:name w:val="样式 小四3"/>
    <w:qFormat/>
    <w:uiPriority w:val="0"/>
    <w:rPr>
      <w:rFonts w:ascii="等线" w:hAnsi="等线" w:eastAsia="等线" w:cs="Times New Roman"/>
      <w:sz w:val="24"/>
      <w:szCs w:val="24"/>
      <w:lang w:val="en-US" w:eastAsia="en-US" w:bidi="ar-SA"/>
    </w:rPr>
  </w:style>
  <w:style w:type="character" w:customStyle="1" w:styleId="18">
    <w:name w:val="页眉 字符"/>
    <w:basedOn w:val="9"/>
    <w:link w:val="6"/>
    <w:qFormat/>
    <w:uiPriority w:val="99"/>
    <w:rPr>
      <w:rFonts w:ascii="Times New Roman" w:hAnsi="Times New Roman" w:eastAsia="宋体" w:cs="Times New Roman"/>
      <w:sz w:val="18"/>
      <w:szCs w:val="18"/>
    </w:rPr>
  </w:style>
  <w:style w:type="character" w:customStyle="1" w:styleId="19">
    <w:name w:val="页脚 字符"/>
    <w:basedOn w:val="9"/>
    <w:link w:val="5"/>
    <w:qFormat/>
    <w:uiPriority w:val="99"/>
    <w:rPr>
      <w:rFonts w:ascii="Times New Roman" w:hAnsi="Times New Roman" w:eastAsia="宋体" w:cs="Times New Roman"/>
      <w:sz w:val="18"/>
      <w:szCs w:val="18"/>
    </w:rPr>
  </w:style>
  <w:style w:type="paragraph" w:styleId="20">
    <w:name w:val="List Paragraph"/>
    <w:basedOn w:val="1"/>
    <w:qFormat/>
    <w:uiPriority w:val="34"/>
    <w:pPr>
      <w:ind w:firstLine="420" w:firstLineChars="200"/>
    </w:pPr>
  </w:style>
  <w:style w:type="character" w:customStyle="1" w:styleId="21">
    <w:name w:val="not([class*=suffix])"/>
    <w:basedOn w:val="9"/>
    <w:qFormat/>
    <w:uiPriority w:val="0"/>
    <w:rPr>
      <w:sz w:val="19"/>
      <w:szCs w:val="19"/>
    </w:rPr>
  </w:style>
  <w:style w:type="character" w:customStyle="1" w:styleId="22">
    <w:name w:val="not([class*=suffix])1"/>
    <w:basedOn w:val="9"/>
    <w:qFormat/>
    <w:uiPriority w:val="0"/>
  </w:style>
  <w:style w:type="character" w:customStyle="1" w:styleId="23">
    <w:name w:val="Unresolved Mention"/>
    <w:basedOn w:val="9"/>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1177</Words>
  <Characters>1189</Characters>
  <Lines>15</Lines>
  <Paragraphs>4</Paragraphs>
  <TotalTime>36</TotalTime>
  <ScaleCrop>false</ScaleCrop>
  <LinksUpToDate>false</LinksUpToDate>
  <CharactersWithSpaces>1189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2022-01-07T06:20:00Z</dcterms:created>
  <dc:creator>zxy</dc:creator>
  <cp:lastModifiedBy>WPS_1226398985</cp:lastModifiedBy>
  <cp:lastPrinted>2021-08-03T03:13:00Z</cp:lastPrinted>
  <dcterms:modified xsi:type="dcterms:W3CDTF">2026-10-26T02:44:38Z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BA536B07495D48D29D7F0644AF57EDD2</vt:lpwstr>
  </property>
  <property fmtid="{D5CDD505-2E9C-101B-9397-08002B2CF9AE}" pid="4" name="KSOTemplateDocerSaveRecord">
    <vt:lpwstr>eyJoZGlkIjoiZDc1NjBlZjM0NGU0NjA2MWE1NTdlMzE1NDE0YjM3N2EiLCJ1c2VySWQiOiIxMjI2Mzk4OTg1In0=</vt:lpwstr>
  </property>
</Properties>
</file>