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420" w:lineRule="exact"/>
        <w:jc w:val="left"/>
        <w:textAlignment w:val="auto"/>
        <w:rPr>
          <w:rFonts w:hint="eastAsia"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杭州企业产权交易中心有限公司</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承租杭州市上城区花园府环站北路9号房屋3年租赁权</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hint="eastAsia" w:asciiTheme="minorEastAsia" w:hAnsiTheme="minorEastAsia" w:eastAsiaTheme="minorEastAsia" w:cstheme="minorEastAsia"/>
          <w:sz w:val="21"/>
          <w:szCs w:val="21"/>
          <w:highlight w:val="none"/>
          <w:u w:val="single"/>
          <w:lang w:val="en-US" w:eastAsia="zh-CN"/>
        </w:rPr>
        <w:t>《房屋出租交易规则》</w:t>
      </w:r>
      <w:r>
        <w:rPr>
          <w:rFonts w:hint="eastAsia" w:asciiTheme="minorEastAsia" w:hAnsiTheme="minorEastAsia" w:eastAsiaTheme="minorEastAsia" w:cstheme="minorEastAsia"/>
          <w:sz w:val="21"/>
          <w:szCs w:val="21"/>
          <w:highlight w:val="none"/>
          <w:u w:val="none"/>
        </w:rPr>
        <w:t>、</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single"/>
          <w:lang w:val="en-US" w:eastAsia="zh-CN"/>
        </w:rPr>
        <w:t>在线报价实施办法</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none"/>
        </w:rPr>
        <w:t>和</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u w:val="single"/>
          <w:lang w:val="en-US" w:eastAsia="zh-CN"/>
        </w:rPr>
        <w:t>在线报价交易须知</w:t>
      </w:r>
      <w:r>
        <w:rPr>
          <w:rFonts w:hint="eastAsia" w:asciiTheme="minorEastAsia" w:hAnsiTheme="minorEastAsia" w:eastAsiaTheme="minorEastAsia" w:cstheme="minorEastAsia"/>
          <w:sz w:val="21"/>
          <w:szCs w:val="21"/>
          <w:highlight w:val="none"/>
          <w:u w:val="single"/>
          <w:lang w:eastAsia="zh-CN"/>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szCs w:val="21"/>
        </w:rPr>
      </w:pPr>
      <w:r>
        <w:rPr>
          <w:rFonts w:hint="eastAsia" w:asciiTheme="minorEastAsia" w:hAnsiTheme="minorEastAsia" w:eastAsiaTheme="minorEastAsia"/>
          <w:szCs w:val="21"/>
        </w:rPr>
        <w:t>2、</w:t>
      </w:r>
      <w:r>
        <w:rPr>
          <w:rFonts w:hint="eastAsia" w:asciiTheme="minorEastAsia" w:hAnsiTheme="minorEastAsia" w:eastAsiaTheme="minorEastAsia"/>
          <w:sz w:val="21"/>
          <w:szCs w:val="21"/>
          <w:highlight w:val="none"/>
        </w:rPr>
        <w:t>我方</w:t>
      </w:r>
      <w:r>
        <w:rPr>
          <w:rFonts w:hint="eastAsia" w:asciiTheme="minorEastAsia" w:hAnsiTheme="minorEastAsia"/>
          <w:sz w:val="21"/>
          <w:szCs w:val="21"/>
          <w:highlight w:val="none"/>
        </w:rPr>
        <w:t>提交</w:t>
      </w:r>
      <w:r>
        <w:rPr>
          <w:rFonts w:hint="eastAsia" w:asciiTheme="minorEastAsia" w:hAnsiTheme="minorEastAsia"/>
          <w:sz w:val="21"/>
          <w:szCs w:val="21"/>
          <w:highlight w:val="none"/>
          <w:u w:val="single"/>
        </w:rPr>
        <w:t>承租</w:t>
      </w:r>
      <w:r>
        <w:rPr>
          <w:rFonts w:asciiTheme="minorEastAsia" w:hAnsiTheme="minorEastAsia"/>
          <w:sz w:val="21"/>
          <w:szCs w:val="21"/>
          <w:highlight w:val="none"/>
        </w:rPr>
        <w:t>申请</w:t>
      </w:r>
      <w:r>
        <w:rPr>
          <w:rFonts w:hint="eastAsia" w:asciiTheme="minorEastAsia" w:hAnsiTheme="minorEastAsia"/>
          <w:sz w:val="21"/>
          <w:szCs w:val="21"/>
          <w:highlight w:val="none"/>
          <w:lang w:val="en-US" w:eastAsia="zh-CN"/>
        </w:rPr>
        <w:t>材料</w:t>
      </w:r>
      <w:r>
        <w:rPr>
          <w:rFonts w:asciiTheme="minorEastAsia" w:hAnsiTheme="minorEastAsia"/>
          <w:sz w:val="21"/>
          <w:szCs w:val="21"/>
          <w:highlight w:val="none"/>
        </w:rPr>
        <w:t>并且</w:t>
      </w:r>
      <w:r>
        <w:rPr>
          <w:rFonts w:hint="eastAsia" w:asciiTheme="minorEastAsia" w:hAnsiTheme="minorEastAsia"/>
          <w:sz w:val="21"/>
          <w:szCs w:val="21"/>
          <w:highlight w:val="none"/>
        </w:rPr>
        <w:t>交纳交易</w:t>
      </w:r>
      <w:r>
        <w:rPr>
          <w:rFonts w:asciiTheme="minorEastAsia" w:hAnsiTheme="minorEastAsia"/>
          <w:sz w:val="21"/>
          <w:szCs w:val="21"/>
          <w:highlight w:val="none"/>
        </w:rPr>
        <w:t>保证金后，即视为已详细阅读并完全认可本项</w:t>
      </w:r>
      <w:r>
        <w:rPr>
          <w:rFonts w:hint="eastAsia" w:asciiTheme="minorEastAsia" w:hAnsiTheme="minorEastAsia" w:eastAsiaTheme="minorEastAsia" w:cstheme="minorEastAsia"/>
          <w:sz w:val="21"/>
          <w:szCs w:val="21"/>
          <w:highlight w:val="none"/>
        </w:rPr>
        <w:t>目所披露内容以及已完成对标的的现场踏勘，表明已完全了解并自愿接受标的的全部现状及瑕疵，并自愿承担一切交易风险。</w:t>
      </w:r>
    </w:p>
    <w:p>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eastAsia="宋体" w:asciiTheme="minorEastAsia" w:hAnsiTheme="minorEastAsia"/>
          <w:szCs w:val="21"/>
          <w:lang w:eastAsia="zh-CN"/>
        </w:rPr>
      </w:pPr>
      <w:r>
        <w:rPr>
          <w:rFonts w:hint="eastAsia" w:asciiTheme="minorEastAsia" w:hAnsiTheme="minorEastAsia" w:eastAsiaTheme="minorEastAsia"/>
          <w:szCs w:val="21"/>
        </w:rPr>
        <w:t>3、</w:t>
      </w:r>
      <w:r>
        <w:rPr>
          <w:rFonts w:hint="eastAsia" w:ascii="宋体" w:hAnsi="宋体"/>
          <w:sz w:val="21"/>
          <w:szCs w:val="21"/>
          <w:highlight w:val="none"/>
        </w:rPr>
        <w:t>同意在被确定为承租方之日起3个工作日内，携带承租申请材料原件到杭交所完成现场确认并签署</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《房屋租赁合同》；并在</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《房屋租赁合同》签署之日起5个工作日内向杭交所指定账户一次性支付交易服务费、履约保证金</w:t>
      </w:r>
      <w:r>
        <w:rPr>
          <w:rFonts w:hint="eastAsia" w:ascii="宋体" w:hAnsi="宋体"/>
          <w:sz w:val="21"/>
          <w:szCs w:val="21"/>
          <w:highlight w:val="none"/>
          <w:lang w:eastAsia="zh-CN"/>
        </w:rPr>
        <w:t>、</w:t>
      </w:r>
      <w:r>
        <w:rPr>
          <w:rFonts w:hint="eastAsia" w:ascii="宋体" w:hAnsi="宋体"/>
          <w:sz w:val="21"/>
          <w:szCs w:val="21"/>
          <w:highlight w:val="none"/>
          <w:lang w:val="en-US" w:eastAsia="zh-CN"/>
        </w:rPr>
        <w:t>装修保证金和</w:t>
      </w:r>
      <w:r>
        <w:rPr>
          <w:rFonts w:hint="eastAsia" w:ascii="宋体" w:hAnsi="宋体"/>
          <w:sz w:val="21"/>
          <w:szCs w:val="21"/>
          <w:highlight w:val="none"/>
        </w:rPr>
        <w:t>首期租金等交易资金（以到账时间为准）</w:t>
      </w:r>
      <w:r>
        <w:rPr>
          <w:rFonts w:hint="eastAsia" w:ascii="宋体" w:hAnsi="宋体"/>
          <w:b w:val="0"/>
          <w:bCs/>
          <w:color w:val="auto"/>
          <w:szCs w:val="21"/>
          <w:highlight w:val="none"/>
          <w:lang w:eastAsia="zh-CN"/>
        </w:rPr>
        <w:t>。</w:t>
      </w:r>
    </w:p>
    <w:p>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b w:val="0"/>
          <w:bCs w:val="0"/>
          <w:szCs w:val="21"/>
        </w:rPr>
      </w:pPr>
      <w:r>
        <w:rPr>
          <w:rFonts w:hint="eastAsia" w:asciiTheme="minorEastAsia" w:hAnsiTheme="minorEastAsia" w:eastAsiaTheme="minorEastAsia"/>
          <w:b w:val="0"/>
          <w:bCs w:val="0"/>
          <w:szCs w:val="21"/>
        </w:rPr>
        <w:t>4、</w:t>
      </w:r>
      <w:r>
        <w:rPr>
          <w:rFonts w:hint="eastAsia" w:ascii="宋体" w:hAnsi="宋体"/>
          <w:sz w:val="21"/>
          <w:szCs w:val="21"/>
          <w:highlight w:val="none"/>
        </w:rPr>
        <w:t>同意杭交所在经出租方申请之日起3个工作日内将承租方已交纳的履约保证金</w:t>
      </w:r>
      <w:r>
        <w:rPr>
          <w:rFonts w:hint="eastAsia" w:ascii="宋体" w:hAnsi="宋体"/>
          <w:sz w:val="21"/>
          <w:szCs w:val="21"/>
          <w:highlight w:val="none"/>
          <w:lang w:eastAsia="zh-CN"/>
        </w:rPr>
        <w:t>、</w:t>
      </w:r>
      <w:r>
        <w:rPr>
          <w:rFonts w:hint="eastAsia" w:ascii="宋体" w:hAnsi="宋体"/>
          <w:sz w:val="21"/>
          <w:szCs w:val="21"/>
          <w:highlight w:val="none"/>
          <w:lang w:val="en-US" w:eastAsia="zh-CN"/>
        </w:rPr>
        <w:t>装修保证金</w:t>
      </w:r>
      <w:r>
        <w:rPr>
          <w:rFonts w:hint="eastAsia" w:ascii="宋体" w:hAnsi="宋体"/>
          <w:sz w:val="21"/>
          <w:szCs w:val="21"/>
          <w:highlight w:val="none"/>
        </w:rPr>
        <w:t>和首期租金全部划转至出租方指定账户</w:t>
      </w:r>
      <w:r>
        <w:rPr>
          <w:rFonts w:hint="eastAsia" w:asciiTheme="minorEastAsia" w:hAnsiTheme="minorEastAsia" w:eastAsiaTheme="minorEastAsia"/>
          <w:b w:val="0"/>
          <w:bCs w:val="0"/>
          <w:szCs w:val="21"/>
        </w:rPr>
        <w:t>。</w:t>
      </w:r>
    </w:p>
    <w:p>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5、我方已知悉并同意：</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b/>
          <w:bCs/>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w:t>
      </w:r>
      <w:r>
        <w:rPr>
          <w:rFonts w:hint="eastAsia" w:asciiTheme="minorEastAsia" w:hAnsiTheme="minorEastAsia" w:eastAsiaTheme="minorEastAsia"/>
          <w:b/>
          <w:bCs/>
          <w:szCs w:val="21"/>
        </w:rPr>
        <w:t>租赁房屋不动产登记清单载明用途为商服用地/配套公建，权利性质为划拨/其它。（23-30号标的适用）</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cs="Times New Roman"/>
          <w:color w:val="auto"/>
          <w:szCs w:val="21"/>
          <w:highlight w:val="none"/>
        </w:rPr>
      </w:pPr>
      <w:r>
        <w:rPr>
          <w:rFonts w:hint="eastAsia" w:asciiTheme="minorEastAsia" w:hAnsiTheme="minorEastAsia" w:eastAsiaTheme="minorEastAsia"/>
          <w:szCs w:val="21"/>
        </w:rPr>
        <w:t>承租方明确知悉并接受房屋的规划用途、土地性质、产权情况等限制条件。承租方应当在开业前取得营业执照及相关的各类经营许可证，由于承租方无证无照经营行为造成出租方或第三方损失的，承租方应全额赔偿。出租方可根据实际情况提供必要的协助，但所需费用均由承租方承担。若由于出租方提供的资料和租赁房屋现状原因导致承租方不能通过相关登记、审批等手续的，出租方、杭交所和杭州企业产权交易中心有限公司不承担任何责任。</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rPr>
        <w:t>）</w:t>
      </w:r>
      <w:r>
        <w:rPr>
          <w:rFonts w:hint="eastAsia" w:ascii="宋体" w:hAnsi="宋体"/>
          <w:sz w:val="21"/>
          <w:szCs w:val="21"/>
          <w:highlight w:val="none"/>
        </w:rPr>
        <w:t>出租方对于租赁业态的要求仅系按照整体经营目标设定，不构成出租方对于满足该业态的任何实质或预期承诺。意向承租方须在承租前自行对租赁房屋进行全面了解，并对营业所需的各项审批条件和规定进行充分自核。意向承租方参与竞租的行为将被认为已作充分的预判和决策，无论因何种原因导致不能获得营业开设审批（包括房屋规划用途和房屋既有结构、设计等因素在内），或后续因为政策变化导致无法继续开设的各项经营风险，意向承租方承诺独立承担，出租方不对无法履行、投入成本、装修损失等承担任何形式的赔偿或补偿责任。</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w:t>
      </w:r>
      <w:r>
        <w:rPr>
          <w:rFonts w:hint="eastAsia" w:ascii="宋体" w:hAnsi="宋体"/>
          <w:sz w:val="21"/>
          <w:szCs w:val="21"/>
          <w:highlight w:val="none"/>
        </w:rPr>
        <w:t>承租方在该租赁物业内开展及经营其业务前，应向政府主管部门取得所有必要的执照、批准或许可证等，自行办理相关的许可证及相关登记文件，承担由此产生的费用。承租方应确保该执照、批准或许可证在租赁期限内完全有效，及在各方面均符合该执照、批准或许可证的规定。承租方承诺对上述物业权证证载的地类用途和租赁物业现状、设施及物业环境有充分了解，承租方应确保该执照、批准或许可证在租赁期限内完全有效，及在各方面均符合该执照、批准或许可证的规定。并且，承租方在该租赁物业的经营活动不得违反有关的法律、法规，必须确保其经营的合法性，否则，承租方将承担因其不正当经营所造成的一切责任和后果。</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hint="eastAsia"/>
        </w:rPr>
        <w:t>租赁期内，未经出租方书面同意，承租方不得单方面改变经营业态，也不得对所租赁的物业进行整体或分割转让、转包、转租，承租方擅自采取上述行动的，出租方有权解除《房屋租赁合同》，并有权依据《房屋租赁合同》第10.3条b款之约定，要求承租方承担违约责任。如因此给出租方造成损失的，承租方还应承担全部赔偿责任。后期如确需转租的，由承租方提出书面申请，经原最终决策机构审议决策后实施。</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w:t>
      </w:r>
      <w:r>
        <w:rPr>
          <w:rFonts w:hint="eastAsia" w:ascii="宋体" w:hAnsi="宋体"/>
          <w:sz w:val="21"/>
          <w:szCs w:val="21"/>
          <w:highlight w:val="none"/>
          <w:lang w:eastAsia="zh-CN"/>
        </w:rPr>
        <w:t>承租方须承诺不存在下述情况：出租方及各经营主体工作人员及其配偶、子女及其直接/间接控制的主体不得作为意向承租方参与相关房产竞拍。</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w:t>
      </w:r>
      <w:r>
        <w:rPr>
          <w:rFonts w:hint="eastAsia" w:ascii="宋体" w:hAnsi="宋体"/>
          <w:b/>
          <w:bCs/>
          <w:sz w:val="21"/>
          <w:szCs w:val="21"/>
          <w:highlight w:val="none"/>
        </w:rPr>
        <w:t>若因承租方原因出现信息披露公告中约定的保证金不予退还的情形，承租方同意杭交所将扣除相关服务费用后的剩余部分划转至出租方指定账户。承租方对保证金处置有异议的，承诺直接与出租方协商解决，与杭交所、经纪会员无涉。</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w:t>
      </w:r>
      <w:r>
        <w:rPr>
          <w:rFonts w:hint="eastAsia" w:ascii="宋体" w:hAnsi="宋体"/>
          <w:sz w:val="21"/>
          <w:szCs w:val="21"/>
          <w:highlight w:val="none"/>
        </w:rPr>
        <w:t>本次租赁权公开交易出租方与承租方的权利义务</w:t>
      </w:r>
      <w:r>
        <w:rPr>
          <w:rFonts w:hint="eastAsia" w:ascii="宋体" w:hAnsi="宋体"/>
          <w:sz w:val="21"/>
          <w:szCs w:val="21"/>
          <w:highlight w:val="none"/>
          <w:lang w:val="en-US" w:eastAsia="zh-CN"/>
        </w:rPr>
        <w:t>和房屋交付</w:t>
      </w:r>
      <w:r>
        <w:rPr>
          <w:rFonts w:hint="eastAsia" w:ascii="宋体" w:hAnsi="宋体"/>
          <w:sz w:val="21"/>
          <w:szCs w:val="21"/>
          <w:highlight w:val="none"/>
        </w:rPr>
        <w:t>以出租方提供的《房屋租赁合同》（样本）为准。</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rPr>
        <w:t>6、我方同意交纳交易服务费</w:t>
      </w:r>
      <w:r>
        <w:rPr>
          <w:rFonts w:hint="eastAsia" w:asciiTheme="minorEastAsia" w:hAnsiTheme="minorEastAsia" w:eastAsiaTheme="minorEastAsia"/>
          <w:szCs w:val="21"/>
          <w:lang w:eastAsia="zh-CN"/>
        </w:rPr>
        <w:t>：</w:t>
      </w:r>
      <w:r>
        <w:rPr>
          <w:rFonts w:hint="eastAsia" w:ascii="宋体" w:hAnsi="宋体"/>
          <w:b/>
          <w:bCs/>
          <w:sz w:val="21"/>
          <w:szCs w:val="21"/>
          <w:highlight w:val="none"/>
          <w:lang w:eastAsia="zh-CN"/>
        </w:rPr>
        <w:t>各年累计租金在800万元以下，按照各年累计租金的</w:t>
      </w:r>
      <w:r>
        <w:rPr>
          <w:rFonts w:hint="eastAsia" w:ascii="宋体" w:hAnsi="宋体"/>
          <w:b/>
          <w:bCs/>
          <w:sz w:val="21"/>
          <w:szCs w:val="21"/>
          <w:highlight w:val="none"/>
          <w:lang w:val="en-US" w:eastAsia="zh-CN"/>
        </w:rPr>
        <w:t>1</w:t>
      </w:r>
      <w:r>
        <w:rPr>
          <w:rFonts w:hint="eastAsia" w:ascii="宋体" w:hAnsi="宋体"/>
          <w:b/>
          <w:bCs/>
          <w:sz w:val="21"/>
          <w:szCs w:val="21"/>
          <w:highlight w:val="none"/>
          <w:lang w:eastAsia="zh-CN"/>
        </w:rPr>
        <w:t>%收取；各年累计租金在800万元以上的，按照各年累计租金的</w:t>
      </w:r>
      <w:r>
        <w:rPr>
          <w:rFonts w:hint="eastAsia" w:ascii="宋体" w:hAnsi="宋体"/>
          <w:b/>
          <w:bCs/>
          <w:sz w:val="21"/>
          <w:szCs w:val="21"/>
          <w:highlight w:val="none"/>
          <w:lang w:val="en-US" w:eastAsia="zh-CN"/>
        </w:rPr>
        <w:t>0.75</w:t>
      </w:r>
      <w:r>
        <w:rPr>
          <w:rFonts w:hint="eastAsia" w:ascii="宋体" w:hAnsi="宋体"/>
          <w:b/>
          <w:bCs/>
          <w:sz w:val="21"/>
          <w:szCs w:val="21"/>
          <w:highlight w:val="none"/>
          <w:lang w:eastAsia="zh-CN"/>
        </w:rPr>
        <w:t>%收取。</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若非出租方原因，出现以下任一情况时，意向承租方交纳的保证金不予退还，扣除相关服务费用后的剩余部分由杭交所根据</w:t>
      </w:r>
      <w:r>
        <w:rPr>
          <w:rFonts w:hint="eastAsia" w:asciiTheme="minorEastAsia" w:hAnsiTheme="minorEastAsia" w:eastAsiaTheme="minorEastAsia"/>
          <w:szCs w:val="21"/>
          <w:lang w:val="en-US" w:eastAsia="zh-CN"/>
        </w:rPr>
        <w:t>出租方</w:t>
      </w:r>
      <w:r>
        <w:rPr>
          <w:rFonts w:hint="eastAsia" w:asciiTheme="minorEastAsia" w:hAnsiTheme="minorEastAsia" w:eastAsiaTheme="minorEastAsia"/>
          <w:szCs w:val="21"/>
        </w:rPr>
        <w:t>的书面指令进行处置。交易双方对保证金处置有异议的，由双方协商解决；协商不成的，可通过仲裁或诉讼途径解决，与杭交所</w:t>
      </w:r>
      <w:r>
        <w:rPr>
          <w:rFonts w:hint="eastAsia" w:ascii="宋体" w:hAnsi="宋体" w:cs="Times New Roman"/>
          <w:color w:val="auto"/>
          <w:szCs w:val="21"/>
          <w:highlight w:val="none"/>
          <w:lang w:val="en-US" w:eastAsia="zh-CN"/>
        </w:rPr>
        <w:t>、经纪会员</w:t>
      </w:r>
      <w:r>
        <w:rPr>
          <w:rFonts w:hint="eastAsia" w:asciiTheme="minorEastAsia" w:hAnsiTheme="minorEastAsia" w:eastAsiaTheme="minorEastAsia"/>
          <w:szCs w:val="21"/>
        </w:rPr>
        <w:t>无涉：</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（1）意向承租方提交承租申请材料并交纳交易保证金后单方撤回承租申请的；</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w:t>
      </w:r>
      <w:r>
        <w:rPr>
          <w:rFonts w:hint="eastAsia" w:ascii="宋体" w:hAnsi="宋体"/>
          <w:sz w:val="21"/>
          <w:szCs w:val="21"/>
          <w:highlight w:val="none"/>
        </w:rPr>
        <w:t>在被确定为承租方后未按约定签署</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《房屋租赁合同》的或未按约定支付交易服务费、履约保证金</w:t>
      </w:r>
      <w:r>
        <w:rPr>
          <w:rFonts w:hint="eastAsia" w:ascii="宋体" w:hAnsi="宋体"/>
          <w:sz w:val="21"/>
          <w:szCs w:val="21"/>
          <w:highlight w:val="none"/>
          <w:lang w:eastAsia="zh-CN"/>
        </w:rPr>
        <w:t>、</w:t>
      </w:r>
      <w:r>
        <w:rPr>
          <w:rFonts w:hint="eastAsia" w:ascii="宋体" w:hAnsi="宋体"/>
          <w:sz w:val="21"/>
          <w:szCs w:val="21"/>
          <w:highlight w:val="none"/>
          <w:lang w:val="en-US" w:eastAsia="zh-CN"/>
        </w:rPr>
        <w:t>装修保证金</w:t>
      </w:r>
      <w:r>
        <w:rPr>
          <w:rFonts w:hint="eastAsia" w:ascii="宋体" w:hAnsi="宋体"/>
          <w:sz w:val="21"/>
          <w:szCs w:val="21"/>
          <w:highlight w:val="none"/>
        </w:rPr>
        <w:t>和首</w:t>
      </w:r>
      <w:r>
        <w:rPr>
          <w:rFonts w:hint="eastAsia" w:ascii="宋体" w:hAnsi="宋体"/>
          <w:sz w:val="21"/>
          <w:szCs w:val="21"/>
          <w:highlight w:val="none"/>
          <w:lang w:val="en-US" w:eastAsia="zh-CN"/>
        </w:rPr>
        <w:t>期</w:t>
      </w:r>
      <w:r>
        <w:rPr>
          <w:rFonts w:hint="eastAsia" w:ascii="宋体" w:hAnsi="宋体"/>
          <w:sz w:val="21"/>
          <w:szCs w:val="21"/>
          <w:highlight w:val="none"/>
        </w:rPr>
        <w:t>租金的</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bookmarkStart w:id="0" w:name="_GoBack"/>
      <w:bookmarkEnd w:id="0"/>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2026</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17388"/>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88F"/>
    <w:rsid w:val="00D56D57"/>
    <w:rsid w:val="00E00E55"/>
    <w:rsid w:val="00E60BD5"/>
    <w:rsid w:val="00ED4E9F"/>
    <w:rsid w:val="00EF62AF"/>
    <w:rsid w:val="00F06BEC"/>
    <w:rsid w:val="00F47654"/>
    <w:rsid w:val="00FA0343"/>
    <w:rsid w:val="00FA6AB7"/>
    <w:rsid w:val="015952F6"/>
    <w:rsid w:val="01796719"/>
    <w:rsid w:val="0279645F"/>
    <w:rsid w:val="02EB7464"/>
    <w:rsid w:val="02ED3889"/>
    <w:rsid w:val="035F29AC"/>
    <w:rsid w:val="03602F97"/>
    <w:rsid w:val="03A523CA"/>
    <w:rsid w:val="04273FE8"/>
    <w:rsid w:val="04D96630"/>
    <w:rsid w:val="05474BCA"/>
    <w:rsid w:val="06403643"/>
    <w:rsid w:val="06565574"/>
    <w:rsid w:val="06A907A1"/>
    <w:rsid w:val="06FF3E8A"/>
    <w:rsid w:val="071B6D25"/>
    <w:rsid w:val="0739342F"/>
    <w:rsid w:val="09377722"/>
    <w:rsid w:val="0A514DBC"/>
    <w:rsid w:val="0BBE3E04"/>
    <w:rsid w:val="0C455BB9"/>
    <w:rsid w:val="0DF647A0"/>
    <w:rsid w:val="0F423341"/>
    <w:rsid w:val="10346095"/>
    <w:rsid w:val="10E20B40"/>
    <w:rsid w:val="11561F17"/>
    <w:rsid w:val="122D5A9B"/>
    <w:rsid w:val="15B80C26"/>
    <w:rsid w:val="166533E4"/>
    <w:rsid w:val="17DF339A"/>
    <w:rsid w:val="18597C75"/>
    <w:rsid w:val="18934C0E"/>
    <w:rsid w:val="18AB29E5"/>
    <w:rsid w:val="1A4B5000"/>
    <w:rsid w:val="1A740B58"/>
    <w:rsid w:val="1AE30C41"/>
    <w:rsid w:val="1D772D50"/>
    <w:rsid w:val="1E2E20E9"/>
    <w:rsid w:val="1E570CAC"/>
    <w:rsid w:val="1E867034"/>
    <w:rsid w:val="1E9C785A"/>
    <w:rsid w:val="1EC62F0A"/>
    <w:rsid w:val="1FB76644"/>
    <w:rsid w:val="209558D7"/>
    <w:rsid w:val="2164102D"/>
    <w:rsid w:val="21D62F05"/>
    <w:rsid w:val="224C47AB"/>
    <w:rsid w:val="22596EC8"/>
    <w:rsid w:val="22EF036A"/>
    <w:rsid w:val="23DB58DD"/>
    <w:rsid w:val="25064362"/>
    <w:rsid w:val="25677B0B"/>
    <w:rsid w:val="258432D6"/>
    <w:rsid w:val="25CF0E14"/>
    <w:rsid w:val="25D72BEF"/>
    <w:rsid w:val="25F1264D"/>
    <w:rsid w:val="261256F5"/>
    <w:rsid w:val="26176E7E"/>
    <w:rsid w:val="261B6EAF"/>
    <w:rsid w:val="273E55C5"/>
    <w:rsid w:val="280C6FF3"/>
    <w:rsid w:val="28227C55"/>
    <w:rsid w:val="29831BA4"/>
    <w:rsid w:val="29A37426"/>
    <w:rsid w:val="29AC0889"/>
    <w:rsid w:val="2A7A57A9"/>
    <w:rsid w:val="2A7E3585"/>
    <w:rsid w:val="2AC97973"/>
    <w:rsid w:val="2C5B5AFF"/>
    <w:rsid w:val="2C993CF8"/>
    <w:rsid w:val="2D095E73"/>
    <w:rsid w:val="2D462264"/>
    <w:rsid w:val="2D9F47EE"/>
    <w:rsid w:val="2DDE0BE6"/>
    <w:rsid w:val="2E8A4C82"/>
    <w:rsid w:val="2EF16AF3"/>
    <w:rsid w:val="2F431594"/>
    <w:rsid w:val="2FFC7C4A"/>
    <w:rsid w:val="30567A83"/>
    <w:rsid w:val="30F66B22"/>
    <w:rsid w:val="313B1C69"/>
    <w:rsid w:val="31831344"/>
    <w:rsid w:val="31A85707"/>
    <w:rsid w:val="31C10B20"/>
    <w:rsid w:val="31DC4764"/>
    <w:rsid w:val="32147D6E"/>
    <w:rsid w:val="32824EDB"/>
    <w:rsid w:val="34705D86"/>
    <w:rsid w:val="34B343DA"/>
    <w:rsid w:val="34B63137"/>
    <w:rsid w:val="36A4746F"/>
    <w:rsid w:val="37200BEA"/>
    <w:rsid w:val="37A200AC"/>
    <w:rsid w:val="380B12B2"/>
    <w:rsid w:val="383374BF"/>
    <w:rsid w:val="384E2216"/>
    <w:rsid w:val="38536508"/>
    <w:rsid w:val="38CB4108"/>
    <w:rsid w:val="38DD4350"/>
    <w:rsid w:val="38FD240B"/>
    <w:rsid w:val="39C01E63"/>
    <w:rsid w:val="39E9751C"/>
    <w:rsid w:val="3A4574B2"/>
    <w:rsid w:val="3AC218E1"/>
    <w:rsid w:val="3B2E3F4D"/>
    <w:rsid w:val="3B396965"/>
    <w:rsid w:val="3B872449"/>
    <w:rsid w:val="3C2C0B99"/>
    <w:rsid w:val="3CB624B8"/>
    <w:rsid w:val="3D6B2F4F"/>
    <w:rsid w:val="3D8D11E6"/>
    <w:rsid w:val="3DE736C7"/>
    <w:rsid w:val="3E366EA5"/>
    <w:rsid w:val="3E9079E7"/>
    <w:rsid w:val="3F6A50BE"/>
    <w:rsid w:val="3F7A371C"/>
    <w:rsid w:val="3FBA3979"/>
    <w:rsid w:val="3FC6216C"/>
    <w:rsid w:val="3FFD00BF"/>
    <w:rsid w:val="40FE57EE"/>
    <w:rsid w:val="410F09C3"/>
    <w:rsid w:val="41266D89"/>
    <w:rsid w:val="414F26D9"/>
    <w:rsid w:val="41BC2A00"/>
    <w:rsid w:val="41F153B0"/>
    <w:rsid w:val="42104327"/>
    <w:rsid w:val="4305016E"/>
    <w:rsid w:val="43473029"/>
    <w:rsid w:val="450A38F6"/>
    <w:rsid w:val="450C14F7"/>
    <w:rsid w:val="4581590B"/>
    <w:rsid w:val="459A4A97"/>
    <w:rsid w:val="46145F89"/>
    <w:rsid w:val="464723B1"/>
    <w:rsid w:val="479E5897"/>
    <w:rsid w:val="489A19EF"/>
    <w:rsid w:val="48AC07D9"/>
    <w:rsid w:val="48D83DF3"/>
    <w:rsid w:val="49396F88"/>
    <w:rsid w:val="49927B74"/>
    <w:rsid w:val="4A4333A2"/>
    <w:rsid w:val="4C4308FE"/>
    <w:rsid w:val="4D801570"/>
    <w:rsid w:val="4DD22F16"/>
    <w:rsid w:val="4ED14076"/>
    <w:rsid w:val="4F092F78"/>
    <w:rsid w:val="4F201E42"/>
    <w:rsid w:val="4F6D31A3"/>
    <w:rsid w:val="4FBC2F5F"/>
    <w:rsid w:val="52212BBB"/>
    <w:rsid w:val="53CF79C0"/>
    <w:rsid w:val="54130175"/>
    <w:rsid w:val="54AC0761"/>
    <w:rsid w:val="5502046E"/>
    <w:rsid w:val="552542D2"/>
    <w:rsid w:val="57576ED8"/>
    <w:rsid w:val="576B3208"/>
    <w:rsid w:val="57E43E5E"/>
    <w:rsid w:val="580A29D8"/>
    <w:rsid w:val="58E27BEC"/>
    <w:rsid w:val="593A4AEF"/>
    <w:rsid w:val="59BB5339"/>
    <w:rsid w:val="59C553D4"/>
    <w:rsid w:val="59D25817"/>
    <w:rsid w:val="5A721786"/>
    <w:rsid w:val="5C4A15A7"/>
    <w:rsid w:val="5C6F1AF2"/>
    <w:rsid w:val="5D0B1ACB"/>
    <w:rsid w:val="5F263445"/>
    <w:rsid w:val="60D41C1D"/>
    <w:rsid w:val="61AF798C"/>
    <w:rsid w:val="62D637DB"/>
    <w:rsid w:val="63DB45BE"/>
    <w:rsid w:val="63F50A4F"/>
    <w:rsid w:val="65224FFC"/>
    <w:rsid w:val="65BC6383"/>
    <w:rsid w:val="669B59E7"/>
    <w:rsid w:val="678212AA"/>
    <w:rsid w:val="67A91325"/>
    <w:rsid w:val="685936B8"/>
    <w:rsid w:val="69057392"/>
    <w:rsid w:val="6AA52327"/>
    <w:rsid w:val="6B3B2C71"/>
    <w:rsid w:val="6B5B46E4"/>
    <w:rsid w:val="6BEE766C"/>
    <w:rsid w:val="6C534AE6"/>
    <w:rsid w:val="6C7E0522"/>
    <w:rsid w:val="6D490EB5"/>
    <w:rsid w:val="6DC2291F"/>
    <w:rsid w:val="6DE029CA"/>
    <w:rsid w:val="6E965DB6"/>
    <w:rsid w:val="70681F34"/>
    <w:rsid w:val="71204A9C"/>
    <w:rsid w:val="72C64894"/>
    <w:rsid w:val="744676DC"/>
    <w:rsid w:val="744E1347"/>
    <w:rsid w:val="745E0AB8"/>
    <w:rsid w:val="74757D00"/>
    <w:rsid w:val="74C72DEA"/>
    <w:rsid w:val="752E7623"/>
    <w:rsid w:val="76E45562"/>
    <w:rsid w:val="76E637FE"/>
    <w:rsid w:val="77D53699"/>
    <w:rsid w:val="79944E61"/>
    <w:rsid w:val="7A54014C"/>
    <w:rsid w:val="7ADA7D76"/>
    <w:rsid w:val="7AE52BBB"/>
    <w:rsid w:val="7AFB73C0"/>
    <w:rsid w:val="7B403C14"/>
    <w:rsid w:val="7BA972A9"/>
    <w:rsid w:val="7CE3684D"/>
    <w:rsid w:val="7D1767FA"/>
    <w:rsid w:val="7E4A5FAE"/>
    <w:rsid w:val="7E5E1B1E"/>
    <w:rsid w:val="7F571B19"/>
    <w:rsid w:val="7FFA0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adjustRightInd w:val="0"/>
      <w:spacing w:line="360" w:lineRule="atLeast"/>
      <w:ind w:firstLine="482"/>
      <w:textAlignment w:val="baseline"/>
    </w:pPr>
    <w:rPr>
      <w:kern w:val="0"/>
      <w:sz w:val="24"/>
      <w:szCs w:val="20"/>
    </w:rPr>
  </w:style>
  <w:style w:type="paragraph" w:styleId="3">
    <w:name w:val="Body Text"/>
    <w:basedOn w:val="1"/>
    <w:next w:val="4"/>
    <w:qFormat/>
    <w:uiPriority w:val="99"/>
    <w:pPr>
      <w:spacing w:before="120" w:after="120" w:line="360" w:lineRule="auto"/>
      <w:ind w:firstLine="800" w:firstLineChars="200"/>
    </w:pPr>
    <w:rPr>
      <w:rFonts w:ascii="宋体" w:hAnsi="宋体"/>
      <w:lang w:val="zh-CN"/>
    </w:rPr>
  </w:style>
  <w:style w:type="paragraph" w:styleId="4">
    <w:name w:val="Body Text First Indent"/>
    <w:basedOn w:val="3"/>
    <w:next w:val="1"/>
    <w:qFormat/>
    <w:uiPriority w:val="99"/>
    <w:pPr>
      <w:ind w:firstLine="420" w:firstLineChars="100"/>
    </w:pPr>
  </w:style>
  <w:style w:type="paragraph" w:styleId="5">
    <w:name w:val="Body Text Indent"/>
    <w:basedOn w:val="1"/>
    <w:qFormat/>
    <w:uiPriority w:val="0"/>
    <w:pPr>
      <w:spacing w:after="120"/>
      <w:ind w:left="420" w:leftChars="200"/>
    </w:pPr>
  </w:style>
  <w:style w:type="paragraph" w:styleId="6">
    <w:name w:val="footer"/>
    <w:basedOn w:val="1"/>
    <w:link w:val="14"/>
    <w:semiHidden/>
    <w:unhideWhenUsed/>
    <w:qFormat/>
    <w:uiPriority w:val="99"/>
    <w:pPr>
      <w:tabs>
        <w:tab w:val="center" w:pos="4153"/>
        <w:tab w:val="right" w:pos="8306"/>
      </w:tabs>
      <w:snapToGrid w:val="0"/>
      <w:jc w:val="left"/>
    </w:pPr>
    <w:rPr>
      <w:sz w:val="18"/>
      <w:szCs w:val="18"/>
    </w:rPr>
  </w:style>
  <w:style w:type="paragraph" w:styleId="7">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9">
    <w:name w:val="Body Text First Indent 2"/>
    <w:basedOn w:val="5"/>
    <w:unhideWhenUsed/>
    <w:qFormat/>
    <w:uiPriority w:val="99"/>
    <w:pPr>
      <w:tabs>
        <w:tab w:val="left" w:pos="6600"/>
      </w:tabs>
      <w:spacing w:line="360" w:lineRule="auto"/>
      <w:ind w:firstLine="420" w:firstLineChars="200"/>
    </w:pPr>
    <w:rPr>
      <w:rFonts w:hint="default" w:cs="Times New Roman"/>
      <w:sz w:val="24"/>
      <w:szCs w:val="22"/>
    </w:rPr>
  </w:style>
  <w:style w:type="paragraph" w:customStyle="1" w:styleId="12">
    <w:name w:val="NormalIndent"/>
    <w:basedOn w:val="1"/>
    <w:qFormat/>
    <w:uiPriority w:val="0"/>
    <w:pPr>
      <w:ind w:firstLine="420"/>
    </w:pPr>
    <w:rPr>
      <w:rFonts w:ascii="Calibri" w:hAnsi="Calibri"/>
      <w:szCs w:val="22"/>
    </w:rPr>
  </w:style>
  <w:style w:type="character" w:customStyle="1" w:styleId="13">
    <w:name w:val="页眉 Char"/>
    <w:basedOn w:val="11"/>
    <w:link w:val="7"/>
    <w:semiHidden/>
    <w:qFormat/>
    <w:uiPriority w:val="99"/>
    <w:rPr>
      <w:rFonts w:ascii="Times New Roman" w:hAnsi="Times New Roman" w:eastAsia="宋体" w:cs="Times New Roman"/>
      <w:sz w:val="18"/>
      <w:szCs w:val="18"/>
    </w:rPr>
  </w:style>
  <w:style w:type="character" w:customStyle="1" w:styleId="14">
    <w:name w:val="页脚 Char"/>
    <w:basedOn w:val="11"/>
    <w:link w:val="6"/>
    <w:semiHidden/>
    <w:qFormat/>
    <w:uiPriority w:val="99"/>
    <w:rPr>
      <w:rFonts w:ascii="Times New Roman" w:hAnsi="Times New Roman" w:eastAsia="宋体" w:cs="Times New Roman"/>
      <w:sz w:val="18"/>
      <w:szCs w:val="18"/>
    </w:rPr>
  </w:style>
  <w:style w:type="paragraph" w:styleId="15">
    <w:name w:val="List Paragraph"/>
    <w:basedOn w:val="1"/>
    <w:qFormat/>
    <w:uiPriority w:val="34"/>
    <w:pPr>
      <w:ind w:firstLine="420" w:firstLineChars="200"/>
    </w:pPr>
  </w:style>
  <w:style w:type="paragraph" w:customStyle="1" w:styleId="16">
    <w:name w:val="HTML 预设格式 Char"/>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HJS-CL</cp:lastModifiedBy>
  <dcterms:modified xsi:type="dcterms:W3CDTF">2026-10-14T02:20:28Z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30AF7DC4E3AE4553816F373E0537BAB6</vt:lpwstr>
  </property>
</Properties>
</file>