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20" w:lineRule="exact"/>
        <w:jc w:val="left"/>
        <w:textAlignment w:val="auto"/>
        <w:rPr>
          <w:rFonts w:hint="eastAsia" w:asciiTheme="minorEastAsia" w:hAnsiTheme="minorEastAsia" w:eastAsiaTheme="minorEastAsia"/>
          <w:szCs w:val="21"/>
        </w:rPr>
      </w:pPr>
      <w:bookmarkStart w:id="0" w:name="_GoBack"/>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承租杭州市拱墅区湖墅南路65-6号房屋3年租赁权</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w:t>
      </w:r>
      <w:r>
        <w:rPr>
          <w:rFonts w:hint="eastAsia" w:asciiTheme="minorEastAsia" w:hAnsiTheme="minorEastAsia" w:eastAsiaTheme="minorEastAsia"/>
          <w:sz w:val="21"/>
          <w:szCs w:val="21"/>
          <w:highlight w:val="none"/>
        </w:rPr>
        <w:t>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eastAsia="宋体" w:asciiTheme="minorEastAsia" w:hAnsiTheme="minorEastAsia"/>
          <w:szCs w:val="21"/>
          <w:lang w:eastAsia="zh-CN"/>
        </w:rPr>
      </w:pPr>
      <w:r>
        <w:rPr>
          <w:rFonts w:hint="eastAsia" w:asciiTheme="minorEastAsia" w:hAnsiTheme="minorEastAsia" w:eastAsiaTheme="minorEastAsia"/>
          <w:szCs w:val="21"/>
        </w:rPr>
        <w:t>3、</w:t>
      </w:r>
      <w:r>
        <w:rPr>
          <w:rFonts w:hint="eastAsia" w:ascii="宋体" w:hAnsi="宋体"/>
          <w:sz w:val="21"/>
          <w:szCs w:val="21"/>
          <w:highlight w:val="none"/>
        </w:rPr>
        <w:t>同意在被确定为承租方之日起3个工作日内，携带承租申请材料原件到杭交所完成现场确认并签署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《房屋租赁合同》；并在</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《房屋租赁合同》签署之日起5个工作日内向杭交所指定账户一次性支付交易服务费、履约保证金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装修保证金和</w:t>
      </w:r>
      <w:r>
        <w:rPr>
          <w:rFonts w:hint="eastAsia" w:ascii="宋体" w:hAnsi="宋体"/>
          <w:sz w:val="21"/>
          <w:szCs w:val="21"/>
          <w:highlight w:val="none"/>
        </w:rPr>
        <w:t>首期租金等交易资金（以到账时间为准）</w:t>
      </w:r>
      <w:r>
        <w:rPr>
          <w:rFonts w:hint="eastAsia" w:ascii="宋体" w:hAnsi="宋体"/>
          <w:b w:val="0"/>
          <w:bCs/>
          <w:color w:val="auto"/>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val="0"/>
          <w:bCs w:val="0"/>
          <w:szCs w:val="21"/>
        </w:rPr>
      </w:pPr>
      <w:r>
        <w:rPr>
          <w:rFonts w:hint="eastAsia" w:asciiTheme="minorEastAsia" w:hAnsiTheme="minorEastAsia" w:eastAsiaTheme="minorEastAsia"/>
          <w:b w:val="0"/>
          <w:bCs w:val="0"/>
          <w:szCs w:val="21"/>
        </w:rPr>
        <w:t>4、</w:t>
      </w:r>
      <w:r>
        <w:rPr>
          <w:rFonts w:hint="eastAsia" w:ascii="宋体" w:hAnsi="宋体"/>
          <w:sz w:val="21"/>
          <w:szCs w:val="21"/>
          <w:highlight w:val="none"/>
        </w:rPr>
        <w:t>同意杭交所在经出租方申请之日起3个工作日内将承租方已交纳的履约保证金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和首期租金全部划转至出租方指定账户</w:t>
      </w:r>
      <w:r>
        <w:rPr>
          <w:rFonts w:hint="eastAsia" w:asciiTheme="minorEastAsia" w:hAnsiTheme="minorEastAsia" w:eastAsiaTheme="minorEastAsia"/>
          <w:b w:val="0"/>
          <w:bCs w:val="0"/>
          <w:szCs w:val="21"/>
        </w:rPr>
        <w:t>。</w:t>
      </w:r>
    </w:p>
    <w:p>
      <w:pPr>
        <w:keepNext w:val="0"/>
        <w:keepLines w:val="0"/>
        <w:pageBreakBefore w:val="0"/>
        <w:numPr>
          <w:ilvl w:val="0"/>
          <w:numId w:val="0"/>
        </w:numPr>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5、我方已知悉并同意：</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w:t>
      </w:r>
      <w:r>
        <w:rPr>
          <w:rFonts w:hint="eastAsia" w:asciiTheme="minorEastAsia" w:hAnsiTheme="minorEastAsia" w:eastAsiaTheme="minorEastAsia"/>
          <w:b/>
          <w:bCs/>
          <w:szCs w:val="21"/>
        </w:rPr>
        <w:t>租赁房屋产权证证载设计用途为非住宅。（19-21号标的适用）</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Theme="minorEastAsia" w:hAnsiTheme="minorEastAsia" w:eastAsiaTheme="minorEastAsia"/>
          <w:szCs w:val="21"/>
        </w:rPr>
        <w:t>承租方明确知悉并接受房屋的规划用途、土地性质、产权情况等限制条件。承租方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杭交所和杭州企业产权交易中心有限公司不承担任何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sz w:val="21"/>
          <w:szCs w:val="21"/>
          <w:highlight w:val="none"/>
        </w:rPr>
        <w:t>出租方对于租赁业态的要求仅系按照整体经营目标设定，不构成出租方对于满足该业态的任何实质或预期承诺。意向承租方须在承租前自行对租赁房屋进行全面了解，并对营业所需的各项审批条件和规定进行充分自核。意向承租方参与竞租的行为将被认为已作充分的预判和决策，无论因何种原因导致不能获得营业开设审批（包括房屋规划用途和房屋既有结构、设计等因素在内），或后续因为政策变化导致无法继续开设的各项经营风险，意向承租方承诺独立承担，出租方不对无法履行、投入成本、装修损失等承担任何形式的赔偿或补偿责任。</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hint="eastAsia" w:ascii="宋体" w:hAnsi="宋体"/>
          <w:sz w:val="21"/>
          <w:szCs w:val="21"/>
          <w:highlight w:val="none"/>
        </w:rPr>
        <w:t>承租方在该租赁物业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物业权证证载的地类用途和租赁物业现状、设施及物业环境有充分了解，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rPr>
        <w:t>租赁期内，未经出租方书面同意，承租方不得单方面改变经营业态，也不得对所租赁的物业进行整体或分割转让、转包、转租，承租方擅自采取上述行动的，出租方有权解除《房屋租赁合同》，并有权依据《房屋租赁合同》第10.3条b款之约定，要求承租方承担违约责任。如因此给出租方造成损失的，承租方还应承担全部赔偿责任。后期如确需转租的，由承租方提出书面申请，经原最终决策机构审议决策后实施。</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宋体" w:hAnsi="宋体"/>
          <w:sz w:val="21"/>
          <w:szCs w:val="21"/>
          <w:highlight w:val="none"/>
          <w:lang w:eastAsia="zh-CN"/>
        </w:rPr>
        <w:t>承租方须承诺不存在下述情况：出租方及各经营主体工作人员及其配偶、子女及其直接/间接控制的主体不得作为意向承租方参与相关房产竞拍。</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w:t>
      </w:r>
      <w:r>
        <w:rPr>
          <w:rFonts w:hint="eastAsia" w:ascii="宋体" w:hAnsi="宋体"/>
          <w:b/>
          <w:bCs/>
          <w:sz w:val="21"/>
          <w:szCs w:val="21"/>
          <w:highlight w:val="none"/>
        </w:rPr>
        <w:t>若因承租方原因出现信息披露公告中约定的保证金不予退还的情形，承租方同意杭交所将扣除相关服务费用后的剩余部分划转至出租方指定账户。承租方对保证金处置有异议的，承诺直接与出租方协商解决，与杭交所、经纪会员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w:t>
      </w:r>
      <w:r>
        <w:rPr>
          <w:rFonts w:hint="eastAsia" w:ascii="宋体" w:hAnsi="宋体"/>
          <w:sz w:val="21"/>
          <w:szCs w:val="21"/>
          <w:highlight w:val="none"/>
        </w:rPr>
        <w:t>本次租赁权公开交易出租方与承租方的权利义务</w:t>
      </w:r>
      <w:r>
        <w:rPr>
          <w:rFonts w:hint="eastAsia" w:ascii="宋体" w:hAnsi="宋体"/>
          <w:sz w:val="21"/>
          <w:szCs w:val="21"/>
          <w:highlight w:val="none"/>
          <w:lang w:val="en-US" w:eastAsia="zh-CN"/>
        </w:rPr>
        <w:t>和房屋交付</w:t>
      </w:r>
      <w:r>
        <w:rPr>
          <w:rFonts w:hint="eastAsia" w:ascii="宋体" w:hAnsi="宋体"/>
          <w:sz w:val="21"/>
          <w:szCs w:val="21"/>
          <w:highlight w:val="none"/>
        </w:rPr>
        <w:t>以出租方提供的《房屋租赁合同》（样本）为准。</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rPr>
        <w:t>6、我方同意交纳交易服务费</w:t>
      </w:r>
      <w:r>
        <w:rPr>
          <w:rFonts w:hint="eastAsia" w:asciiTheme="minorEastAsia" w:hAnsiTheme="minorEastAsia" w:eastAsiaTheme="minorEastAsia"/>
          <w:szCs w:val="21"/>
          <w:lang w:eastAsia="zh-CN"/>
        </w:rPr>
        <w:t>：</w:t>
      </w:r>
      <w:r>
        <w:rPr>
          <w:rFonts w:hint="eastAsia" w:ascii="宋体" w:hAnsi="宋体"/>
          <w:b/>
          <w:bCs/>
          <w:sz w:val="21"/>
          <w:szCs w:val="21"/>
          <w:highlight w:val="none"/>
          <w:lang w:eastAsia="zh-CN"/>
        </w:rPr>
        <w:t>各年累计租金在800万元以下，按照各年累计租金的</w:t>
      </w:r>
      <w:r>
        <w:rPr>
          <w:rFonts w:hint="eastAsia" w:ascii="宋体" w:hAnsi="宋体"/>
          <w:b/>
          <w:bCs/>
          <w:sz w:val="21"/>
          <w:szCs w:val="21"/>
          <w:highlight w:val="none"/>
          <w:lang w:val="en-US" w:eastAsia="zh-CN"/>
        </w:rPr>
        <w:t>1</w:t>
      </w:r>
      <w:r>
        <w:rPr>
          <w:rFonts w:hint="eastAsia" w:ascii="宋体" w:hAnsi="宋体"/>
          <w:b/>
          <w:bCs/>
          <w:sz w:val="21"/>
          <w:szCs w:val="21"/>
          <w:highlight w:val="none"/>
          <w:lang w:eastAsia="zh-CN"/>
        </w:rPr>
        <w:t>%收取；各年累计租金在800万元以上的，按照各年累计租金的</w:t>
      </w:r>
      <w:r>
        <w:rPr>
          <w:rFonts w:hint="eastAsia" w:ascii="宋体" w:hAnsi="宋体"/>
          <w:b/>
          <w:bCs/>
          <w:sz w:val="21"/>
          <w:szCs w:val="21"/>
          <w:highlight w:val="none"/>
          <w:lang w:val="en-US" w:eastAsia="zh-CN"/>
        </w:rPr>
        <w:t>0.75</w:t>
      </w:r>
      <w:r>
        <w:rPr>
          <w:rFonts w:hint="eastAsia" w:ascii="宋体" w:hAnsi="宋体"/>
          <w:b/>
          <w:bCs/>
          <w:sz w:val="21"/>
          <w:szCs w:val="21"/>
          <w:highlight w:val="none"/>
          <w:lang w:eastAsia="zh-CN"/>
        </w:rPr>
        <w:t>%收取。</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w:t>
      </w:r>
      <w:r>
        <w:rPr>
          <w:rFonts w:hint="eastAsia" w:asciiTheme="minorEastAsia" w:hAnsiTheme="minorEastAsia" w:eastAsiaTheme="minorEastAsia"/>
          <w:szCs w:val="21"/>
          <w:lang w:val="en-US" w:eastAsia="zh-CN"/>
        </w:rPr>
        <w:t>出租方</w:t>
      </w:r>
      <w:r>
        <w:rPr>
          <w:rFonts w:hint="eastAsia" w:asciiTheme="minorEastAsia" w:hAnsiTheme="minorEastAsia" w:eastAsiaTheme="minorEastAsia"/>
          <w:szCs w:val="21"/>
        </w:rPr>
        <w:t>的书面指令进行处置。交易双方对保证金处置有异议的，由双方协商解决；协商不成的，可通过仲裁或诉讼途径解决，与杭交所</w:t>
      </w:r>
      <w:r>
        <w:rPr>
          <w:rFonts w:hint="eastAsia" w:ascii="宋体" w:hAnsi="宋体" w:cs="Times New Roman"/>
          <w:color w:val="auto"/>
          <w:szCs w:val="21"/>
          <w:highlight w:val="none"/>
          <w:lang w:val="en-US" w:eastAsia="zh-CN"/>
        </w:rPr>
        <w:t>、经纪会员</w:t>
      </w:r>
      <w:r>
        <w:rPr>
          <w:rFonts w:hint="eastAsia" w:asciiTheme="minorEastAsia" w:hAnsiTheme="minorEastAsia" w:eastAsiaTheme="minorEastAsia"/>
          <w:szCs w:val="21"/>
        </w:rPr>
        <w:t>无涉：</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（1）意向承租方提交承租申请材料并交纳交易保证金后单方撤回承租申请的；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 w:val="21"/>
          <w:szCs w:val="21"/>
          <w:highlight w:val="none"/>
        </w:rPr>
        <w:t>在被确定为承租方后未按约定签署</w:t>
      </w:r>
      <w:r>
        <w:rPr>
          <w:rFonts w:hint="eastAsia" w:ascii="宋体" w:hAnsi="宋体"/>
          <w:sz w:val="21"/>
          <w:szCs w:val="21"/>
          <w:highlight w:val="none"/>
          <w:lang w:eastAsia="zh-CN"/>
        </w:rPr>
        <w:t>《</w:t>
      </w:r>
      <w:r>
        <w:rPr>
          <w:rFonts w:hint="eastAsia" w:ascii="宋体" w:hAnsi="宋体"/>
          <w:sz w:val="21"/>
          <w:szCs w:val="21"/>
          <w:highlight w:val="none"/>
          <w:lang w:val="en-US" w:eastAsia="zh-CN"/>
        </w:rPr>
        <w:t>成交通知书</w:t>
      </w:r>
      <w:r>
        <w:rPr>
          <w:rFonts w:hint="eastAsia" w:ascii="宋体" w:hAnsi="宋体"/>
          <w:sz w:val="21"/>
          <w:szCs w:val="21"/>
          <w:highlight w:val="none"/>
          <w:lang w:eastAsia="zh-CN"/>
        </w:rPr>
        <w:t>》、</w:t>
      </w:r>
      <w:r>
        <w:rPr>
          <w:rFonts w:hint="eastAsia" w:ascii="宋体" w:hAnsi="宋体"/>
          <w:sz w:val="21"/>
          <w:szCs w:val="21"/>
          <w:highlight w:val="none"/>
        </w:rPr>
        <w:t>《房屋租赁合同》的或未按约定支付交易服务费、履约保证金</w:t>
      </w:r>
      <w:r>
        <w:rPr>
          <w:rFonts w:hint="eastAsia" w:ascii="宋体" w:hAnsi="宋体"/>
          <w:sz w:val="21"/>
          <w:szCs w:val="21"/>
          <w:highlight w:val="none"/>
          <w:lang w:eastAsia="zh-CN"/>
        </w:rPr>
        <w:t>、</w:t>
      </w:r>
      <w:r>
        <w:rPr>
          <w:rFonts w:hint="eastAsia" w:ascii="宋体" w:hAnsi="宋体"/>
          <w:sz w:val="21"/>
          <w:szCs w:val="21"/>
          <w:highlight w:val="none"/>
          <w:lang w:val="en-US" w:eastAsia="zh-CN"/>
        </w:rPr>
        <w:t>装修保证金</w:t>
      </w:r>
      <w:r>
        <w:rPr>
          <w:rFonts w:hint="eastAsia" w:ascii="宋体" w:hAnsi="宋体"/>
          <w:sz w:val="21"/>
          <w:szCs w:val="21"/>
          <w:highlight w:val="none"/>
        </w:rPr>
        <w:t>和首</w:t>
      </w:r>
      <w:r>
        <w:rPr>
          <w:rFonts w:hint="eastAsia" w:ascii="宋体" w:hAnsi="宋体"/>
          <w:sz w:val="21"/>
          <w:szCs w:val="21"/>
          <w:highlight w:val="none"/>
          <w:lang w:val="en-US" w:eastAsia="zh-CN"/>
        </w:rPr>
        <w:t>期</w:t>
      </w:r>
      <w:r>
        <w:rPr>
          <w:rFonts w:hint="eastAsia" w:ascii="宋体" w:hAnsi="宋体"/>
          <w:sz w:val="21"/>
          <w:szCs w:val="21"/>
          <w:highlight w:val="none"/>
        </w:rPr>
        <w:t>租金的</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keepNext w:val="0"/>
        <w:keepLines w:val="0"/>
        <w:pageBreakBefore w:val="0"/>
        <w:kinsoku/>
        <w:wordWrap/>
        <w:overflowPunct/>
        <w:topLinePunct w:val="0"/>
        <w:autoSpaceDE/>
        <w:autoSpaceDN/>
        <w:bidi w:val="0"/>
        <w:adjustRightInd/>
        <w:snapToGrid/>
        <w:spacing w:line="420" w:lineRule="exact"/>
        <w:ind w:firstLine="420" w:firstLineChars="200"/>
        <w:jc w:val="left"/>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keepNext w:val="0"/>
        <w:keepLines w:val="0"/>
        <w:pageBreakBefore w:val="0"/>
        <w:kinsoku/>
        <w:wordWrap/>
        <w:overflowPunct/>
        <w:topLinePunct w:val="0"/>
        <w:autoSpaceDE/>
        <w:autoSpaceDN/>
        <w:bidi w:val="0"/>
        <w:adjustRightInd/>
        <w:snapToGrid/>
        <w:spacing w:line="420" w:lineRule="exact"/>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17388"/>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88F"/>
    <w:rsid w:val="00D56D57"/>
    <w:rsid w:val="00E00E55"/>
    <w:rsid w:val="00E60BD5"/>
    <w:rsid w:val="00ED4E9F"/>
    <w:rsid w:val="00EF62AF"/>
    <w:rsid w:val="00F06BEC"/>
    <w:rsid w:val="00F47654"/>
    <w:rsid w:val="00FA0343"/>
    <w:rsid w:val="00FA6AB7"/>
    <w:rsid w:val="015952F6"/>
    <w:rsid w:val="01796719"/>
    <w:rsid w:val="0279645F"/>
    <w:rsid w:val="02EB7464"/>
    <w:rsid w:val="02ED3889"/>
    <w:rsid w:val="035F29AC"/>
    <w:rsid w:val="03602F97"/>
    <w:rsid w:val="03A523CA"/>
    <w:rsid w:val="04273FE8"/>
    <w:rsid w:val="04D96630"/>
    <w:rsid w:val="05474BCA"/>
    <w:rsid w:val="06403643"/>
    <w:rsid w:val="06565574"/>
    <w:rsid w:val="06A907A1"/>
    <w:rsid w:val="06FF3E8A"/>
    <w:rsid w:val="071B6D25"/>
    <w:rsid w:val="0739342F"/>
    <w:rsid w:val="09377722"/>
    <w:rsid w:val="0A514DBC"/>
    <w:rsid w:val="0BBE3E04"/>
    <w:rsid w:val="0C455BB9"/>
    <w:rsid w:val="0DF647A0"/>
    <w:rsid w:val="0F423341"/>
    <w:rsid w:val="10346095"/>
    <w:rsid w:val="10E20B40"/>
    <w:rsid w:val="11561F17"/>
    <w:rsid w:val="122D5A9B"/>
    <w:rsid w:val="15B80C26"/>
    <w:rsid w:val="166533E4"/>
    <w:rsid w:val="17DF339A"/>
    <w:rsid w:val="18597C75"/>
    <w:rsid w:val="18934C0E"/>
    <w:rsid w:val="18AB29E5"/>
    <w:rsid w:val="1A4B5000"/>
    <w:rsid w:val="1A740B58"/>
    <w:rsid w:val="1AE30C41"/>
    <w:rsid w:val="1D772D50"/>
    <w:rsid w:val="1E2E20E9"/>
    <w:rsid w:val="1E570CAC"/>
    <w:rsid w:val="1E867034"/>
    <w:rsid w:val="1E9C785A"/>
    <w:rsid w:val="1EC62F0A"/>
    <w:rsid w:val="1FB76644"/>
    <w:rsid w:val="209558D7"/>
    <w:rsid w:val="2164102D"/>
    <w:rsid w:val="21D62F05"/>
    <w:rsid w:val="224C47AB"/>
    <w:rsid w:val="22596EC8"/>
    <w:rsid w:val="22EF036A"/>
    <w:rsid w:val="23DB58DD"/>
    <w:rsid w:val="25064362"/>
    <w:rsid w:val="25677B0B"/>
    <w:rsid w:val="258432D6"/>
    <w:rsid w:val="25CF0E14"/>
    <w:rsid w:val="25D72BEF"/>
    <w:rsid w:val="25F1264D"/>
    <w:rsid w:val="261256F5"/>
    <w:rsid w:val="26176E7E"/>
    <w:rsid w:val="261B6EAF"/>
    <w:rsid w:val="273E55C5"/>
    <w:rsid w:val="280C6FF3"/>
    <w:rsid w:val="29831BA4"/>
    <w:rsid w:val="29A37426"/>
    <w:rsid w:val="29AC0889"/>
    <w:rsid w:val="2A7A57A9"/>
    <w:rsid w:val="2A7E3585"/>
    <w:rsid w:val="2AC97973"/>
    <w:rsid w:val="2BE00F10"/>
    <w:rsid w:val="2C5B5AFF"/>
    <w:rsid w:val="2C993CF8"/>
    <w:rsid w:val="2D095E73"/>
    <w:rsid w:val="2D462264"/>
    <w:rsid w:val="2D9F47EE"/>
    <w:rsid w:val="2DDE0BE6"/>
    <w:rsid w:val="2E8A4C82"/>
    <w:rsid w:val="2EF16AF3"/>
    <w:rsid w:val="2F431594"/>
    <w:rsid w:val="2FFC7C4A"/>
    <w:rsid w:val="30567A83"/>
    <w:rsid w:val="30F66B22"/>
    <w:rsid w:val="313B1C69"/>
    <w:rsid w:val="31831344"/>
    <w:rsid w:val="31A85707"/>
    <w:rsid w:val="31C10B20"/>
    <w:rsid w:val="31DC4764"/>
    <w:rsid w:val="32147D6E"/>
    <w:rsid w:val="32824EDB"/>
    <w:rsid w:val="34705D86"/>
    <w:rsid w:val="34B343DA"/>
    <w:rsid w:val="34B63137"/>
    <w:rsid w:val="36A4746F"/>
    <w:rsid w:val="37200BEA"/>
    <w:rsid w:val="37A200AC"/>
    <w:rsid w:val="380B12B2"/>
    <w:rsid w:val="383374BF"/>
    <w:rsid w:val="384E2216"/>
    <w:rsid w:val="38536508"/>
    <w:rsid w:val="38CB4108"/>
    <w:rsid w:val="38DD4350"/>
    <w:rsid w:val="38FD240B"/>
    <w:rsid w:val="39C01E63"/>
    <w:rsid w:val="39E9751C"/>
    <w:rsid w:val="3A4574B2"/>
    <w:rsid w:val="3AC218E1"/>
    <w:rsid w:val="3B2E3F4D"/>
    <w:rsid w:val="3B396965"/>
    <w:rsid w:val="3B872449"/>
    <w:rsid w:val="3C2C0B99"/>
    <w:rsid w:val="3CB624B8"/>
    <w:rsid w:val="3D6B2F4F"/>
    <w:rsid w:val="3D8D11E6"/>
    <w:rsid w:val="3DE736C7"/>
    <w:rsid w:val="3E366EA5"/>
    <w:rsid w:val="3E9079E7"/>
    <w:rsid w:val="3F6A50BE"/>
    <w:rsid w:val="3F7A371C"/>
    <w:rsid w:val="3FBA3979"/>
    <w:rsid w:val="3FC6216C"/>
    <w:rsid w:val="3FFD00BF"/>
    <w:rsid w:val="40FE57EE"/>
    <w:rsid w:val="410F09C3"/>
    <w:rsid w:val="41266D89"/>
    <w:rsid w:val="414F26D9"/>
    <w:rsid w:val="41BC2A00"/>
    <w:rsid w:val="41F153B0"/>
    <w:rsid w:val="42104327"/>
    <w:rsid w:val="4305016E"/>
    <w:rsid w:val="43473029"/>
    <w:rsid w:val="450A38F6"/>
    <w:rsid w:val="450C14F7"/>
    <w:rsid w:val="4581590B"/>
    <w:rsid w:val="459A4A97"/>
    <w:rsid w:val="46145F89"/>
    <w:rsid w:val="464723B1"/>
    <w:rsid w:val="479E5897"/>
    <w:rsid w:val="489A19EF"/>
    <w:rsid w:val="48AC07D9"/>
    <w:rsid w:val="48D83DF3"/>
    <w:rsid w:val="49396F88"/>
    <w:rsid w:val="49927B74"/>
    <w:rsid w:val="4A4333A2"/>
    <w:rsid w:val="4C4308FE"/>
    <w:rsid w:val="4D801570"/>
    <w:rsid w:val="4DD22F16"/>
    <w:rsid w:val="4ED14076"/>
    <w:rsid w:val="4F092F78"/>
    <w:rsid w:val="4F201E42"/>
    <w:rsid w:val="4F6D31A3"/>
    <w:rsid w:val="4FBC2F5F"/>
    <w:rsid w:val="52212BBB"/>
    <w:rsid w:val="53CF79C0"/>
    <w:rsid w:val="54130175"/>
    <w:rsid w:val="54AC0761"/>
    <w:rsid w:val="5502046E"/>
    <w:rsid w:val="552542D2"/>
    <w:rsid w:val="57576ED8"/>
    <w:rsid w:val="576B3208"/>
    <w:rsid w:val="57E43E5E"/>
    <w:rsid w:val="580A29D8"/>
    <w:rsid w:val="58E27BEC"/>
    <w:rsid w:val="593A4AEF"/>
    <w:rsid w:val="59BB5339"/>
    <w:rsid w:val="59C553D4"/>
    <w:rsid w:val="59D25817"/>
    <w:rsid w:val="5A721786"/>
    <w:rsid w:val="5C4A15A7"/>
    <w:rsid w:val="5C6F1AF2"/>
    <w:rsid w:val="5D0B1ACB"/>
    <w:rsid w:val="5F263445"/>
    <w:rsid w:val="60D41C1D"/>
    <w:rsid w:val="61AF798C"/>
    <w:rsid w:val="62D637DB"/>
    <w:rsid w:val="63DB45BE"/>
    <w:rsid w:val="63F50A4F"/>
    <w:rsid w:val="65224FFC"/>
    <w:rsid w:val="65BC6383"/>
    <w:rsid w:val="669B59E7"/>
    <w:rsid w:val="678212AA"/>
    <w:rsid w:val="67A91325"/>
    <w:rsid w:val="685936B8"/>
    <w:rsid w:val="69057392"/>
    <w:rsid w:val="6AA52327"/>
    <w:rsid w:val="6B3B2C71"/>
    <w:rsid w:val="6B5B46E4"/>
    <w:rsid w:val="6BEE766C"/>
    <w:rsid w:val="6C534AE6"/>
    <w:rsid w:val="6C7E0522"/>
    <w:rsid w:val="6D490EB5"/>
    <w:rsid w:val="6DC2291F"/>
    <w:rsid w:val="6DE029CA"/>
    <w:rsid w:val="6E965DB6"/>
    <w:rsid w:val="70681F34"/>
    <w:rsid w:val="71204A9C"/>
    <w:rsid w:val="72C64894"/>
    <w:rsid w:val="743E37F7"/>
    <w:rsid w:val="744676DC"/>
    <w:rsid w:val="744E1347"/>
    <w:rsid w:val="745E0AB8"/>
    <w:rsid w:val="74757D00"/>
    <w:rsid w:val="74C72DEA"/>
    <w:rsid w:val="752E7623"/>
    <w:rsid w:val="76E45562"/>
    <w:rsid w:val="76E637FE"/>
    <w:rsid w:val="77D53699"/>
    <w:rsid w:val="79944E61"/>
    <w:rsid w:val="7A54014C"/>
    <w:rsid w:val="7ADA7D76"/>
    <w:rsid w:val="7AE52BBB"/>
    <w:rsid w:val="7AFB73C0"/>
    <w:rsid w:val="7B403C14"/>
    <w:rsid w:val="7BA972A9"/>
    <w:rsid w:val="7CE3684D"/>
    <w:rsid w:val="7D1767FA"/>
    <w:rsid w:val="7E4A5FAE"/>
    <w:rsid w:val="7E5E1B1E"/>
    <w:rsid w:val="7F571B19"/>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adjustRightInd w:val="0"/>
      <w:spacing w:line="360" w:lineRule="atLeast"/>
      <w:ind w:firstLine="482"/>
      <w:textAlignment w:val="baseline"/>
    </w:pPr>
    <w:rPr>
      <w:kern w:val="0"/>
      <w:sz w:val="24"/>
      <w:szCs w:val="20"/>
    </w:rPr>
  </w:style>
  <w:style w:type="paragraph" w:styleId="3">
    <w:name w:val="Body Text"/>
    <w:basedOn w:val="1"/>
    <w:next w:val="4"/>
    <w:qFormat/>
    <w:uiPriority w:val="99"/>
    <w:pPr>
      <w:spacing w:before="120" w:after="120" w:line="360" w:lineRule="auto"/>
      <w:ind w:firstLine="800" w:firstLineChars="200"/>
    </w:pPr>
    <w:rPr>
      <w:rFonts w:ascii="宋体" w:hAnsi="宋体"/>
      <w:lang w:val="zh-CN"/>
    </w:rPr>
  </w:style>
  <w:style w:type="paragraph" w:styleId="4">
    <w:name w:val="Body Text First Indent"/>
    <w:basedOn w:val="3"/>
    <w:next w:val="1"/>
    <w:qFormat/>
    <w:uiPriority w:val="99"/>
    <w:pPr>
      <w:ind w:firstLine="420" w:firstLineChars="100"/>
    </w:pPr>
  </w:style>
  <w:style w:type="paragraph" w:styleId="5">
    <w:name w:val="Body Text Indent"/>
    <w:basedOn w:val="1"/>
    <w:qFormat/>
    <w:uiPriority w:val="0"/>
    <w:pPr>
      <w:spacing w:after="120"/>
      <w:ind w:left="420" w:leftChars="200"/>
    </w:pPr>
  </w:style>
  <w:style w:type="paragraph" w:styleId="6">
    <w:name w:val="footer"/>
    <w:basedOn w:val="1"/>
    <w:link w:val="14"/>
    <w:semiHidden/>
    <w:unhideWhenUsed/>
    <w:qFormat/>
    <w:uiPriority w:val="99"/>
    <w:pPr>
      <w:tabs>
        <w:tab w:val="center" w:pos="4153"/>
        <w:tab w:val="right" w:pos="8306"/>
      </w:tabs>
      <w:snapToGrid w:val="0"/>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Body Text First Indent 2"/>
    <w:basedOn w:val="5"/>
    <w:unhideWhenUsed/>
    <w:qFormat/>
    <w:uiPriority w:val="99"/>
    <w:pPr>
      <w:tabs>
        <w:tab w:val="left" w:pos="6600"/>
      </w:tabs>
      <w:spacing w:line="360" w:lineRule="auto"/>
      <w:ind w:firstLine="420" w:firstLineChars="200"/>
    </w:pPr>
    <w:rPr>
      <w:rFonts w:hint="default" w:cs="Times New Roman"/>
      <w:sz w:val="24"/>
      <w:szCs w:val="22"/>
    </w:rPr>
  </w:style>
  <w:style w:type="paragraph" w:customStyle="1" w:styleId="12">
    <w:name w:val="NormalIndent"/>
    <w:basedOn w:val="1"/>
    <w:qFormat/>
    <w:uiPriority w:val="0"/>
    <w:pPr>
      <w:ind w:firstLine="420"/>
    </w:pPr>
    <w:rPr>
      <w:rFonts w:ascii="Calibri" w:hAnsi="Calibri"/>
      <w:szCs w:val="22"/>
    </w:rPr>
  </w:style>
  <w:style w:type="character" w:customStyle="1" w:styleId="13">
    <w:name w:val="页眉 Char"/>
    <w:basedOn w:val="11"/>
    <w:link w:val="7"/>
    <w:semiHidden/>
    <w:qFormat/>
    <w:uiPriority w:val="99"/>
    <w:rPr>
      <w:rFonts w:ascii="Times New Roman" w:hAnsi="Times New Roman" w:eastAsia="宋体" w:cs="Times New Roman"/>
      <w:sz w:val="18"/>
      <w:szCs w:val="18"/>
    </w:rPr>
  </w:style>
  <w:style w:type="character" w:customStyle="1" w:styleId="14">
    <w:name w:val="页脚 Char"/>
    <w:basedOn w:val="11"/>
    <w:link w:val="6"/>
    <w:semiHidden/>
    <w:qFormat/>
    <w:uiPriority w:val="99"/>
    <w:rPr>
      <w:rFonts w:ascii="Times New Roman" w:hAnsi="Times New Roman" w:eastAsia="宋体" w:cs="Times New Roman"/>
      <w:sz w:val="18"/>
      <w:szCs w:val="18"/>
    </w:rPr>
  </w:style>
  <w:style w:type="paragraph" w:styleId="15">
    <w:name w:val="List Paragraph"/>
    <w:basedOn w:val="1"/>
    <w:qFormat/>
    <w:uiPriority w:val="34"/>
    <w:pPr>
      <w:ind w:firstLine="420" w:firstLineChars="200"/>
    </w:pPr>
  </w:style>
  <w:style w:type="paragraph" w:customStyle="1" w:styleId="16">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2026-10-14T02:15:46Z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30AF7DC4E3AE4553816F373E0537BAB6</vt:lpwstr>
  </property>
</Properties>
</file>