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承租杭州市上城区唐家景府7-1幢105房屋3年租赁权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租赁房屋不动产登记清单载明用途为商服用地/配套公建，权利性质为划拨/其它。（23-30号标的适用）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BC3375"/>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241DF2"/>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2026-10-14T02:19:26Z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