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B3B779">
      <w:pPr>
        <w:spacing w:line="360" w:lineRule="auto"/>
        <w:jc w:val="center"/>
        <w:rPr>
          <w:rFonts w:hint="eastAsia" w:ascii="黑体" w:hAnsi="黑体" w:eastAsia="黑体"/>
          <w:b/>
          <w:sz w:val="36"/>
          <w:szCs w:val="36"/>
        </w:rPr>
      </w:pPr>
      <w:r>
        <w:rPr>
          <w:rFonts w:hint="eastAsia" w:ascii="黑体" w:hAnsi="黑体" w:eastAsia="黑体"/>
          <w:b/>
          <w:sz w:val="36"/>
          <w:szCs w:val="36"/>
        </w:rPr>
        <w:t>承诺函</w:t>
      </w:r>
    </w:p>
    <w:p w14:paraId="69E517F1">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14:paraId="07D66D47">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14:paraId="1A994FD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b/>
          <w:bCs/>
          <w:szCs w:val="21"/>
          <w:u w:val="single"/>
        </w:rPr>
        <w:t>杭州市拱墅区丽水路7号运河祈利酒店康体中心二楼SPA区域5年租赁权</w:t>
      </w:r>
      <w:r>
        <w:rPr>
          <w:rFonts w:hint="eastAsia" w:asciiTheme="minorEastAsia" w:hAnsiTheme="minorEastAsia" w:eastAsiaTheme="minorEastAsia"/>
          <w:szCs w:val="21"/>
        </w:rPr>
        <w:t>，现做如下承诺：</w:t>
      </w:r>
    </w:p>
    <w:p w14:paraId="2FEF3B7F">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1、我方已认真阅读、知悉并自愿遵守杭州产权交易所《房屋出租交易规则》、《在线报价实施办法》和《在线报价交易须知》等文件的规定，同意按照相关规定参加本项目竞价活动。</w:t>
      </w:r>
    </w:p>
    <w:p w14:paraId="18EEEADC">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14:paraId="502B33F0">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w:t>
      </w:r>
      <w:bookmarkStart w:id="0" w:name="OLE_LINK4"/>
      <w:r>
        <w:rPr>
          <w:rFonts w:hint="eastAsia" w:asciiTheme="minorEastAsia" w:hAnsiTheme="minorEastAsia" w:eastAsiaTheme="minorEastAsia"/>
          <w:szCs w:val="21"/>
        </w:rPr>
        <w:t>同意在被确定为承租方之日起3个工作日内携带承租申请材料原件到杭交所完成现场确认并签署《成交通知书》、《房屋租赁合同》和《房屋管理合同》；并在</w:t>
      </w:r>
      <w:bookmarkStart w:id="1" w:name="OLE_LINK20"/>
      <w:r>
        <w:rPr>
          <w:rFonts w:hint="eastAsia" w:asciiTheme="minorEastAsia" w:hAnsiTheme="minorEastAsia" w:eastAsiaTheme="minorEastAsia"/>
          <w:szCs w:val="21"/>
        </w:rPr>
        <w:t>《房屋租赁合同》</w:t>
      </w:r>
      <w:bookmarkEnd w:id="1"/>
      <w:r>
        <w:rPr>
          <w:rFonts w:hint="eastAsia" w:asciiTheme="minorEastAsia" w:hAnsiTheme="minorEastAsia" w:eastAsiaTheme="minorEastAsia"/>
          <w:szCs w:val="21"/>
        </w:rPr>
        <w:t>、《房屋管理合同》签署之日起</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个工作日内向杭交所指定账户一次性支付交易服务费、履约保证金</w:t>
      </w:r>
      <w:r>
        <w:rPr>
          <w:rFonts w:hint="eastAsia" w:asciiTheme="minorEastAsia" w:hAnsiTheme="minorEastAsia" w:eastAsiaTheme="minorEastAsia"/>
          <w:szCs w:val="21"/>
          <w:lang w:val="en-US" w:eastAsia="zh-CN"/>
        </w:rPr>
        <w:t>、</w:t>
      </w:r>
      <w:r>
        <w:rPr>
          <w:rFonts w:hint="eastAsia" w:asciiTheme="minorEastAsia" w:hAnsiTheme="minorEastAsia" w:eastAsiaTheme="minorEastAsia"/>
          <w:szCs w:val="21"/>
        </w:rPr>
        <w:t>首期租金等交易资金（以到账时间为准）</w:t>
      </w:r>
      <w:bookmarkEnd w:id="0"/>
      <w:r>
        <w:rPr>
          <w:rFonts w:hint="eastAsia" w:asciiTheme="minorEastAsia" w:hAnsiTheme="minorEastAsia" w:eastAsiaTheme="minorEastAsia"/>
          <w:szCs w:val="21"/>
        </w:rPr>
        <w:t>。</w:t>
      </w:r>
    </w:p>
    <w:p w14:paraId="7E45B09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4、同意杭交所经出租方申请之日起3个工作日内将承租方已交纳的首期租金、履约保证金等交易资金全部划转至出租方指定账户。</w:t>
      </w:r>
    </w:p>
    <w:p w14:paraId="19CBE31D">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5、若我方成为承租方，我方已知悉并</w:t>
      </w:r>
      <w:r>
        <w:rPr>
          <w:rFonts w:hint="eastAsia" w:asciiTheme="minorEastAsia" w:hAnsiTheme="minorEastAsia" w:eastAsiaTheme="minorEastAsia"/>
          <w:szCs w:val="21"/>
          <w:lang w:val="en-US" w:eastAsia="zh-CN"/>
        </w:rPr>
        <w:t>承诺</w:t>
      </w:r>
      <w:r>
        <w:rPr>
          <w:rFonts w:hint="eastAsia" w:asciiTheme="minorEastAsia" w:hAnsiTheme="minorEastAsia" w:eastAsiaTheme="minorEastAsia"/>
          <w:szCs w:val="21"/>
        </w:rPr>
        <w:t>：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14:paraId="5F5E8C1F">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6、若我方成为承租方，我方已知悉并</w:t>
      </w:r>
      <w:r>
        <w:rPr>
          <w:rFonts w:hint="eastAsia" w:asciiTheme="minorEastAsia" w:hAnsiTheme="minorEastAsia" w:eastAsiaTheme="minorEastAsia"/>
          <w:szCs w:val="21"/>
          <w:lang w:val="en-US" w:eastAsia="zh-CN"/>
        </w:rPr>
        <w:t>承诺</w:t>
      </w:r>
      <w:r>
        <w:rPr>
          <w:rFonts w:hint="eastAsia" w:asciiTheme="minorEastAsia" w:hAnsiTheme="minorEastAsia" w:eastAsiaTheme="minorEastAsia"/>
          <w:szCs w:val="21"/>
        </w:rPr>
        <w:t>：本次租赁房屋的证载用途为公共设施用地/其它，承租方须明确知悉并接受房屋的租赁用途，产权情况、性质等限制条件。承租方在租赁房屋内进行经营活动前，如尚无经营许可证照的或未进行注册的，则应向政府有关部门申请经营所必要的执照、批准证书或许可证等（如法律、法规要求）出租方可根据实际情况提供作为出租方的必要的协助，相关费用均由承租方承担。承租方应按照该等执照、批准证等证书或许可证的规定进行经营活动。若由于出租方提供的资料和租赁房屋现状原因导致承租方不能通过相关登记、审批等手续的，出租方不承担任何责任。</w:t>
      </w:r>
    </w:p>
    <w:p w14:paraId="2D3CA7E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、若我方成为承租方，我方已知悉并</w:t>
      </w:r>
      <w:r>
        <w:rPr>
          <w:rFonts w:hint="eastAsia" w:asciiTheme="minorEastAsia" w:hAnsiTheme="minorEastAsia" w:eastAsiaTheme="minorEastAsia"/>
          <w:szCs w:val="21"/>
          <w:lang w:val="en-US" w:eastAsia="zh-CN"/>
        </w:rPr>
        <w:t>承诺</w:t>
      </w:r>
      <w:r>
        <w:rPr>
          <w:rFonts w:hint="eastAsia" w:asciiTheme="minorEastAsia" w:hAnsiTheme="minorEastAsia" w:eastAsiaTheme="minorEastAsia"/>
          <w:szCs w:val="21"/>
        </w:rPr>
        <w:t>：承租方对该租赁房屋进行任何装修工程(包括但不限于承租方对该租赁房屋进行的内部装修、分隔、修建、改建或安装、更换设备、装置)，其设计与图纸必须事先取得出租方的认可，征得所有必要的政府有关部门的书面同意或批准，并将设计与图纸及有关部门的书面同意或批准文书交由出租方存档备案，由此产生的全部费用由承租方承担。若承租方委托出租方对该租赁房屋局部进行装修、改造工程的，经出租方同意，相关费用由承租方承担。</w:t>
      </w:r>
    </w:p>
    <w:p w14:paraId="55CB437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若我方成为承租方，我方已知悉并承诺：未经出租方事先书面同意，承租方不得向任何第三方转租、转借或者许可任何第三方使用该租赁房屋的全部或部分，或以任何方式转让对于租赁房屋或其任何部分的占用的权利及房屋租赁协议中承租方的合同权利和义务，也不可与任何第三方交换该租赁房屋或共同占用该租赁房屋。</w:t>
      </w:r>
    </w:p>
    <w:p w14:paraId="60D5DAF6">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w:t>
      </w:r>
      <w:bookmarkStart w:id="2" w:name="OLE_LINK2"/>
      <w:r>
        <w:rPr>
          <w:rFonts w:hint="eastAsia" w:asciiTheme="minorEastAsia" w:hAnsiTheme="minorEastAsia" w:eastAsiaTheme="minorEastAsia"/>
          <w:szCs w:val="21"/>
          <w:lang w:val="en-US" w:eastAsia="zh-CN"/>
        </w:rPr>
        <w:t>若我方成为承租方，我方已知悉并</w:t>
      </w:r>
      <w:r>
        <w:rPr>
          <w:rFonts w:hint="eastAsia" w:asciiTheme="minorEastAsia" w:hAnsiTheme="minorEastAsia" w:eastAsiaTheme="minorEastAsia"/>
          <w:szCs w:val="21"/>
          <w:lang w:val="en-US" w:eastAsia="zh-CN"/>
        </w:rPr>
        <w:t>承诺：</w:t>
      </w:r>
      <w:bookmarkEnd w:id="2"/>
      <w:r>
        <w:rPr>
          <w:rFonts w:hint="eastAsia" w:asciiTheme="minorEastAsia" w:hAnsiTheme="minorEastAsia" w:eastAsiaTheme="minorEastAsia"/>
          <w:szCs w:val="21"/>
          <w:lang w:val="en-US" w:eastAsia="zh-CN"/>
        </w:rPr>
        <w:t>承租方若在后续经营中需要装修的，则需另行向出租方缴纳一个月装修保证金。</w:t>
      </w:r>
    </w:p>
    <w:p w14:paraId="2151ED36">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我方承诺以下事项：①未被责令停业或破产状态；②财产未被重组、接管、查封、扣押或冻结；③最近三年在经营活动中未出现违法、违纪、违规以及不良信誉记录；④在生产经营活动中未出现重大安全责任事故；⑤近三年内承租方未与出租方及其关联企业（包括杭州市商贸旅游集团有限公司及杭州市商贸旅游集团有限公司的对外投资企业，含全部直接及间接参股企业）发生过合同争议纠纷、仲裁或诉讼。</w:t>
      </w:r>
    </w:p>
    <w:p w14:paraId="11FED378">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11、</w:t>
      </w:r>
      <w:bookmarkStart w:id="3" w:name="OLE_LINK1"/>
      <w:r>
        <w:rPr>
          <w:rFonts w:hint="eastAsia" w:asciiTheme="minorEastAsia" w:hAnsiTheme="minorEastAsia" w:eastAsiaTheme="minorEastAsia"/>
          <w:szCs w:val="21"/>
          <w:lang w:val="en-US" w:eastAsia="zh-CN"/>
        </w:rPr>
        <w:t>若我方成为承租方，我方已知悉并同意：</w:t>
      </w:r>
      <w:bookmarkEnd w:id="3"/>
      <w:r>
        <w:rPr>
          <w:rFonts w:hint="eastAsia" w:asciiTheme="minorEastAsia" w:hAnsiTheme="minorEastAsia" w:eastAsiaTheme="minorEastAsia"/>
          <w:szCs w:val="21"/>
          <w:lang w:val="en-US" w:eastAsia="zh-CN"/>
        </w:rPr>
        <w:t>本次租赁权公开交易出租方与承租方的权利和义务以出租方提供的《房屋租赁合同》（样本）为准。</w:t>
      </w:r>
    </w:p>
    <w:p w14:paraId="483C94F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12、若我方成为承租方，我方已知悉并同意：意向承租方知悉并同意若因意向承租方原因出现信息披露公告中约定的保证金不予退还的情形，意向承租方同意杭交所将扣除相关服务费用后的剩余部分划转至出租方指定账户。意向承租方对保证金处置有异议的，承诺直接与出租方协商解决，与杭交所无涉。</w:t>
      </w:r>
    </w:p>
    <w:p w14:paraId="243A8068">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13、我方已知悉并同意：（1）本次交易有二个及以上意向承租方报名且成交的，承租方须缴纳按首年一个月租金计取的交易服务费；（2）本次交易只有一位意向承租方报名且成交的，承租方须缴纳按首年半个月租金计取的交易服务费。</w:t>
      </w:r>
    </w:p>
    <w:p w14:paraId="0F9B9B7B">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14</w:t>
      </w:r>
      <w:bookmarkStart w:id="4" w:name="_GoBack"/>
      <w:bookmarkEnd w:id="4"/>
      <w:r>
        <w:rPr>
          <w:rFonts w:hint="eastAsia" w:asciiTheme="minorEastAsia" w:hAnsiTheme="minorEastAsia" w:eastAsiaTheme="minorEastAsia"/>
          <w:szCs w:val="21"/>
          <w:lang w:val="en-US" w:eastAsia="zh-CN"/>
        </w:rPr>
        <w:t>、若非出租方原因出现以下任一情况时，意向承租方交纳的保证金不予退还，扣除相关服务费用后的剩余部分由杭交所根据出租方的书面指令进行处置。交易双方对保证金处置有异议的，由双方协商解决；协商不成的，可通过仲裁或诉讼途径解决，与杭交所及经纪会员无涉：</w:t>
      </w:r>
    </w:p>
    <w:p w14:paraId="31592000">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14:paraId="1BAB6E2E">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14:paraId="52CBE75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（3）在被确定为承租方后未按约定签署《房屋租赁合同》的或未按约定支付首期租金、履约保证金</w:t>
      </w:r>
      <w:r>
        <w:rPr>
          <w:rFonts w:hint="eastAsia" w:asciiTheme="minorEastAsia" w:hAnsiTheme="minorEastAsia" w:eastAsiaTheme="minorEastAsia"/>
          <w:szCs w:val="21"/>
          <w:lang w:val="en-US" w:eastAsia="zh-CN"/>
        </w:rPr>
        <w:t>和</w:t>
      </w:r>
      <w:r>
        <w:rPr>
          <w:rFonts w:hint="eastAsia" w:asciiTheme="minorEastAsia" w:hAnsiTheme="minorEastAsia" w:eastAsiaTheme="minorEastAsia"/>
          <w:szCs w:val="21"/>
        </w:rPr>
        <w:t>交易服务费的；</w:t>
      </w:r>
    </w:p>
    <w:p w14:paraId="5249D4AB">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14:paraId="3531AAFF">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14:paraId="126F25BF">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p>
    <w:p w14:paraId="5FABF6A1">
      <w:pPr>
        <w:keepNext w:val="0"/>
        <w:keepLines w:val="0"/>
        <w:pageBreakBefore w:val="0"/>
        <w:widowControl w:val="0"/>
        <w:kinsoku/>
        <w:wordWrap/>
        <w:overflowPunct/>
        <w:topLinePunct w:val="0"/>
        <w:autoSpaceDE/>
        <w:autoSpaceDN/>
        <w:bidi w:val="0"/>
        <w:adjustRightInd/>
        <w:snapToGrid/>
        <w:spacing w:line="360" w:lineRule="exact"/>
        <w:ind w:firstLine="4410" w:firstLineChars="21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意向承租方（签章）：</w:t>
      </w:r>
    </w:p>
    <w:p w14:paraId="7339C735">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2026</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353A"/>
    <w:rsid w:val="000451DE"/>
    <w:rsid w:val="0005613E"/>
    <w:rsid w:val="00057099"/>
    <w:rsid w:val="00090A54"/>
    <w:rsid w:val="00096355"/>
    <w:rsid w:val="000B2C55"/>
    <w:rsid w:val="000D2A01"/>
    <w:rsid w:val="000E77EC"/>
    <w:rsid w:val="000F422A"/>
    <w:rsid w:val="00103830"/>
    <w:rsid w:val="00135261"/>
    <w:rsid w:val="00143D8A"/>
    <w:rsid w:val="001853BE"/>
    <w:rsid w:val="0019572F"/>
    <w:rsid w:val="0020310B"/>
    <w:rsid w:val="00207DFC"/>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1397"/>
    <w:rsid w:val="005E6A17"/>
    <w:rsid w:val="005F613A"/>
    <w:rsid w:val="00627BE3"/>
    <w:rsid w:val="00641516"/>
    <w:rsid w:val="0064408F"/>
    <w:rsid w:val="006507CA"/>
    <w:rsid w:val="00653B08"/>
    <w:rsid w:val="00662215"/>
    <w:rsid w:val="006711F7"/>
    <w:rsid w:val="006733A2"/>
    <w:rsid w:val="006954B9"/>
    <w:rsid w:val="006B740B"/>
    <w:rsid w:val="00735BDE"/>
    <w:rsid w:val="00736371"/>
    <w:rsid w:val="00737286"/>
    <w:rsid w:val="00773F46"/>
    <w:rsid w:val="007847DD"/>
    <w:rsid w:val="00790D21"/>
    <w:rsid w:val="007E4EDD"/>
    <w:rsid w:val="0084282E"/>
    <w:rsid w:val="0087000D"/>
    <w:rsid w:val="0087169F"/>
    <w:rsid w:val="00884F8A"/>
    <w:rsid w:val="00892386"/>
    <w:rsid w:val="008A71B6"/>
    <w:rsid w:val="008C0530"/>
    <w:rsid w:val="008D41B2"/>
    <w:rsid w:val="008D466A"/>
    <w:rsid w:val="008D72E8"/>
    <w:rsid w:val="00906FAC"/>
    <w:rsid w:val="0093437E"/>
    <w:rsid w:val="00934A3A"/>
    <w:rsid w:val="0096235F"/>
    <w:rsid w:val="009733B3"/>
    <w:rsid w:val="009B0F56"/>
    <w:rsid w:val="009B10A4"/>
    <w:rsid w:val="009E1269"/>
    <w:rsid w:val="009F646A"/>
    <w:rsid w:val="00A11F15"/>
    <w:rsid w:val="00A16016"/>
    <w:rsid w:val="00A165E7"/>
    <w:rsid w:val="00A24DD0"/>
    <w:rsid w:val="00A53E81"/>
    <w:rsid w:val="00A6018E"/>
    <w:rsid w:val="00A82B0F"/>
    <w:rsid w:val="00A96775"/>
    <w:rsid w:val="00AA4243"/>
    <w:rsid w:val="00AA5407"/>
    <w:rsid w:val="00AA7FBA"/>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30E1"/>
    <w:rsid w:val="00CF638F"/>
    <w:rsid w:val="00D56D57"/>
    <w:rsid w:val="00D74127"/>
    <w:rsid w:val="00D91E99"/>
    <w:rsid w:val="00D923A3"/>
    <w:rsid w:val="00D9451C"/>
    <w:rsid w:val="00DA3FB7"/>
    <w:rsid w:val="00DA41FC"/>
    <w:rsid w:val="00DC5B10"/>
    <w:rsid w:val="00DF1F7D"/>
    <w:rsid w:val="00DF39B9"/>
    <w:rsid w:val="00E00E55"/>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F2FAD"/>
    <w:rsid w:val="00FF32D4"/>
    <w:rsid w:val="013271D0"/>
    <w:rsid w:val="02F4084C"/>
    <w:rsid w:val="03D07775"/>
    <w:rsid w:val="04C72497"/>
    <w:rsid w:val="061C73F5"/>
    <w:rsid w:val="0767015F"/>
    <w:rsid w:val="076829F5"/>
    <w:rsid w:val="07CC170B"/>
    <w:rsid w:val="07D87335"/>
    <w:rsid w:val="0A25564B"/>
    <w:rsid w:val="0B3C05D4"/>
    <w:rsid w:val="0ED418D7"/>
    <w:rsid w:val="0F056E8D"/>
    <w:rsid w:val="0FEC78F6"/>
    <w:rsid w:val="102F2AB4"/>
    <w:rsid w:val="10D054E3"/>
    <w:rsid w:val="10FD1A45"/>
    <w:rsid w:val="11B07DEC"/>
    <w:rsid w:val="13AB13A7"/>
    <w:rsid w:val="1433022F"/>
    <w:rsid w:val="16BD1BA6"/>
    <w:rsid w:val="16F2658D"/>
    <w:rsid w:val="174D738C"/>
    <w:rsid w:val="18651586"/>
    <w:rsid w:val="19B122C7"/>
    <w:rsid w:val="19B324A8"/>
    <w:rsid w:val="19CF393C"/>
    <w:rsid w:val="1D5E2A13"/>
    <w:rsid w:val="1E14735D"/>
    <w:rsid w:val="1EFA488D"/>
    <w:rsid w:val="1FE75D9F"/>
    <w:rsid w:val="24F23406"/>
    <w:rsid w:val="25526291"/>
    <w:rsid w:val="25B34C3E"/>
    <w:rsid w:val="25C85E06"/>
    <w:rsid w:val="2731534B"/>
    <w:rsid w:val="279515A0"/>
    <w:rsid w:val="28CD421D"/>
    <w:rsid w:val="29064147"/>
    <w:rsid w:val="2B224A23"/>
    <w:rsid w:val="2B646547"/>
    <w:rsid w:val="2B68501D"/>
    <w:rsid w:val="2BDC2DE5"/>
    <w:rsid w:val="2CB34425"/>
    <w:rsid w:val="2CD954CB"/>
    <w:rsid w:val="2DE64B98"/>
    <w:rsid w:val="2E6953D9"/>
    <w:rsid w:val="31C62720"/>
    <w:rsid w:val="34EF4296"/>
    <w:rsid w:val="36B70A10"/>
    <w:rsid w:val="36DE44D8"/>
    <w:rsid w:val="3AD83A40"/>
    <w:rsid w:val="3C2C4C6F"/>
    <w:rsid w:val="3C940D63"/>
    <w:rsid w:val="3D4E2474"/>
    <w:rsid w:val="3E782391"/>
    <w:rsid w:val="3EBF19DA"/>
    <w:rsid w:val="3EC21F50"/>
    <w:rsid w:val="40E53FB4"/>
    <w:rsid w:val="413362B8"/>
    <w:rsid w:val="42C54CCE"/>
    <w:rsid w:val="45F94112"/>
    <w:rsid w:val="494F753A"/>
    <w:rsid w:val="4A9D5263"/>
    <w:rsid w:val="4AFF3DA7"/>
    <w:rsid w:val="4CC66179"/>
    <w:rsid w:val="4E0013D2"/>
    <w:rsid w:val="50B653E2"/>
    <w:rsid w:val="50EE6AAC"/>
    <w:rsid w:val="51317EBA"/>
    <w:rsid w:val="52FA2FF0"/>
    <w:rsid w:val="535D214D"/>
    <w:rsid w:val="54E742B4"/>
    <w:rsid w:val="55D35B7F"/>
    <w:rsid w:val="563F5F26"/>
    <w:rsid w:val="56EE2F1F"/>
    <w:rsid w:val="5760196D"/>
    <w:rsid w:val="580A43FE"/>
    <w:rsid w:val="584668FF"/>
    <w:rsid w:val="58C44DE5"/>
    <w:rsid w:val="59234E7D"/>
    <w:rsid w:val="5983467E"/>
    <w:rsid w:val="59F94169"/>
    <w:rsid w:val="5B3B3E60"/>
    <w:rsid w:val="5B4864E4"/>
    <w:rsid w:val="5B5244CB"/>
    <w:rsid w:val="5B674267"/>
    <w:rsid w:val="5C364ED6"/>
    <w:rsid w:val="5DB959AE"/>
    <w:rsid w:val="60143733"/>
    <w:rsid w:val="61E04081"/>
    <w:rsid w:val="62A03507"/>
    <w:rsid w:val="633A51EB"/>
    <w:rsid w:val="652F0F83"/>
    <w:rsid w:val="657C12B1"/>
    <w:rsid w:val="6656185A"/>
    <w:rsid w:val="66B8002E"/>
    <w:rsid w:val="67251409"/>
    <w:rsid w:val="69790D5D"/>
    <w:rsid w:val="6A2F474B"/>
    <w:rsid w:val="6A405098"/>
    <w:rsid w:val="6B8B6FF7"/>
    <w:rsid w:val="6C431C35"/>
    <w:rsid w:val="6C77321F"/>
    <w:rsid w:val="6D1B0EA5"/>
    <w:rsid w:val="6D511A93"/>
    <w:rsid w:val="6F7A6D9C"/>
    <w:rsid w:val="71711121"/>
    <w:rsid w:val="71933AE8"/>
    <w:rsid w:val="71E501E5"/>
    <w:rsid w:val="736C7394"/>
    <w:rsid w:val="73B45BA4"/>
    <w:rsid w:val="74D422A5"/>
    <w:rsid w:val="776E5FD8"/>
    <w:rsid w:val="77BD028F"/>
    <w:rsid w:val="790125A6"/>
    <w:rsid w:val="7AE46738"/>
    <w:rsid w:val="7B782202"/>
    <w:rsid w:val="7BCA7706"/>
    <w:rsid w:val="7CE83E47"/>
    <w:rsid w:val="7D1C592E"/>
    <w:rsid w:val="7FF616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60" w:after="60"/>
      <w:outlineLvl w:val="0"/>
    </w:pPr>
    <w:rPr>
      <w:rFonts w:ascii="仿宋_GB2312" w:eastAsia="仿宋_GB2312"/>
      <w:sz w:val="24"/>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NormalIndent"/>
    <w:basedOn w:val="1"/>
    <w:qFormat/>
    <w:uiPriority w:val="0"/>
    <w:pPr>
      <w:ind w:firstLine="420"/>
    </w:pPr>
    <w:rPr>
      <w:rFonts w:ascii="Calibri" w:hAnsi="Calibri"/>
      <w:szCs w:val="22"/>
    </w:rPr>
  </w:style>
  <w:style w:type="paragraph" w:styleId="4">
    <w:name w:val="Normal Indent"/>
    <w:basedOn w:val="1"/>
    <w:qFormat/>
    <w:uiPriority w:val="99"/>
    <w:pPr>
      <w:ind w:firstLine="420"/>
    </w:pPr>
  </w:style>
  <w:style w:type="paragraph" w:styleId="5">
    <w:name w:val="footer"/>
    <w:basedOn w:val="1"/>
    <w:link w:val="19"/>
    <w:unhideWhenUsed/>
    <w:qFormat/>
    <w:uiPriority w:val="99"/>
    <w:pPr>
      <w:tabs>
        <w:tab w:val="center" w:pos="4153"/>
        <w:tab w:val="right" w:pos="8306"/>
      </w:tabs>
      <w:snapToGrid w:val="0"/>
      <w:jc w:val="left"/>
    </w:pPr>
    <w:rPr>
      <w:sz w:val="18"/>
      <w:szCs w:val="18"/>
    </w:rPr>
  </w:style>
  <w:style w:type="paragraph" w:styleId="6">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paragraph" w:customStyle="1" w:styleId="17">
    <w:name w:val="样式 小四3"/>
    <w:qFormat/>
    <w:uiPriority w:val="0"/>
    <w:rPr>
      <w:rFonts w:ascii="等线" w:hAnsi="等线" w:eastAsia="等线" w:cs="Times New Roman"/>
      <w:sz w:val="24"/>
      <w:szCs w:val="24"/>
      <w:lang w:val="en-US" w:eastAsia="en-US" w:bidi="ar-SA"/>
    </w:rPr>
  </w:style>
  <w:style w:type="character" w:customStyle="1" w:styleId="18">
    <w:name w:val="页眉 字符"/>
    <w:basedOn w:val="9"/>
    <w:link w:val="6"/>
    <w:qFormat/>
    <w:uiPriority w:val="99"/>
    <w:rPr>
      <w:rFonts w:ascii="Times New Roman" w:hAnsi="Times New Roman" w:eastAsia="宋体" w:cs="Times New Roman"/>
      <w:sz w:val="18"/>
      <w:szCs w:val="18"/>
    </w:rPr>
  </w:style>
  <w:style w:type="character" w:customStyle="1" w:styleId="19">
    <w:name w:val="页脚 字符"/>
    <w:basedOn w:val="9"/>
    <w:link w:val="5"/>
    <w:qFormat/>
    <w:uiPriority w:val="99"/>
    <w:rPr>
      <w:rFonts w:ascii="Times New Roman" w:hAnsi="Times New Roman" w:eastAsia="宋体" w:cs="Times New Roman"/>
      <w:sz w:val="18"/>
      <w:szCs w:val="18"/>
    </w:rPr>
  </w:style>
  <w:style w:type="paragraph" w:styleId="20">
    <w:name w:val="List Paragraph"/>
    <w:basedOn w:val="1"/>
    <w:qFormat/>
    <w:uiPriority w:val="34"/>
    <w:pPr>
      <w:ind w:firstLine="420" w:firstLineChars="200"/>
    </w:pPr>
  </w:style>
  <w:style w:type="character" w:customStyle="1" w:styleId="21">
    <w:name w:val="not([class*=suffix])"/>
    <w:basedOn w:val="9"/>
    <w:qFormat/>
    <w:uiPriority w:val="0"/>
    <w:rPr>
      <w:sz w:val="19"/>
      <w:szCs w:val="19"/>
    </w:rPr>
  </w:style>
  <w:style w:type="character" w:customStyle="1" w:styleId="22">
    <w:name w:val="not([class*=suffix])1"/>
    <w:basedOn w:val="9"/>
    <w:qFormat/>
    <w:uiPriority w:val="0"/>
  </w:style>
  <w:style w:type="character" w:customStyle="1" w:styleId="23">
    <w:name w:val="Unresolved Mention"/>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2006</Words>
  <Characters>2015</Characters>
  <Lines>15</Lines>
  <Paragraphs>4</Paragraphs>
  <TotalTime>1</TotalTime>
  <ScaleCrop>false</ScaleCrop>
  <LinksUpToDate>false</LinksUpToDate>
  <CharactersWithSpaces>2116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WPS_1226398985</cp:lastModifiedBy>
  <cp:lastPrinted>2021-08-03T03:13:00Z</cp:lastPrinted>
  <dcterms:modified xsi:type="dcterms:W3CDTF">2026-10-12T03:58:02Z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BA536B07495D48D29D7F0644AF57EDD2</vt:lpwstr>
  </property>
  <property fmtid="{D5CDD505-2E9C-101B-9397-08002B2CF9AE}" pid="4" name="KSOTemplateDocerSaveRecord">
    <vt:lpwstr>eyJoZGlkIjoiZDc1NjBlZjM0NGU0NjA2MWE1NTdlMzE1NDE0YjM3N2EiLCJ1c2VySWQiOiIxMjI2Mzk4OTg1In0=</vt:lpwstr>
  </property>
</Properties>
</file>