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承租杭州市上城区滨江新苑15幢503室房屋5年租赁权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出租标的三不动产权证权利性质为出让/市场化商品房，用途为城镇住宅用地/住宅。</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出租标的3为空置状态。出租方保证出租标的产权无争议，但可提供的出租标的的权属资料仅限于不动产权证（证号：浙（2023）杭州市不动产权第0810742号）等（具体详见房屋租赁合同附件）。意向承租方应对房屋权属性质、用途和权属资料可能对后续经营开展、获取审批许可等可能的不利影响作充分了解和预判，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w:t>
      </w:r>
      <w:bookmarkStart w:id="0" w:name="OLE_LINK1"/>
      <w:r>
        <w:rPr>
          <w:rFonts w:hint="eastAsia" w:ascii="宋体" w:hAnsi="宋体" w:eastAsia="宋体" w:cs="Times New Roman"/>
          <w:color w:val="auto"/>
          <w:szCs w:val="21"/>
          <w:highlight w:val="none"/>
          <w:lang w:val="en-US" w:eastAsia="zh-CN"/>
        </w:rPr>
        <w:t>承租方</w:t>
      </w:r>
      <w:bookmarkEnd w:id="0"/>
      <w:r>
        <w:rPr>
          <w:rFonts w:hint="eastAsia" w:ascii="宋体" w:hAnsi="宋体" w:eastAsia="宋体" w:cs="Times New Roman"/>
          <w:color w:val="auto"/>
          <w:szCs w:val="21"/>
          <w:highlight w:val="none"/>
          <w:lang w:val="en-US" w:eastAsia="zh-CN"/>
        </w:rPr>
        <w:t>未按照第一项承诺在招租公告明确的期限足额支付首期租金、履约保证金的，则视为根本性违约。出租方有权单方面解除合同，另行招租。承租方已向杭交所交纳的交易保证金不予退还。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）本次出租标的禁止转租。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（12）承租方承租后不得群租，须准守《杭州市房屋租赁管理规定》、《杭州市居住房屋出租安全管理若干规定》等规定。</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（13）</w:t>
      </w:r>
      <w:r>
        <w:rPr>
          <w:rFonts w:hint="eastAsia" w:ascii="宋体" w:hAnsi="宋体" w:eastAsia="宋体" w:cs="Times New Roman"/>
          <w:color w:val="auto"/>
          <w:szCs w:val="21"/>
          <w:highlight w:val="none"/>
          <w:lang w:val="en-US" w:eastAsia="zh-CN"/>
        </w:rPr>
        <w:t>若因承租方原因出现信息披露公告中约定的保证金不予退还的情形，承租方同意杭交所将扣除相关服务费用后的剩余部分划转至</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指定账户。承租方对保证金处置有异议的，承诺直接与</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协商解决，与杭交所</w:t>
      </w:r>
      <w:r>
        <w:rPr>
          <w:rFonts w:hint="eastAsia" w:ascii="宋体" w:hAnsi="宋体" w:cs="Times New Roman"/>
          <w:color w:val="auto"/>
          <w:szCs w:val="21"/>
          <w:highlight w:val="none"/>
          <w:lang w:val="en-US" w:eastAsia="zh-CN"/>
        </w:rPr>
        <w:t>、经纪会员</w:t>
      </w:r>
      <w:r>
        <w:rPr>
          <w:rFonts w:hint="eastAsia" w:ascii="宋体" w:hAnsi="宋体" w:eastAsia="宋体" w:cs="Times New Roman"/>
          <w:color w:val="auto"/>
          <w:szCs w:val="21"/>
          <w:highlight w:val="none"/>
          <w:lang w:val="en-US" w:eastAsia="zh-CN"/>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bookmarkStart w:id="1" w:name="_GoBack"/>
      <w:bookmarkEnd w:id="1"/>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3DA67A3"/>
    <w:rsid w:val="04273FE8"/>
    <w:rsid w:val="04D96630"/>
    <w:rsid w:val="05474BCA"/>
    <w:rsid w:val="06403643"/>
    <w:rsid w:val="06565574"/>
    <w:rsid w:val="06A907A1"/>
    <w:rsid w:val="06FF3E8A"/>
    <w:rsid w:val="0739342F"/>
    <w:rsid w:val="07A35007"/>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4B85C79"/>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F16AF3"/>
    <w:rsid w:val="2F431594"/>
    <w:rsid w:val="2FFC7C4A"/>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ED14076"/>
    <w:rsid w:val="4F092F78"/>
    <w:rsid w:val="4F201E42"/>
    <w:rsid w:val="4F6D31A3"/>
    <w:rsid w:val="4FBC2F5F"/>
    <w:rsid w:val="52212BBB"/>
    <w:rsid w:val="534A6F96"/>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6F1AF2"/>
    <w:rsid w:val="5D0B1ACB"/>
    <w:rsid w:val="5F263445"/>
    <w:rsid w:val="60D41C1D"/>
    <w:rsid w:val="61AF798C"/>
    <w:rsid w:val="62D637DB"/>
    <w:rsid w:val="63DB45BE"/>
    <w:rsid w:val="63F50A4F"/>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8302EE"/>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2026-10-09T02:54:25Z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