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杭州市拱墅区三塘菊园1、2幢106室一层部分房屋5年租赁权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本次租赁房屋不动产附记所示规划批建为商业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、意向承诺方须承诺：本次租赁权成交后，该标的同意承租方整体承租后进行首次转租（分租）；承租方不得整体转租；次承租方不得二次转租。</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5C697085">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租赁房屋存在无法办理餐饮、住宿等业态的营业执照风险，请意向承租方在竞租前自行向有关行政部门核实。如竞拍成功后无法办理相关餐饮、住宿等证照，需自行承担风险。</w:t>
      </w:r>
    </w:p>
    <w:p w14:paraId="33ABD071">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11、若我方成为承租方，我方已知悉并同意：租赁房屋因外立面已完成城市更新，承租方成交后店招及外立面改造需经过出租方审批同意后方可安装。</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164CC50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、我方已知悉并同意：本项目成交的，承租方须缴纳按首年半个月租金计取的交易服务费。</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bookmarkStart w:id="4" w:name="_GoBack"/>
      <w:bookmarkEnd w:id="4"/>
      <w:r>
        <w:rPr>
          <w:rFonts w:hint="eastAsia" w:asciiTheme="minorEastAsia" w:hAnsiTheme="minorEastAsia" w:eastAsiaTheme="minorEastAsia"/>
          <w:szCs w:val="21"/>
        </w:rPr>
        <w:t>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1C4AFC"/>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2059</Words>
  <Characters>2069</Characters>
  <Lines>15</Lines>
  <Paragraphs>4</Paragraphs>
  <TotalTime>6</TotalTime>
  <ScaleCrop>false</ScaleCrop>
  <LinksUpToDate>false</LinksUpToDate>
  <CharactersWithSpaces>2172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2026-10-08T02:25:22Z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