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A1F8F7">
      <w:pPr>
        <w:keepNext w:val="0"/>
        <w:keepLines w:val="0"/>
        <w:pageBreakBefore w:val="0"/>
        <w:kinsoku/>
        <w:wordWrap/>
        <w:overflowPunct/>
        <w:topLinePunct w:val="0"/>
        <w:autoSpaceDE/>
        <w:autoSpaceDN/>
        <w:bidi w:val="0"/>
        <w:adjustRightInd/>
        <w:snapToGrid/>
        <w:spacing w:line="360" w:lineRule="auto"/>
        <w:jc w:val="center"/>
        <w:textAlignment w:val="auto"/>
        <w:rPr>
          <w:rFonts w:ascii="黑体" w:hAnsi="黑体" w:eastAsia="黑体"/>
          <w:b/>
          <w:sz w:val="32"/>
          <w:szCs w:val="32"/>
          <w:highlight w:val="none"/>
        </w:rPr>
      </w:pPr>
      <w:r>
        <w:rPr>
          <w:rFonts w:hint="eastAsia" w:ascii="黑体" w:hAnsi="黑体" w:eastAsia="黑体"/>
          <w:b/>
          <w:sz w:val="32"/>
          <w:szCs w:val="32"/>
          <w:highlight w:val="none"/>
        </w:rPr>
        <w:t>承诺函</w:t>
      </w:r>
    </w:p>
    <w:p w14:paraId="363B45E3">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杭州</w:t>
      </w:r>
      <w:r>
        <w:rPr>
          <w:rFonts w:asciiTheme="minorEastAsia" w:hAnsiTheme="minorEastAsia" w:eastAsiaTheme="minorEastAsia"/>
          <w:sz w:val="20"/>
          <w:szCs w:val="20"/>
          <w:highlight w:val="none"/>
        </w:rPr>
        <w:t>产权交易所</w:t>
      </w:r>
      <w:r>
        <w:rPr>
          <w:rFonts w:hint="eastAsia" w:asciiTheme="minorEastAsia" w:hAnsiTheme="minorEastAsia" w:eastAsiaTheme="minorEastAsia"/>
          <w:sz w:val="20"/>
          <w:szCs w:val="20"/>
          <w:highlight w:val="none"/>
        </w:rPr>
        <w:t>有限责任公司</w:t>
      </w:r>
      <w:r>
        <w:rPr>
          <w:rFonts w:asciiTheme="minorEastAsia" w:hAnsiTheme="minorEastAsia" w:eastAsiaTheme="minorEastAsia"/>
          <w:sz w:val="20"/>
          <w:szCs w:val="20"/>
          <w:highlight w:val="none"/>
        </w:rPr>
        <w:t>：</w:t>
      </w:r>
    </w:p>
    <w:p w14:paraId="14CB0C84">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sz w:val="20"/>
          <w:szCs w:val="20"/>
          <w:highlight w:val="none"/>
          <w:lang w:eastAsia="zh-CN"/>
        </w:rPr>
      </w:pPr>
      <w:r>
        <w:rPr>
          <w:rFonts w:hint="eastAsia" w:asciiTheme="minorEastAsia" w:hAnsiTheme="minorEastAsia" w:eastAsiaTheme="minorEastAsia"/>
          <w:sz w:val="20"/>
          <w:szCs w:val="20"/>
          <w:highlight w:val="none"/>
        </w:rPr>
        <w:t>杭州企业产权交易中心有限公司</w:t>
      </w:r>
      <w:r>
        <w:rPr>
          <w:rFonts w:hint="eastAsia" w:asciiTheme="minorEastAsia" w:hAnsiTheme="minorEastAsia" w:eastAsiaTheme="minorEastAsia"/>
          <w:sz w:val="20"/>
          <w:szCs w:val="20"/>
          <w:highlight w:val="none"/>
          <w:lang w:eastAsia="zh-CN"/>
        </w:rPr>
        <w:t>：</w:t>
      </w:r>
    </w:p>
    <w:p w14:paraId="5124F799">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我方拟</w:t>
      </w:r>
      <w:r>
        <w:rPr>
          <w:rFonts w:hint="eastAsia" w:asciiTheme="minorEastAsia" w:hAnsiTheme="minorEastAsia" w:eastAsiaTheme="minorEastAsia" w:cstheme="minorEastAsia"/>
          <w:sz w:val="20"/>
          <w:szCs w:val="20"/>
          <w:highlight w:val="none"/>
          <w:u w:val="none"/>
        </w:rPr>
        <w:t>承租</w:t>
      </w:r>
      <w:r>
        <w:rPr>
          <w:rFonts w:hint="eastAsia" w:asciiTheme="minorEastAsia" w:hAnsiTheme="minorEastAsia" w:eastAsiaTheme="minorEastAsia" w:cstheme="minorEastAsia"/>
          <w:sz w:val="20"/>
          <w:szCs w:val="20"/>
          <w:highlight w:val="none"/>
          <w:u w:val="single"/>
          <w:lang w:val="en-US" w:eastAsia="zh-CN"/>
        </w:rPr>
        <w:t xml:space="preserve">                                                   </w:t>
      </w:r>
      <w:r>
        <w:rPr>
          <w:rFonts w:hint="eastAsia" w:asciiTheme="minorEastAsia" w:hAnsiTheme="minorEastAsia" w:eastAsiaTheme="minorEastAsia" w:cstheme="minorEastAsia"/>
          <w:sz w:val="20"/>
          <w:szCs w:val="20"/>
          <w:highlight w:val="none"/>
        </w:rPr>
        <w:t>项目，现做如下承诺：</w:t>
      </w:r>
    </w:p>
    <w:p w14:paraId="098B9E49">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cstheme="minorEastAsia"/>
          <w:sz w:val="20"/>
          <w:szCs w:val="20"/>
          <w:highlight w:val="none"/>
        </w:rPr>
        <w:t>1、我方已认真阅读、知悉并自愿遵守</w:t>
      </w:r>
      <w:r>
        <w:rPr>
          <w:rFonts w:hint="eastAsia" w:asciiTheme="minorEastAsia" w:hAnsiTheme="minorEastAsia" w:eastAsiaTheme="minorEastAsia" w:cstheme="minorEastAsia"/>
          <w:sz w:val="20"/>
          <w:szCs w:val="20"/>
          <w:highlight w:val="none"/>
          <w:lang w:val="en-US" w:eastAsia="zh-CN"/>
        </w:rPr>
        <w:t>杭州产权交易所</w:t>
      </w:r>
      <w:r>
        <w:rPr>
          <w:rFonts w:hint="eastAsia" w:asciiTheme="minorEastAsia" w:hAnsiTheme="minorEastAsia" w:eastAsiaTheme="minorEastAsia" w:cstheme="minorEastAsia"/>
          <w:sz w:val="20"/>
          <w:szCs w:val="20"/>
          <w:highlight w:val="none"/>
          <w:u w:val="single"/>
          <w:lang w:val="en-US" w:eastAsia="zh-CN"/>
        </w:rPr>
        <w:t>《房屋出租交易规则》</w:t>
      </w:r>
      <w:r>
        <w:rPr>
          <w:rFonts w:hint="eastAsia" w:asciiTheme="minorEastAsia" w:hAnsiTheme="minorEastAsia" w:eastAsiaTheme="minorEastAsia" w:cstheme="minorEastAsia"/>
          <w:sz w:val="20"/>
          <w:szCs w:val="20"/>
          <w:highlight w:val="none"/>
          <w:u w:val="none"/>
        </w:rPr>
        <w:t>、</w:t>
      </w:r>
      <w:r>
        <w:rPr>
          <w:rFonts w:hint="eastAsia" w:asciiTheme="minorEastAsia" w:hAnsiTheme="minorEastAsia" w:eastAsiaTheme="minorEastAsia" w:cstheme="minorEastAsia"/>
          <w:sz w:val="20"/>
          <w:szCs w:val="20"/>
          <w:highlight w:val="none"/>
          <w:u w:val="single"/>
        </w:rPr>
        <w:t>《</w:t>
      </w:r>
      <w:r>
        <w:rPr>
          <w:rFonts w:hint="eastAsia" w:asciiTheme="minorEastAsia" w:hAnsiTheme="minorEastAsia" w:eastAsiaTheme="minorEastAsia" w:cstheme="minorEastAsia"/>
          <w:sz w:val="20"/>
          <w:szCs w:val="20"/>
          <w:highlight w:val="none"/>
          <w:u w:val="single"/>
          <w:lang w:val="en-US" w:eastAsia="zh-CN"/>
        </w:rPr>
        <w:t>在线报价实施办法</w:t>
      </w:r>
      <w:r>
        <w:rPr>
          <w:rFonts w:hint="eastAsia" w:asciiTheme="minorEastAsia" w:hAnsiTheme="minorEastAsia" w:eastAsiaTheme="minorEastAsia" w:cstheme="minorEastAsia"/>
          <w:sz w:val="20"/>
          <w:szCs w:val="20"/>
          <w:highlight w:val="none"/>
          <w:u w:val="single"/>
        </w:rPr>
        <w:t>》</w:t>
      </w:r>
      <w:r>
        <w:rPr>
          <w:rFonts w:hint="eastAsia" w:asciiTheme="minorEastAsia" w:hAnsiTheme="minorEastAsia" w:eastAsiaTheme="minorEastAsia" w:cstheme="minorEastAsia"/>
          <w:sz w:val="20"/>
          <w:szCs w:val="20"/>
          <w:highlight w:val="none"/>
          <w:u w:val="none"/>
        </w:rPr>
        <w:t>和</w:t>
      </w:r>
      <w:r>
        <w:rPr>
          <w:rFonts w:hint="eastAsia" w:asciiTheme="minorEastAsia" w:hAnsiTheme="minorEastAsia" w:eastAsiaTheme="minorEastAsia" w:cstheme="minorEastAsia"/>
          <w:sz w:val="20"/>
          <w:szCs w:val="20"/>
          <w:highlight w:val="none"/>
          <w:u w:val="single"/>
          <w:lang w:eastAsia="zh-CN"/>
        </w:rPr>
        <w:t>《</w:t>
      </w:r>
      <w:r>
        <w:rPr>
          <w:rFonts w:hint="eastAsia" w:asciiTheme="minorEastAsia" w:hAnsiTheme="minorEastAsia" w:eastAsiaTheme="minorEastAsia" w:cstheme="minorEastAsia"/>
          <w:sz w:val="20"/>
          <w:szCs w:val="20"/>
          <w:highlight w:val="none"/>
          <w:u w:val="single"/>
          <w:lang w:val="en-US" w:eastAsia="zh-CN"/>
        </w:rPr>
        <w:t>在线报价交易须知</w:t>
      </w:r>
      <w:r>
        <w:rPr>
          <w:rFonts w:hint="eastAsia" w:asciiTheme="minorEastAsia" w:hAnsiTheme="minorEastAsia" w:eastAsiaTheme="minorEastAsia" w:cstheme="minorEastAsia"/>
          <w:sz w:val="20"/>
          <w:szCs w:val="20"/>
          <w:highlight w:val="none"/>
          <w:u w:val="single"/>
          <w:lang w:eastAsia="zh-CN"/>
        </w:rPr>
        <w:t>》</w:t>
      </w:r>
      <w:r>
        <w:rPr>
          <w:rFonts w:hint="eastAsia" w:asciiTheme="minorEastAsia" w:hAnsiTheme="minorEastAsia" w:eastAsiaTheme="minorEastAsia" w:cstheme="minorEastAsia"/>
          <w:sz w:val="20"/>
          <w:szCs w:val="20"/>
          <w:highlight w:val="none"/>
        </w:rPr>
        <w:t>等文件的规定，同意按照相关规定参加本项目竞价活动。</w:t>
      </w:r>
    </w:p>
    <w:p w14:paraId="7E740C01">
      <w:pPr>
        <w:keepNext w:val="0"/>
        <w:keepLines w:val="0"/>
        <w:pageBreakBefore w:val="0"/>
        <w:widowControl/>
        <w:tabs>
          <w:tab w:val="left" w:pos="6975"/>
        </w:tabs>
        <w:kinsoku/>
        <w:wordWrap/>
        <w:overflowPunct/>
        <w:topLinePunct w:val="0"/>
        <w:autoSpaceDE/>
        <w:autoSpaceDN/>
        <w:bidi w:val="0"/>
        <w:adjustRightInd/>
        <w:snapToGrid/>
        <w:spacing w:line="360" w:lineRule="auto"/>
        <w:ind w:firstLine="400" w:firstLineChars="200"/>
        <w:jc w:val="left"/>
        <w:textAlignment w:val="auto"/>
        <w:rPr>
          <w:rFonts w:hint="eastAsia" w:asciiTheme="minorEastAsia" w:hAnsiTheme="minorEastAsia" w:eastAsiaTheme="minorEastAsia" w:cstheme="minorEastAsia"/>
          <w:sz w:val="20"/>
          <w:szCs w:val="20"/>
          <w:highlight w:val="none"/>
        </w:rPr>
      </w:pPr>
      <w:r>
        <w:rPr>
          <w:rFonts w:hint="eastAsia" w:asciiTheme="minorEastAsia" w:hAnsiTheme="minorEastAsia" w:eastAsiaTheme="minorEastAsia"/>
          <w:sz w:val="20"/>
          <w:szCs w:val="20"/>
          <w:highlight w:val="none"/>
        </w:rPr>
        <w:t>2、我方</w:t>
      </w:r>
      <w:r>
        <w:rPr>
          <w:rFonts w:hint="eastAsia" w:asciiTheme="minorEastAsia" w:hAnsiTheme="minorEastAsia"/>
          <w:sz w:val="20"/>
          <w:szCs w:val="20"/>
          <w:highlight w:val="none"/>
        </w:rPr>
        <w:t>提交</w:t>
      </w:r>
      <w:r>
        <w:rPr>
          <w:rFonts w:hint="eastAsia" w:asciiTheme="minorEastAsia" w:hAnsiTheme="minorEastAsia"/>
          <w:sz w:val="20"/>
          <w:szCs w:val="20"/>
          <w:highlight w:val="none"/>
          <w:u w:val="single"/>
        </w:rPr>
        <w:t>承租</w:t>
      </w:r>
      <w:r>
        <w:rPr>
          <w:rFonts w:asciiTheme="minorEastAsia" w:hAnsiTheme="minorEastAsia"/>
          <w:sz w:val="20"/>
          <w:szCs w:val="20"/>
          <w:highlight w:val="none"/>
        </w:rPr>
        <w:t>申请</w:t>
      </w:r>
      <w:r>
        <w:rPr>
          <w:rFonts w:hint="eastAsia" w:asciiTheme="minorEastAsia" w:hAnsiTheme="minorEastAsia"/>
          <w:sz w:val="20"/>
          <w:szCs w:val="20"/>
          <w:highlight w:val="none"/>
          <w:lang w:val="en-US" w:eastAsia="zh-CN"/>
        </w:rPr>
        <w:t>材料</w:t>
      </w:r>
      <w:r>
        <w:rPr>
          <w:rFonts w:asciiTheme="minorEastAsia" w:hAnsiTheme="minorEastAsia"/>
          <w:sz w:val="20"/>
          <w:szCs w:val="20"/>
          <w:highlight w:val="none"/>
        </w:rPr>
        <w:t>并且</w:t>
      </w:r>
      <w:r>
        <w:rPr>
          <w:rFonts w:hint="eastAsia" w:asciiTheme="minorEastAsia" w:hAnsiTheme="minorEastAsia"/>
          <w:sz w:val="20"/>
          <w:szCs w:val="20"/>
          <w:highlight w:val="none"/>
        </w:rPr>
        <w:t>交纳交易</w:t>
      </w:r>
      <w:r>
        <w:rPr>
          <w:rFonts w:asciiTheme="minorEastAsia" w:hAnsiTheme="minorEastAsia"/>
          <w:sz w:val="20"/>
          <w:szCs w:val="20"/>
          <w:highlight w:val="none"/>
        </w:rPr>
        <w:t>保证金后，即视为已详细阅读并完全认可本项</w:t>
      </w:r>
      <w:r>
        <w:rPr>
          <w:rFonts w:hint="eastAsia" w:asciiTheme="minorEastAsia" w:hAnsiTheme="minorEastAsia" w:eastAsiaTheme="minorEastAsia" w:cstheme="minorEastAsia"/>
          <w:sz w:val="20"/>
          <w:szCs w:val="20"/>
          <w:highlight w:val="none"/>
        </w:rPr>
        <w:t>目所披露内容以及已完成对标的的现场踏勘，表明已完全了解并自愿接受标的的全部现状及瑕疵，并自愿承担一切交易风险。</w:t>
      </w:r>
    </w:p>
    <w:p w14:paraId="09BA639A">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rPr>
        <w:t>3、</w:t>
      </w:r>
      <w:r>
        <w:rPr>
          <w:rFonts w:hint="eastAsia" w:asciiTheme="minorEastAsia" w:hAnsiTheme="minorEastAsia" w:eastAsiaTheme="minorEastAsia"/>
          <w:sz w:val="20"/>
          <w:szCs w:val="20"/>
          <w:highlight w:val="none"/>
          <w:lang w:val="en-US" w:eastAsia="zh-CN"/>
        </w:rPr>
        <w:t>意向承租方须书面承诺：</w:t>
      </w:r>
    </w:p>
    <w:p w14:paraId="161A7E2E">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 xml:space="preserve">（1）同意在被确认为承租方之日起3个工作日内携带报名时上传的主体资格证明等相关文件原件至杭交所完成现场确认和签署《成交通知书》、交易记录及《杭州市市本级公共租赁住房配套用房租赁合同》、《市本级公共租赁房配套用房管理规定》等相关合同文件；并在《成交通知书》、《杭州市市本级公共租赁住房配套用房租赁合同》签署之日起5个工作日内向杭交所指定账户一次性支付首期租金（免租期届满次日起的6个月租金）、履约保证金、装修保证金及交易服务费等交易资金（以到账时间为准）。 </w:t>
      </w:r>
    </w:p>
    <w:p w14:paraId="02515789">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 xml:space="preserve">（2）同意杭交所经出租方申请之日起3个工作日内将承租方已交纳的交易价款全部划转至出租方指定账户。 </w:t>
      </w:r>
    </w:p>
    <w:p w14:paraId="51B349FE">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3）承租方在租赁房屋内进行经营活动前，应按《杭州市市本级公共租赁住房配套用房租赁合同》规定向政府有关部门办理相关登记、审批等手续，出租方可根据实际情况提供必要的协助，相关费用均由承租方承担。出租方向承租方提供租赁房屋的权属资料仅限于建设工程竣工验收备案证明文件等资料。承租方必须在营业前凭上述资料办理相关登记、审批等手续，若由于出租方提供的资料和租赁房屋现状原因导致承租方不能通过相关登记、审批等手续的，出租方不承担任何责任。承租方应充分了解上述情况，由此无法办理工商登记或其他行政审批相关手续，承租方如有损失自行承担。</w:t>
      </w:r>
    </w:p>
    <w:p w14:paraId="438CCDC2">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4）承租方已明确知悉并接受租赁房屋的规划用途、产权情况、性质等限制条件，承租方承诺不因此提出索赔。承租方对其租赁用途所需的相关审批、备案、办证等手续以及法律、法规、规章、政策要求均已清楚了解，对相应风险已知悉并自愿承担。</w:t>
      </w:r>
    </w:p>
    <w:p w14:paraId="3B3D0653">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 xml:space="preserve">（5）租赁期内，未经出租方同意不得将该房屋部分或全部转租、转让或与他人交换自己承租的房屋。如承租方擅自转租的，转租行为无效。出租方有权单方面终止合同收回房屋。 </w:t>
      </w:r>
    </w:p>
    <w:p w14:paraId="30FDA821">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（6）承租方须遵守租赁房屋物业管理的有关规定。成交后，承租方须签署《治安消防安全责任书》、《承诺书》（详见《市本级公共租赁房配套用房管理规定》）。</w:t>
      </w:r>
    </w:p>
    <w:p w14:paraId="2F5E16C4">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 xml:space="preserve">（7）出租方给予承租方装修免租期，装修免租期仅减免租金，物业服务费、能耗费等与使用该房屋相关的其他费用承租方仍应正常缴纳。如承租方不能按约定日期前来接收房屋的，装修免租期不顺延，承租方仍应按本合同约定的时间缴纳租金。  </w:t>
      </w:r>
    </w:p>
    <w:p w14:paraId="24367323">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 xml:space="preserve">（8）出租方与承租方的权利义务详见《杭州市市本级公共租赁住房配套用房租赁合同》样本。     </w:t>
      </w:r>
    </w:p>
    <w:p w14:paraId="6B3B8EA8">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4、标的的交付：标的交付按移交时的现状进行，具体以出租方提供的《杭州市市本级公共租赁住房配套用房租赁合同》样本为准。</w:t>
      </w:r>
      <w:bookmarkStart w:id="0" w:name="_GoBack"/>
      <w:bookmarkEnd w:id="0"/>
    </w:p>
    <w:p w14:paraId="6C042659">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sz w:val="20"/>
          <w:szCs w:val="20"/>
          <w:highlight w:val="none"/>
          <w:lang w:val="en-US" w:eastAsia="zh-CN"/>
        </w:rPr>
      </w:pPr>
      <w:r>
        <w:rPr>
          <w:rFonts w:hint="eastAsia" w:asciiTheme="minorEastAsia" w:hAnsiTheme="minorEastAsia" w:eastAsiaTheme="minorEastAsia"/>
          <w:sz w:val="20"/>
          <w:szCs w:val="20"/>
          <w:highlight w:val="none"/>
          <w:lang w:val="en-US" w:eastAsia="zh-CN"/>
        </w:rPr>
        <w:t>5、本项目承租方须交纳交易服务费，有两个及以上意向承租方报名且成交的，承租方须交纳首年一个月租金计的交易服务费；仅征集到一位意向承租方且成交的，承租方须交纳首年半个月租金计的交易服务费。</w:t>
      </w:r>
    </w:p>
    <w:p w14:paraId="74A6ABA4">
      <w:pPr>
        <w:keepNext w:val="0"/>
        <w:keepLines w:val="0"/>
        <w:pageBreakBefore w:val="0"/>
        <w:kinsoku/>
        <w:wordWrap/>
        <w:overflowPunct/>
        <w:topLinePunct w:val="0"/>
        <w:autoSpaceDE/>
        <w:autoSpaceDN/>
        <w:bidi w:val="0"/>
        <w:adjustRightInd/>
        <w:snapToGrid/>
        <w:spacing w:line="360" w:lineRule="auto"/>
        <w:ind w:firstLine="400" w:firstLineChars="200"/>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lang w:val="en-US" w:eastAsia="zh-CN"/>
        </w:rPr>
        <w:t>6</w:t>
      </w:r>
      <w:r>
        <w:rPr>
          <w:rFonts w:asciiTheme="minorEastAsia" w:hAnsiTheme="minorEastAsia" w:eastAsiaTheme="minorEastAsia"/>
          <w:sz w:val="20"/>
          <w:szCs w:val="20"/>
          <w:highlight w:val="none"/>
        </w:rPr>
        <w:t>、</w:t>
      </w:r>
      <w:r>
        <w:rPr>
          <w:rFonts w:hint="eastAsia" w:asciiTheme="minorEastAsia" w:hAnsiTheme="minorEastAsia" w:eastAsiaTheme="minorEastAsia"/>
          <w:sz w:val="20"/>
          <w:szCs w:val="20"/>
          <w:highlight w:val="none"/>
        </w:rPr>
        <w:t>若非出租方原因，出现以下任一情况时，意向承租方交纳的保证金不予退还，先用于补偿杭交所</w:t>
      </w:r>
      <w:r>
        <w:rPr>
          <w:rFonts w:hint="eastAsia" w:asciiTheme="minorEastAsia" w:hAnsiTheme="minorEastAsia" w:eastAsiaTheme="minorEastAsia"/>
          <w:sz w:val="20"/>
          <w:szCs w:val="20"/>
          <w:highlight w:val="none"/>
          <w:lang w:eastAsia="zh-CN"/>
        </w:rPr>
        <w:t>、</w:t>
      </w:r>
      <w:r>
        <w:rPr>
          <w:rFonts w:hint="eastAsia" w:asciiTheme="minorEastAsia" w:hAnsiTheme="minorEastAsia" w:eastAsiaTheme="minorEastAsia"/>
          <w:sz w:val="20"/>
          <w:szCs w:val="20"/>
          <w:highlight w:val="none"/>
        </w:rPr>
        <w:t>经纪会员的各项服务费，剩余部分作为对出租方的经济补偿金，保证金不足以补偿的，相关方有权按照实际损失继续追诉：</w:t>
      </w:r>
    </w:p>
    <w:p w14:paraId="7FCA811E">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（1）意向承租方提交承租申请材料并交纳交易保证金后单方撤回承租申请的；</w:t>
      </w:r>
    </w:p>
    <w:p w14:paraId="5600F9DB">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（2）产生符合条件的意向承租方后，各意向承租方在竞价期间均不报价的；</w:t>
      </w:r>
    </w:p>
    <w:p w14:paraId="6FFA1E10">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（3）在被确定为承租方后未按约定签署《杭州市市本级公共租赁住房配套用房租赁合同》及其附件等交易合同的或未按约定支付交易服务费、履约保证金、装修保证金和首期租金的；</w:t>
      </w:r>
    </w:p>
    <w:p w14:paraId="0EAB86F8">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（4）意向承租方未履行书面承诺事项的；</w:t>
      </w:r>
    </w:p>
    <w:p w14:paraId="7DEF453D">
      <w:pPr>
        <w:keepNext w:val="0"/>
        <w:keepLines w:val="0"/>
        <w:pageBreakBefore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（5）存在其他违反交易规则情形的。</w:t>
      </w:r>
    </w:p>
    <w:p w14:paraId="74A60171">
      <w:pPr>
        <w:keepNext w:val="0"/>
        <w:keepLines w:val="0"/>
        <w:pageBreakBefore w:val="0"/>
        <w:kinsoku/>
        <w:wordWrap/>
        <w:overflowPunct/>
        <w:topLinePunct w:val="0"/>
        <w:autoSpaceDE/>
        <w:autoSpaceDN/>
        <w:bidi w:val="0"/>
        <w:adjustRightInd/>
        <w:snapToGrid/>
        <w:spacing w:line="360" w:lineRule="auto"/>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 xml:space="preserve">                                </w:t>
      </w:r>
      <w:r>
        <w:rPr>
          <w:rFonts w:hint="eastAsia" w:asciiTheme="minorEastAsia" w:hAnsiTheme="minorEastAsia" w:eastAsiaTheme="minorEastAsia"/>
          <w:sz w:val="20"/>
          <w:szCs w:val="20"/>
          <w:highlight w:val="none"/>
          <w:lang w:val="en-US" w:eastAsia="zh-CN"/>
        </w:rPr>
        <w:t xml:space="preserve">                      </w:t>
      </w:r>
      <w:r>
        <w:rPr>
          <w:rFonts w:hint="eastAsia" w:asciiTheme="minorEastAsia" w:hAnsiTheme="minorEastAsia" w:eastAsiaTheme="minorEastAsia"/>
          <w:sz w:val="20"/>
          <w:szCs w:val="20"/>
          <w:highlight w:val="none"/>
        </w:rPr>
        <w:t>意向承租方（签章）：</w:t>
      </w:r>
    </w:p>
    <w:p w14:paraId="63A4C239">
      <w:pPr>
        <w:keepNext w:val="0"/>
        <w:keepLines w:val="0"/>
        <w:pageBreakBefore w:val="0"/>
        <w:kinsoku/>
        <w:wordWrap/>
        <w:overflowPunct/>
        <w:topLinePunct w:val="0"/>
        <w:autoSpaceDE/>
        <w:autoSpaceDN/>
        <w:bidi w:val="0"/>
        <w:adjustRightInd/>
        <w:snapToGrid/>
        <w:spacing w:line="360" w:lineRule="auto"/>
        <w:jc w:val="right"/>
        <w:textAlignment w:val="auto"/>
        <w:rPr>
          <w:rFonts w:asciiTheme="minorEastAsia" w:hAnsiTheme="minorEastAsia" w:eastAsiaTheme="minorEastAsia"/>
          <w:sz w:val="20"/>
          <w:szCs w:val="20"/>
          <w:highlight w:val="none"/>
        </w:rPr>
      </w:pPr>
      <w:r>
        <w:rPr>
          <w:rFonts w:hint="eastAsia" w:asciiTheme="minorEastAsia" w:hAnsiTheme="minorEastAsia" w:eastAsiaTheme="minorEastAsia"/>
          <w:sz w:val="20"/>
          <w:szCs w:val="20"/>
          <w:highlight w:val="none"/>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modern"/>
    <w:pitch w:val="default"/>
    <w:sig w:usb0="00000000" w:usb1="00000000"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altName w:val="Wingdings 2"/>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Wingdings 2"/>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黑体_GBK">
    <w:panose1 w:val="02000000000000000000"/>
    <w:charset w:val="86"/>
    <w:family w:val="auto"/>
    <w:pitch w:val="default"/>
    <w:sig w:usb0="00000001" w:usb1="08000000" w:usb2="00000000" w:usb3="00000000" w:csb0="00040000" w:csb1="00000000"/>
  </w:font>
  <w:font w:name="Wingdings 2">
    <w:panose1 w:val="05020102010507070707"/>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2311C"/>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19C1EEA"/>
    <w:rsid w:val="01E5402C"/>
    <w:rsid w:val="03066051"/>
    <w:rsid w:val="03637B8E"/>
    <w:rsid w:val="05882BB6"/>
    <w:rsid w:val="06C7258F"/>
    <w:rsid w:val="0B30196D"/>
    <w:rsid w:val="0C234307"/>
    <w:rsid w:val="0C433FAA"/>
    <w:rsid w:val="0DF1051E"/>
    <w:rsid w:val="0DF633DE"/>
    <w:rsid w:val="110957D3"/>
    <w:rsid w:val="119A7465"/>
    <w:rsid w:val="173E5800"/>
    <w:rsid w:val="1CAE1F29"/>
    <w:rsid w:val="1CD83DE2"/>
    <w:rsid w:val="1DA37C3B"/>
    <w:rsid w:val="1E2F5708"/>
    <w:rsid w:val="20AD3B94"/>
    <w:rsid w:val="20B45AE0"/>
    <w:rsid w:val="22902E14"/>
    <w:rsid w:val="27541626"/>
    <w:rsid w:val="27AA290F"/>
    <w:rsid w:val="27E74C65"/>
    <w:rsid w:val="285D694C"/>
    <w:rsid w:val="2907571B"/>
    <w:rsid w:val="2A1952CF"/>
    <w:rsid w:val="2B9E668D"/>
    <w:rsid w:val="2CF717A9"/>
    <w:rsid w:val="2D0E7361"/>
    <w:rsid w:val="2D1078F1"/>
    <w:rsid w:val="2FA5177C"/>
    <w:rsid w:val="30526A28"/>
    <w:rsid w:val="32230771"/>
    <w:rsid w:val="32EE5E86"/>
    <w:rsid w:val="32FB67E2"/>
    <w:rsid w:val="34D23A7B"/>
    <w:rsid w:val="365C4603"/>
    <w:rsid w:val="375D4CC6"/>
    <w:rsid w:val="38E70000"/>
    <w:rsid w:val="39E044AB"/>
    <w:rsid w:val="3B103714"/>
    <w:rsid w:val="3B6738AB"/>
    <w:rsid w:val="3EBA141C"/>
    <w:rsid w:val="3F583597"/>
    <w:rsid w:val="41D05755"/>
    <w:rsid w:val="432F2454"/>
    <w:rsid w:val="45962498"/>
    <w:rsid w:val="464E3FDC"/>
    <w:rsid w:val="4BDC56F8"/>
    <w:rsid w:val="5187378F"/>
    <w:rsid w:val="52C25561"/>
    <w:rsid w:val="57E809C6"/>
    <w:rsid w:val="57EFDDE2"/>
    <w:rsid w:val="5A272E2C"/>
    <w:rsid w:val="5A356312"/>
    <w:rsid w:val="5A7D1B2E"/>
    <w:rsid w:val="5B7B2FC6"/>
    <w:rsid w:val="5BFDDF1E"/>
    <w:rsid w:val="5DFBD987"/>
    <w:rsid w:val="627A2493"/>
    <w:rsid w:val="63C12C87"/>
    <w:rsid w:val="64BF4C96"/>
    <w:rsid w:val="659F7A99"/>
    <w:rsid w:val="6B7C4F72"/>
    <w:rsid w:val="6BBC636F"/>
    <w:rsid w:val="6C8A5B48"/>
    <w:rsid w:val="6DCC02D7"/>
    <w:rsid w:val="6EF7C10C"/>
    <w:rsid w:val="6F77EB57"/>
    <w:rsid w:val="6FEB24FF"/>
    <w:rsid w:val="714C77AC"/>
    <w:rsid w:val="71D57417"/>
    <w:rsid w:val="71D777AF"/>
    <w:rsid w:val="779041CA"/>
    <w:rsid w:val="795E558F"/>
    <w:rsid w:val="7BF1A80A"/>
    <w:rsid w:val="7BF7E7D6"/>
    <w:rsid w:val="7DAD8DA0"/>
    <w:rsid w:val="7FB72E77"/>
    <w:rsid w:val="7FBDD061"/>
    <w:rsid w:val="7FFE13C5"/>
    <w:rsid w:val="95FFF3FC"/>
    <w:rsid w:val="9EFE4B51"/>
    <w:rsid w:val="A7AC8918"/>
    <w:rsid w:val="B7BFCC69"/>
    <w:rsid w:val="BBFF7D8A"/>
    <w:rsid w:val="BDF7692C"/>
    <w:rsid w:val="BEEED047"/>
    <w:rsid w:val="DFFB05E1"/>
    <w:rsid w:val="F4EF488A"/>
    <w:rsid w:val="F77F33B4"/>
    <w:rsid w:val="F7FD6DEF"/>
    <w:rsid w:val="FBBF6243"/>
    <w:rsid w:val="FBFFFD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6">
    <w:name w:val="NormalIndent"/>
    <w:basedOn w:val="1"/>
    <w:qFormat/>
    <w:uiPriority w:val="0"/>
    <w:pPr>
      <w:ind w:firstLine="420"/>
    </w:pPr>
    <w:rPr>
      <w:rFonts w:ascii="Calibri" w:hAnsi="Calibri"/>
      <w:szCs w:val="22"/>
    </w:rPr>
  </w:style>
  <w:style w:type="character" w:customStyle="1" w:styleId="7">
    <w:name w:val="页眉 Char"/>
    <w:basedOn w:val="5"/>
    <w:link w:val="3"/>
    <w:semiHidden/>
    <w:qFormat/>
    <w:uiPriority w:val="99"/>
    <w:rPr>
      <w:rFonts w:ascii="Times New Roman" w:hAnsi="Times New Roman" w:eastAsia="宋体" w:cs="Times New Roman"/>
      <w:sz w:val="18"/>
      <w:szCs w:val="18"/>
    </w:rPr>
  </w:style>
  <w:style w:type="character" w:customStyle="1" w:styleId="8">
    <w:name w:val="页脚 Char"/>
    <w:basedOn w:val="5"/>
    <w:link w:val="2"/>
    <w:semiHidden/>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1934</Words>
  <Characters>1938</Characters>
  <Lines>8</Lines>
  <Paragraphs>2</Paragraphs>
  <TotalTime>4</TotalTime>
  <ScaleCrop>false</ScaleCrop>
  <LinksUpToDate>false</LinksUpToDate>
  <CharactersWithSpaces>2046</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2020-04-17T01:14:00Z</dcterms:created>
  <dc:creator>zxy</dc:creator>
  <cp:lastModifiedBy>Jenny</cp:lastModifiedBy>
  <dcterms:modified xsi:type="dcterms:W3CDTF">2026-09-29T13:10:06Z</dcterms:modified>
  <cp:revision>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D62513DA08F44BFA91A20CF6224D9F0E_13</vt:lpwstr>
  </property>
  <property fmtid="{D5CDD505-2E9C-101B-9397-08002B2CF9AE}" pid="4" name="KSOTemplateDocerSaveRecord">
    <vt:lpwstr>eyJoZGlkIjoiM2YzMDU2MmJkMTQzZmJlNTZmMjc5Zjg5MjhmYmY1NmEiLCJ1c2VySWQiOiIzNjc2MjcxNDEifQ==</vt:lpwstr>
  </property>
</Properties>
</file>