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C6400">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3B0FC1D5">
      <w:pPr>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杭州产权交易所有限责任公司：</w:t>
      </w:r>
    </w:p>
    <w:p w14:paraId="42ED659A">
      <w:pPr>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杭州企业产权交易中心有限公司：</w:t>
      </w:r>
    </w:p>
    <w:p w14:paraId="5AB8991F">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lang w:eastAsia="zh-CN"/>
        </w:rPr>
        <w:t>承租</w:t>
      </w:r>
      <w:r>
        <w:rPr>
          <w:rFonts w:hint="eastAsia" w:asciiTheme="minorEastAsia" w:hAnsiTheme="minorEastAsia" w:eastAsiaTheme="minorEastAsia" w:cstheme="minorEastAsia"/>
          <w:sz w:val="21"/>
          <w:szCs w:val="21"/>
          <w:highlight w:val="none"/>
          <w:u w:val="single"/>
          <w:lang w:val="en-US" w:eastAsia="zh-CN"/>
        </w:rPr>
        <w:t>杭州地铁2、3、4、6、7、8、9、10、16、19号线共享充电宝点位经营权</w:t>
      </w:r>
      <w:r>
        <w:rPr>
          <w:rFonts w:hint="eastAsia" w:asciiTheme="minorEastAsia" w:hAnsiTheme="minorEastAsia" w:eastAsiaTheme="minorEastAsia" w:cstheme="minorEastAsia"/>
          <w:sz w:val="21"/>
          <w:szCs w:val="21"/>
          <w:highlight w:val="none"/>
          <w:lang w:val="en-US" w:eastAsia="zh-CN"/>
        </w:rPr>
        <w:t>项</w:t>
      </w:r>
      <w:r>
        <w:rPr>
          <w:rFonts w:hint="eastAsia" w:asciiTheme="minorEastAsia" w:hAnsiTheme="minorEastAsia" w:eastAsiaTheme="minorEastAsia" w:cstheme="minorEastAsia"/>
          <w:sz w:val="21"/>
          <w:szCs w:val="21"/>
          <w:highlight w:val="none"/>
        </w:rPr>
        <w:t>目，现做如下承诺：</w:t>
      </w:r>
    </w:p>
    <w:p w14:paraId="58F9D1AE">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w:t>
      </w:r>
      <w:r>
        <w:rPr>
          <w:rFonts w:hint="eastAsia" w:asciiTheme="minorEastAsia" w:hAnsiTheme="minorEastAsia" w:eastAsiaTheme="minorEastAsia" w:cstheme="minorEastAsia"/>
          <w:sz w:val="21"/>
          <w:szCs w:val="21"/>
          <w:highlight w:val="none"/>
        </w:rPr>
        <w:t>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1B39E04F">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lang w:eastAsia="zh-CN"/>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7EA97B14">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color w:val="000000"/>
          <w:szCs w:val="21"/>
        </w:rPr>
        <w:t>同意在被确定为承租方之日起3个工作日内，携带承租申请材料原件到杭交所完成现场确认并签署《成交通知书》、</w:t>
      </w:r>
      <w:r>
        <w:rPr>
          <w:rFonts w:hint="eastAsia"/>
          <w:lang w:eastAsia="zh-CN"/>
        </w:rPr>
        <w:t>《杭州地铁共享充电宝点位经营权租赁经营合同》</w:t>
      </w:r>
      <w:r>
        <w:rPr>
          <w:rFonts w:hint="eastAsia" w:ascii="宋体" w:hAnsi="宋体"/>
          <w:color w:val="000000"/>
          <w:szCs w:val="21"/>
        </w:rPr>
        <w:t>。并在</w:t>
      </w:r>
      <w:r>
        <w:rPr>
          <w:rFonts w:hint="eastAsia"/>
          <w:lang w:eastAsia="zh-CN"/>
        </w:rPr>
        <w:t>《杭州地铁共享充电宝点位经营权租赁经营合同》</w:t>
      </w:r>
      <w:r>
        <w:rPr>
          <w:rFonts w:hint="eastAsia" w:ascii="宋体" w:hAnsi="宋体"/>
          <w:color w:val="000000"/>
          <w:szCs w:val="21"/>
        </w:rPr>
        <w:t>签署之日起</w:t>
      </w:r>
      <w:r>
        <w:rPr>
          <w:rFonts w:hint="eastAsia" w:ascii="宋体" w:hAnsi="宋体"/>
          <w:color w:val="000000"/>
          <w:szCs w:val="21"/>
          <w:lang w:val="en-US" w:eastAsia="zh-CN"/>
        </w:rPr>
        <w:t>1</w:t>
      </w:r>
      <w:r>
        <w:rPr>
          <w:rFonts w:hint="eastAsia" w:ascii="宋体" w:hAnsi="宋体"/>
          <w:color w:val="000000"/>
          <w:szCs w:val="21"/>
        </w:rPr>
        <w:t>5个工作日内向杭交所指定账户一次性支付交易服务费。首期租金、履约保证金的支付方式以出租方提供的</w:t>
      </w:r>
      <w:r>
        <w:rPr>
          <w:rFonts w:hint="eastAsia" w:ascii="宋体" w:hAnsi="宋体"/>
          <w:color w:val="000000"/>
          <w:szCs w:val="21"/>
          <w:lang w:eastAsia="zh-CN"/>
        </w:rPr>
        <w:t>《杭州地铁共享充电宝点位经营权租赁经营合同》</w:t>
      </w:r>
      <w:r>
        <w:rPr>
          <w:rFonts w:hint="eastAsia" w:ascii="宋体" w:hAnsi="宋体"/>
          <w:color w:val="000000"/>
          <w:szCs w:val="21"/>
        </w:rPr>
        <w:t>（样本）为准</w:t>
      </w:r>
      <w:r>
        <w:rPr>
          <w:rFonts w:hint="eastAsia" w:asciiTheme="minorEastAsia" w:hAnsiTheme="minorEastAsia" w:eastAsiaTheme="minorEastAsia" w:cstheme="minorEastAsia"/>
          <w:sz w:val="21"/>
          <w:szCs w:val="21"/>
          <w:highlight w:val="none"/>
        </w:rPr>
        <w:t>；</w:t>
      </w:r>
    </w:p>
    <w:p w14:paraId="375AE3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420" w:firstLineChars="200"/>
        <w:jc w:val="both"/>
        <w:textAlignment w:val="auto"/>
        <w:rPr>
          <w:rFonts w:hint="eastAsia" w:ascii="宋体" w:hAnsi="宋体" w:eastAsia="宋体" w:cs="Times New Roman"/>
          <w:color w:val="000000"/>
          <w:szCs w:val="21"/>
          <w:highlight w:val="none"/>
        </w:rPr>
      </w:pPr>
      <w:r>
        <w:rPr>
          <w:rFonts w:hint="eastAsia" w:ascii="宋体" w:hAnsi="宋体" w:eastAsia="宋体"/>
          <w:color w:val="000000"/>
          <w:sz w:val="21"/>
          <w:szCs w:val="21"/>
          <w:lang w:val="en-US" w:eastAsia="zh-CN"/>
        </w:rPr>
        <w:t>4、</w:t>
      </w:r>
      <w:r>
        <w:rPr>
          <w:rFonts w:hint="eastAsia" w:ascii="宋体" w:hAnsi="宋体" w:cs="Times New Roman"/>
          <w:color w:val="000000"/>
          <w:sz w:val="21"/>
          <w:szCs w:val="21"/>
          <w:lang w:eastAsia="zh-CN"/>
        </w:rPr>
        <w:t>承租方</w:t>
      </w:r>
      <w:r>
        <w:rPr>
          <w:rFonts w:hint="eastAsia" w:ascii="宋体" w:hAnsi="宋体" w:eastAsia="宋体" w:cs="Times New Roman"/>
          <w:color w:val="000000"/>
          <w:sz w:val="21"/>
          <w:szCs w:val="21"/>
        </w:rPr>
        <w:t>知悉并承诺：</w:t>
      </w:r>
      <w:r>
        <w:rPr>
          <w:rFonts w:hint="eastAsia" w:ascii="宋体" w:hAnsi="宋体" w:eastAsia="宋体" w:cs="Times New Roman"/>
          <w:color w:val="000000"/>
          <w:sz w:val="21"/>
          <w:szCs w:val="21"/>
          <w:highlight w:val="none"/>
          <w:lang w:val="en-US" w:eastAsia="zh-CN"/>
        </w:rPr>
        <w:t>为丰富杭州地铁荟小程序会员服务场景，提升小程序用户活跃度、新客注册转化及存量会员粘性，计划与共享充电宝承租方开展深度合作，围绕流量互通、用户拉新、积分运营等方向明确业务落地目标与配套技术改造需求，具体内容如下：</w:t>
      </w:r>
    </w:p>
    <w:p w14:paraId="128A3ED6">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宋体"/>
          <w:color w:val="000000"/>
          <w:sz w:val="21"/>
          <w:szCs w:val="21"/>
          <w:lang w:val="en-US" w:eastAsia="zh-CN"/>
        </w:rPr>
        <w:t>①</w:t>
      </w:r>
      <w:r>
        <w:rPr>
          <w:rFonts w:hint="eastAsia" w:ascii="宋体" w:hAnsi="宋体" w:eastAsia="宋体" w:cs="Times New Roman"/>
          <w:color w:val="000000"/>
          <w:sz w:val="21"/>
          <w:szCs w:val="21"/>
          <w:highlight w:val="none"/>
          <w:lang w:val="en-US" w:eastAsia="zh-CN"/>
        </w:rPr>
        <w:t>意向承租方必须确保用户在杭州地铁站点内扫码后，其租借流程能与“杭州地铁荟”小程序完成安全、稳定的数据交互，实时识别用户会员身份及可用权益。并清晰展示于租借界面。</w:t>
      </w:r>
    </w:p>
    <w:p w14:paraId="6ADC7C90">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宋体"/>
          <w:color w:val="000000"/>
          <w:sz w:val="21"/>
          <w:szCs w:val="21"/>
          <w:lang w:val="en-US" w:eastAsia="zh-CN"/>
        </w:rPr>
        <w:t>②</w:t>
      </w:r>
      <w:r>
        <w:rPr>
          <w:rFonts w:hint="eastAsia" w:ascii="宋体" w:hAnsi="宋体" w:eastAsia="宋体" w:cs="Times New Roman"/>
          <w:color w:val="000000"/>
          <w:sz w:val="21"/>
          <w:szCs w:val="21"/>
          <w:highlight w:val="none"/>
          <w:lang w:val="en-US" w:eastAsia="zh-CN"/>
        </w:rPr>
        <w:t>意向承租方系统须支持接收并执行来自“杭州地铁荟”的业务指令，实现“充电宝权益券（通过杭州地铁荟积分兑换或发放）”使用功能。</w:t>
      </w:r>
    </w:p>
    <w:p w14:paraId="11D734E2">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宋体"/>
          <w:color w:val="000000"/>
          <w:sz w:val="21"/>
          <w:szCs w:val="21"/>
          <w:lang w:val="en-US" w:eastAsia="zh-CN"/>
        </w:rPr>
        <w:t>③</w:t>
      </w:r>
      <w:r>
        <w:rPr>
          <w:rFonts w:hint="eastAsia" w:ascii="宋体" w:hAnsi="宋体" w:eastAsia="宋体" w:cs="Times New Roman"/>
          <w:color w:val="000000"/>
          <w:sz w:val="21"/>
          <w:szCs w:val="21"/>
          <w:highlight w:val="none"/>
          <w:lang w:val="en-US" w:eastAsia="zh-CN"/>
        </w:rPr>
        <w:t>意向承租方必须提供权限，供出租方可实时查询后台管理系统。按需查看订单数据、会员权益发放与核销明细、杭州地铁荟积分消耗记录等。</w:t>
      </w:r>
    </w:p>
    <w:p w14:paraId="415D3570">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④</w:t>
      </w:r>
      <w:r>
        <w:rPr>
          <w:rFonts w:hint="eastAsia" w:ascii="宋体" w:hAnsi="宋体" w:eastAsia="宋体" w:cs="Times New Roman"/>
          <w:color w:val="000000"/>
          <w:sz w:val="21"/>
          <w:szCs w:val="21"/>
          <w:highlight w:val="none"/>
          <w:lang w:val="en-US" w:eastAsia="zh-CN"/>
        </w:rPr>
        <w:t>引流需求：打通双方订单体系，实现流量统一归集。业务目标：用户通过扫杭州地铁荟小程序专属二维码（充电宝设备二维码）→进入充电宝租借页面→完成租借→订单完成→展示杭州地铁荟运营卡片/弹窗→用户点击→跳转指定小程序页面→继续使用出行或生活服务。租借充电宝，租借订单、积分兑换充电时长等相关订单信息，统一展示在杭州地铁荟小程序订单列表内，支持用户在小程序端完成对应租借操作，实现杭州地铁荟小程序与充电宝服务流量、使用链路一体化。技术需求：实现两类平台订单数据同步、前端统一展示与交互操作。</w:t>
      </w:r>
    </w:p>
    <w:p w14:paraId="4A7B90DE">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宋体"/>
          <w:color w:val="000000"/>
          <w:sz w:val="21"/>
          <w:szCs w:val="21"/>
          <w:lang w:val="en-US" w:eastAsia="zh-CN"/>
        </w:rPr>
        <w:t>⑤</w:t>
      </w:r>
      <w:r>
        <w:rPr>
          <w:rFonts w:hint="eastAsia" w:ascii="宋体" w:hAnsi="宋体" w:eastAsia="宋体" w:cs="Times New Roman"/>
          <w:color w:val="000000"/>
          <w:sz w:val="21"/>
          <w:szCs w:val="21"/>
          <w:highlight w:val="none"/>
          <w:lang w:val="en-US" w:eastAsia="zh-CN"/>
        </w:rPr>
        <w:t>积分兑换需求：扩充杭州地铁荟平台积分消耗场景，上线充电时长积分兑换权益。业务目标：拓展现有积分商城使用场景，新增充电时长类权益兑换品类；会员可在杭州地铁荟积分商城或会员权益专区，消耗指定积分兑换对应时长的免费充电券，兑换完成后可前往充电宝平台核销使用。技术需求：打通积分平台与充电宝平台的数据接口，由充电宝平台配套开发积分兑换权益页面，保障权益券互通、正常核销使用。</w:t>
      </w:r>
    </w:p>
    <w:p w14:paraId="56AB37E0">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宋体"/>
          <w:color w:val="000000"/>
          <w:sz w:val="21"/>
          <w:szCs w:val="21"/>
          <w:lang w:val="en-US" w:eastAsia="zh-CN"/>
        </w:rPr>
        <w:t>⑥</w:t>
      </w:r>
      <w:r>
        <w:rPr>
          <w:rFonts w:hint="eastAsia" w:ascii="宋体" w:hAnsi="宋体" w:eastAsia="宋体" w:cs="Times New Roman"/>
          <w:color w:val="000000"/>
          <w:sz w:val="21"/>
          <w:szCs w:val="21"/>
          <w:highlight w:val="none"/>
          <w:lang w:val="en-US" w:eastAsia="zh-CN"/>
        </w:rPr>
        <w:t>在租赁同期内，承租方负责向出租方每个合同经营年度提供12000小时的充电宝免费充电时长权益（权益有效期与当个合同经营年度时长一致），供出租方用于项目推广等营销、宣传活动使用。承租方应确保出租方在每个合同经营年度的首月即可使用前述权益，该等权益不设置使用门槛、单次使用数量等限制条件。每年免费充电时长权益消耗完毕后，出租方仍有相关需求的，超出部分由双方另行协商处理。</w:t>
      </w:r>
    </w:p>
    <w:p w14:paraId="59AD9224">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val="en-US" w:eastAsia="zh-CN"/>
        </w:rPr>
        <w:t>为满足前述业务的上线、使用、对接、核销等功能，如因此产生开发服务费等相关费用由承租方承担。</w:t>
      </w:r>
    </w:p>
    <w:p w14:paraId="229474F8">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val="en-US" w:eastAsia="zh-CN"/>
        </w:rPr>
        <w:t>合同首年期满后，出租方有权根据上述要求，考核承租方配合情况，若无法达到要求，出租方有权在书面通知后解除租赁合同并收回点位经营权，并按相应合同条款处理。</w:t>
      </w:r>
    </w:p>
    <w:p w14:paraId="5E466594">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lang w:eastAsia="zh-CN"/>
        </w:rPr>
      </w:pPr>
      <w:r>
        <w:rPr>
          <w:rFonts w:hint="eastAsia" w:ascii="宋体" w:hAnsi="宋体" w:eastAsia="宋体"/>
          <w:color w:val="000000"/>
          <w:sz w:val="21"/>
          <w:szCs w:val="21"/>
          <w:lang w:val="en-US" w:eastAsia="zh-CN"/>
        </w:rPr>
        <w:t>5、</w:t>
      </w:r>
      <w:r>
        <w:rPr>
          <w:rFonts w:hint="eastAsia" w:ascii="宋体" w:hAnsi="宋体" w:cs="Times New Roman"/>
          <w:color w:val="000000"/>
          <w:sz w:val="21"/>
          <w:szCs w:val="21"/>
          <w:lang w:eastAsia="zh-CN"/>
        </w:rPr>
        <w:t>承租方</w:t>
      </w:r>
      <w:r>
        <w:rPr>
          <w:rFonts w:hint="eastAsia" w:ascii="宋体" w:hAnsi="宋体" w:eastAsia="宋体" w:cs="Times New Roman"/>
          <w:color w:val="000000"/>
          <w:sz w:val="21"/>
          <w:szCs w:val="21"/>
        </w:rPr>
        <w:t>知悉并承诺：</w:t>
      </w:r>
      <w:r>
        <w:rPr>
          <w:rFonts w:hint="eastAsia" w:ascii="宋体" w:hAnsi="宋体" w:eastAsia="宋体" w:cs="Times New Roman"/>
          <w:color w:val="000000"/>
          <w:sz w:val="21"/>
          <w:szCs w:val="21"/>
          <w:highlight w:val="none"/>
          <w:lang w:val="en-US" w:eastAsia="zh-CN"/>
        </w:rPr>
        <w:t>意向承租方（及母公司、全资子公司、控股公司或其他关联企业）近二年（2025年、2026年）未与出租方或出租方关联企业存在包括诉讼、仲裁和调解在内的争议，且截至信息披露截止日未拖欠出租方或出租方关联企业款项。</w:t>
      </w:r>
    </w:p>
    <w:p w14:paraId="5748356B">
      <w:pPr>
        <w:ind w:firstLine="420" w:firstLineChars="200"/>
        <w:rPr>
          <w:rFonts w:hint="eastAsia" w:ascii="宋体" w:hAnsi="宋体"/>
          <w:color w:val="000000"/>
          <w:szCs w:val="21"/>
        </w:rPr>
      </w:pPr>
      <w:r>
        <w:rPr>
          <w:rFonts w:hint="eastAsia" w:ascii="宋体" w:hAnsi="宋体"/>
          <w:color w:val="000000"/>
          <w:sz w:val="21"/>
          <w:szCs w:val="21"/>
          <w:lang w:val="en-US" w:eastAsia="zh-CN"/>
        </w:rPr>
        <w:t>6</w:t>
      </w:r>
      <w:r>
        <w:rPr>
          <w:rFonts w:hint="eastAsia" w:ascii="宋体" w:hAnsi="宋体" w:eastAsia="宋体"/>
          <w:color w:val="000000"/>
          <w:sz w:val="21"/>
          <w:szCs w:val="21"/>
          <w:lang w:val="en-US" w:eastAsia="zh-CN"/>
        </w:rPr>
        <w:t>、</w:t>
      </w:r>
      <w:r>
        <w:rPr>
          <w:rFonts w:hint="eastAsia" w:ascii="宋体" w:hAnsi="宋体" w:cs="Times New Roman"/>
          <w:color w:val="000000"/>
          <w:sz w:val="21"/>
          <w:szCs w:val="21"/>
          <w:lang w:eastAsia="zh-CN"/>
        </w:rPr>
        <w:t>承租方</w:t>
      </w:r>
      <w:r>
        <w:rPr>
          <w:rFonts w:hint="eastAsia" w:ascii="宋体" w:hAnsi="宋体" w:eastAsia="宋体" w:cs="Times New Roman"/>
          <w:color w:val="000000"/>
          <w:sz w:val="21"/>
          <w:szCs w:val="21"/>
        </w:rPr>
        <w:t>知悉并承诺：</w:t>
      </w:r>
      <w:r>
        <w:rPr>
          <w:rFonts w:hint="eastAsia" w:ascii="宋体" w:hAnsi="宋体" w:eastAsia="宋体" w:cs="Times New Roman"/>
          <w:color w:val="000000"/>
          <w:sz w:val="21"/>
          <w:szCs w:val="21"/>
          <w:highlight w:val="none"/>
          <w:lang w:val="en-US" w:eastAsia="zh-CN"/>
        </w:rPr>
        <w:t>共享充电宝设备的经营必须严格遵守杭州地铁运营管理的相关制度，确保经营过程中不对杭州地铁的运营安全、运营秩序、运营环境产生任何的影响。</w:t>
      </w:r>
    </w:p>
    <w:p w14:paraId="36F2F02D">
      <w:pPr>
        <w:ind w:firstLine="420" w:firstLineChars="200"/>
        <w:rPr>
          <w:rFonts w:hint="eastAsia" w:ascii="宋体" w:hAnsi="宋体" w:eastAsia="宋体" w:cs="Times New Roman"/>
          <w:color w:val="000000"/>
          <w:sz w:val="21"/>
          <w:szCs w:val="21"/>
        </w:rPr>
      </w:pPr>
      <w:r>
        <w:rPr>
          <w:rFonts w:hint="eastAsia" w:ascii="宋体" w:hAnsi="宋体" w:cs="Times New Roman"/>
          <w:color w:val="000000"/>
          <w:sz w:val="21"/>
          <w:szCs w:val="21"/>
          <w:lang w:val="en-US" w:eastAsia="zh-CN"/>
        </w:rPr>
        <w:t>7</w:t>
      </w:r>
      <w:r>
        <w:rPr>
          <w:rFonts w:hint="eastAsia" w:ascii="宋体" w:hAnsi="宋体" w:eastAsia="宋体" w:cs="Times New Roman"/>
          <w:color w:val="000000"/>
          <w:sz w:val="21"/>
          <w:szCs w:val="21"/>
          <w:lang w:val="en-US" w:eastAsia="zh-CN"/>
        </w:rPr>
        <w:t>、</w:t>
      </w:r>
      <w:r>
        <w:rPr>
          <w:rFonts w:hint="eastAsia" w:ascii="宋体" w:hAnsi="宋体" w:eastAsia="宋体" w:cs="Times New Roman"/>
          <w:color w:val="000000"/>
          <w:sz w:val="21"/>
          <w:szCs w:val="21"/>
        </w:rPr>
        <w:t>同意杭交所经</w:t>
      </w:r>
      <w:r>
        <w:rPr>
          <w:rFonts w:hint="eastAsia" w:ascii="宋体" w:hAnsi="宋体" w:cs="Times New Roman"/>
          <w:color w:val="000000"/>
          <w:sz w:val="21"/>
          <w:szCs w:val="21"/>
          <w:lang w:eastAsia="zh-CN"/>
        </w:rPr>
        <w:t>转让方</w:t>
      </w:r>
      <w:r>
        <w:rPr>
          <w:rFonts w:hint="eastAsia" w:ascii="宋体" w:hAnsi="宋体" w:eastAsia="宋体" w:cs="Times New Roman"/>
          <w:color w:val="000000"/>
          <w:sz w:val="21"/>
          <w:szCs w:val="21"/>
        </w:rPr>
        <w:t>申请之日起10个工作日内将</w:t>
      </w:r>
      <w:r>
        <w:rPr>
          <w:rFonts w:hint="eastAsia" w:ascii="宋体" w:hAnsi="宋体" w:cs="Times New Roman"/>
          <w:color w:val="000000"/>
          <w:sz w:val="21"/>
          <w:szCs w:val="21"/>
          <w:lang w:eastAsia="zh-CN"/>
        </w:rPr>
        <w:t>承租方</w:t>
      </w:r>
      <w:r>
        <w:rPr>
          <w:rFonts w:hint="eastAsia" w:ascii="宋体" w:hAnsi="宋体" w:eastAsia="宋体" w:cs="Times New Roman"/>
          <w:color w:val="000000"/>
          <w:sz w:val="21"/>
          <w:szCs w:val="21"/>
        </w:rPr>
        <w:t>已交纳的履约保证金、首期租金全部划转至</w:t>
      </w:r>
      <w:r>
        <w:rPr>
          <w:rFonts w:hint="eastAsia" w:ascii="宋体" w:hAnsi="宋体" w:cs="Times New Roman"/>
          <w:color w:val="000000"/>
          <w:sz w:val="21"/>
          <w:szCs w:val="21"/>
          <w:lang w:eastAsia="zh-CN"/>
        </w:rPr>
        <w:t>转让方</w:t>
      </w:r>
      <w:r>
        <w:rPr>
          <w:rFonts w:hint="eastAsia" w:ascii="宋体" w:hAnsi="宋体" w:eastAsia="宋体" w:cs="Times New Roman"/>
          <w:color w:val="000000"/>
          <w:sz w:val="21"/>
          <w:szCs w:val="21"/>
        </w:rPr>
        <w:t>指定账户。</w:t>
      </w:r>
    </w:p>
    <w:p w14:paraId="35E217FE">
      <w:pPr>
        <w:ind w:firstLine="420" w:firstLineChars="200"/>
        <w:rPr>
          <w:rFonts w:hint="eastAsia" w:ascii="宋体" w:hAnsi="宋体" w:eastAsia="宋体" w:cs="Times New Roman"/>
          <w:color w:val="000000"/>
          <w:sz w:val="21"/>
          <w:szCs w:val="21"/>
          <w:highlight w:val="none"/>
          <w:lang w:val="en-US" w:eastAsia="zh-CN"/>
        </w:rPr>
      </w:pPr>
      <w:r>
        <w:rPr>
          <w:rFonts w:hint="eastAsia" w:ascii="宋体" w:hAnsi="宋体"/>
          <w:color w:val="000000"/>
          <w:sz w:val="21"/>
          <w:szCs w:val="21"/>
          <w:lang w:val="en-US" w:eastAsia="zh-CN"/>
        </w:rPr>
        <w:t>8</w:t>
      </w:r>
      <w:r>
        <w:rPr>
          <w:rFonts w:hint="eastAsia" w:ascii="宋体" w:hAnsi="宋体" w:eastAsia="宋体"/>
          <w:color w:val="000000"/>
          <w:sz w:val="21"/>
          <w:szCs w:val="21"/>
          <w:lang w:val="en-US" w:eastAsia="zh-CN"/>
        </w:rPr>
        <w:t>、</w:t>
      </w:r>
      <w:r>
        <w:rPr>
          <w:rFonts w:hint="eastAsia" w:ascii="宋体" w:hAnsi="宋体" w:cs="Times New Roman"/>
          <w:color w:val="000000"/>
          <w:sz w:val="21"/>
          <w:szCs w:val="21"/>
          <w:lang w:eastAsia="zh-CN"/>
        </w:rPr>
        <w:t>承租方</w:t>
      </w:r>
      <w:r>
        <w:rPr>
          <w:rFonts w:hint="eastAsia" w:ascii="宋体" w:hAnsi="宋体" w:eastAsia="宋体" w:cs="Times New Roman"/>
          <w:color w:val="000000"/>
          <w:sz w:val="21"/>
          <w:szCs w:val="21"/>
        </w:rPr>
        <w:t>知悉并承诺：</w:t>
      </w:r>
      <w:r>
        <w:rPr>
          <w:rFonts w:hint="eastAsia" w:ascii="宋体" w:hAnsi="宋体" w:eastAsia="宋体" w:cs="Times New Roman"/>
          <w:color w:val="000000"/>
          <w:sz w:val="21"/>
          <w:szCs w:val="21"/>
          <w:highlight w:val="none"/>
          <w:lang w:val="en-US" w:eastAsia="zh-CN"/>
        </w:rPr>
        <w:t>承租方自行负责取得开展共享充电宝设备经营所需的一切资质或批准，并满足法律法规要求的相关资质或批准所需要的条件，共享充电宝需放置在符合要求消防保护柜内，同时位置旁需配备水基灭火器。</w:t>
      </w:r>
    </w:p>
    <w:p w14:paraId="6A2E1B19">
      <w:pPr>
        <w:ind w:firstLine="420" w:firstLineChars="200"/>
        <w:rPr>
          <w:rFonts w:hint="eastAsia" w:ascii="宋体" w:hAnsi="宋体" w:eastAsia="宋体" w:cs="Times New Roman"/>
          <w:color w:val="000000"/>
          <w:sz w:val="21"/>
          <w:szCs w:val="21"/>
          <w:highlight w:val="none"/>
          <w:lang w:val="en-US" w:eastAsia="zh-CN"/>
        </w:rPr>
      </w:pPr>
      <w:r>
        <w:rPr>
          <w:rFonts w:hint="eastAsia" w:ascii="宋体" w:hAnsi="宋体"/>
          <w:color w:val="000000"/>
          <w:sz w:val="21"/>
          <w:szCs w:val="21"/>
          <w:lang w:val="en-US" w:eastAsia="zh-CN"/>
        </w:rPr>
        <w:t>9</w:t>
      </w:r>
      <w:r>
        <w:rPr>
          <w:rFonts w:hint="eastAsia" w:ascii="宋体" w:hAnsi="宋体" w:eastAsia="宋体"/>
          <w:color w:val="000000"/>
          <w:sz w:val="21"/>
          <w:szCs w:val="21"/>
          <w:lang w:val="en-US" w:eastAsia="zh-CN"/>
        </w:rPr>
        <w:t>、</w:t>
      </w:r>
      <w:r>
        <w:rPr>
          <w:rFonts w:hint="eastAsia" w:ascii="宋体" w:hAnsi="宋体" w:cs="Times New Roman"/>
          <w:color w:val="000000"/>
          <w:sz w:val="21"/>
          <w:szCs w:val="21"/>
          <w:lang w:eastAsia="zh-CN"/>
        </w:rPr>
        <w:t>承租方</w:t>
      </w:r>
      <w:r>
        <w:rPr>
          <w:rFonts w:hint="eastAsia" w:ascii="宋体" w:hAnsi="宋体" w:eastAsia="宋体" w:cs="Times New Roman"/>
          <w:color w:val="000000"/>
          <w:sz w:val="21"/>
          <w:szCs w:val="21"/>
        </w:rPr>
        <w:t>知悉并承诺：</w:t>
      </w:r>
      <w:r>
        <w:rPr>
          <w:rFonts w:hint="eastAsia" w:ascii="宋体" w:hAnsi="宋体" w:eastAsia="宋体" w:cs="Times New Roman"/>
          <w:color w:val="000000"/>
          <w:sz w:val="21"/>
          <w:szCs w:val="21"/>
          <w:highlight w:val="none"/>
          <w:lang w:val="en-US" w:eastAsia="zh-CN"/>
        </w:rPr>
        <w:t>共享充电宝设备具体放置位置，出租方根据地铁场地实际情况进行调整，承租方无异议。</w:t>
      </w:r>
    </w:p>
    <w:p w14:paraId="1F422366">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val="en-US" w:eastAsia="zh-CN"/>
        </w:rPr>
        <w:t>承租方须在合同签订后设立专门的杭州地铁共享充电宝运营团队，并将团队成员清单提交出租方（包含成员姓名、岗位职责、联系方式等），后期运营过程中如有更换团队成员，需在3个工作日内重新提交清单；</w:t>
      </w:r>
    </w:p>
    <w:p w14:paraId="2AA4D983">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firstLine="420" w:firstLineChars="200"/>
        <w:jc w:val="left"/>
        <w:textAlignment w:val="auto"/>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Cs w:val="21"/>
          <w:lang w:val="en-US" w:eastAsia="zh-CN"/>
        </w:rPr>
        <w:t>10、</w:t>
      </w:r>
      <w:r>
        <w:rPr>
          <w:rFonts w:hint="eastAsia" w:ascii="宋体" w:hAnsi="宋体" w:eastAsia="宋体" w:cs="Times New Roman"/>
          <w:color w:val="000000"/>
          <w:sz w:val="21"/>
          <w:szCs w:val="21"/>
          <w:highlight w:val="none"/>
          <w:lang w:val="en-US" w:eastAsia="zh-CN"/>
        </w:rPr>
        <w:t>意向承租方知悉并承诺：承租方须在合同签订后与出租方的“杭州地铁荟”运营团队完成工作对接，并在合同签订后6个月内完成业务互通的要求。</w:t>
      </w:r>
    </w:p>
    <w:p w14:paraId="2CFB3007">
      <w:pPr>
        <w:ind w:firstLine="420" w:firstLineChars="200"/>
        <w:rPr>
          <w:rFonts w:hint="eastAsia" w:ascii="宋体" w:hAnsi="宋体" w:eastAsia="宋体" w:cs="Times New Roman"/>
          <w:color w:val="000000"/>
          <w:sz w:val="21"/>
          <w:szCs w:val="21"/>
          <w:highlight w:val="none"/>
          <w:lang w:val="en-US" w:eastAsia="zh-CN"/>
        </w:rPr>
      </w:pPr>
      <w:r>
        <w:rPr>
          <w:rFonts w:hint="eastAsia" w:ascii="宋体" w:hAnsi="宋体" w:eastAsia="宋体" w:cs="Times New Roman"/>
          <w:color w:val="000000"/>
          <w:szCs w:val="21"/>
          <w:lang w:val="en-US" w:eastAsia="zh-CN"/>
        </w:rPr>
        <w:t>11、</w:t>
      </w:r>
      <w:r>
        <w:rPr>
          <w:rFonts w:hint="eastAsia" w:ascii="宋体" w:hAnsi="宋体" w:eastAsia="宋体" w:cs="Times New Roman"/>
          <w:color w:val="000000"/>
          <w:sz w:val="21"/>
          <w:szCs w:val="21"/>
          <w:highlight w:val="none"/>
          <w:lang w:val="en-US" w:eastAsia="zh-CN"/>
        </w:rPr>
        <w:t>意向承租方知悉并承诺：共享充电宝项目收费标准不超过4元/半小时，日封顶为40元（自租借开始起24个小时）。在合同约定的租赁期限内，如需调整共享充电宝项目收费标准须事先取得出租方同意后方可调整。</w:t>
      </w:r>
    </w:p>
    <w:p w14:paraId="3F0498F7">
      <w:pPr>
        <w:ind w:firstLine="420" w:firstLineChars="200"/>
        <w:rPr>
          <w:rFonts w:hint="eastAsia" w:ascii="宋体" w:hAnsi="宋体"/>
          <w:color w:val="000000"/>
          <w:szCs w:val="21"/>
        </w:rPr>
      </w:pPr>
      <w:r>
        <w:rPr>
          <w:rFonts w:hint="eastAsia" w:ascii="宋体" w:hAnsi="宋体"/>
          <w:color w:val="000000"/>
          <w:szCs w:val="21"/>
          <w:lang w:val="en-US" w:eastAsia="zh-CN"/>
        </w:rPr>
        <w:t>12、</w:t>
      </w:r>
      <w:r>
        <w:rPr>
          <w:rFonts w:hint="eastAsia" w:ascii="宋体" w:hAnsi="宋体"/>
          <w:color w:val="000000"/>
          <w:szCs w:val="21"/>
        </w:rPr>
        <w:t>意向承租方知悉并承诺：已充分了解</w:t>
      </w:r>
      <w:r>
        <w:rPr>
          <w:rFonts w:hint="eastAsia" w:ascii="宋体" w:hAnsi="宋体"/>
          <w:color w:val="000000"/>
          <w:szCs w:val="21"/>
          <w:lang w:eastAsia="zh-CN"/>
        </w:rPr>
        <w:t>《杭州地铁共享充电宝点位经营权租赁经营合同》</w:t>
      </w:r>
      <w:r>
        <w:rPr>
          <w:rFonts w:hint="eastAsia" w:ascii="宋体" w:hAnsi="宋体"/>
          <w:color w:val="000000"/>
          <w:szCs w:val="21"/>
        </w:rPr>
        <w:t>（样本）内容。</w:t>
      </w:r>
    </w:p>
    <w:p w14:paraId="5FF1D9B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13、</w:t>
      </w:r>
      <w:r>
        <w:rPr>
          <w:rFonts w:hint="eastAsia" w:asciiTheme="minorEastAsia" w:hAnsiTheme="minorEastAsia" w:eastAsiaTheme="minorEastAsia" w:cstheme="minorEastAsia"/>
          <w:sz w:val="21"/>
          <w:szCs w:val="21"/>
          <w:highlight w:val="none"/>
        </w:rPr>
        <w:t>若我方成为</w:t>
      </w:r>
      <w:r>
        <w:rPr>
          <w:rFonts w:hint="eastAsia" w:asciiTheme="minorEastAsia" w:hAnsiTheme="minorEastAsia" w:eastAsiaTheme="minorEastAsia" w:cstheme="minorEastAsia"/>
          <w:sz w:val="21"/>
          <w:szCs w:val="21"/>
          <w:highlight w:val="none"/>
          <w:lang w:eastAsia="zh-CN"/>
        </w:rPr>
        <w:t>承租方</w:t>
      </w:r>
      <w:r>
        <w:rPr>
          <w:rFonts w:hint="eastAsia" w:asciiTheme="minorEastAsia" w:hAnsiTheme="minorEastAsia" w:eastAsiaTheme="minorEastAsia" w:cstheme="minorEastAsia"/>
          <w:sz w:val="21"/>
          <w:szCs w:val="21"/>
          <w:highlight w:val="none"/>
        </w:rPr>
        <w:t>，我方已知悉并</w:t>
      </w:r>
      <w:r>
        <w:rPr>
          <w:rFonts w:hint="eastAsia" w:asciiTheme="minorEastAsia" w:hAnsiTheme="minorEastAsia" w:eastAsiaTheme="minorEastAsia" w:cstheme="minorEastAsia"/>
          <w:sz w:val="21"/>
          <w:szCs w:val="21"/>
          <w:highlight w:val="none"/>
          <w:lang w:val="en-US" w:eastAsia="zh-CN"/>
        </w:rPr>
        <w:t>承诺：</w:t>
      </w:r>
      <w:r>
        <w:rPr>
          <w:rFonts w:hint="eastAsia" w:ascii="宋体" w:hAnsi="宋体" w:eastAsia="宋体" w:cs="Times New Roman"/>
          <w:color w:val="000000"/>
          <w:sz w:val="21"/>
          <w:szCs w:val="21"/>
          <w:lang w:val="en-US" w:eastAsia="zh-CN"/>
        </w:rPr>
        <w:t>①</w:t>
      </w:r>
      <w:r>
        <w:rPr>
          <w:rFonts w:ascii="宋体" w:hAnsi="宋体"/>
          <w:color w:val="000000"/>
          <w:szCs w:val="21"/>
        </w:rPr>
        <w:t>本项目</w:t>
      </w:r>
      <w:r>
        <w:rPr>
          <w:rFonts w:hint="eastAsia" w:ascii="宋体" w:hAnsi="宋体"/>
          <w:color w:val="000000"/>
          <w:szCs w:val="21"/>
        </w:rPr>
        <w:t>交易服务费由</w:t>
      </w:r>
      <w:r>
        <w:rPr>
          <w:rFonts w:hint="eastAsia" w:ascii="宋体" w:hAnsi="宋体"/>
          <w:color w:val="000000"/>
          <w:szCs w:val="21"/>
          <w:lang w:eastAsia="zh-CN"/>
        </w:rPr>
        <w:t>承租方</w:t>
      </w:r>
      <w:r>
        <w:rPr>
          <w:rFonts w:hint="eastAsia" w:ascii="宋体" w:hAnsi="宋体"/>
          <w:color w:val="000000"/>
          <w:szCs w:val="21"/>
        </w:rPr>
        <w:t>承担，具体如下：征集到二位及以上意向</w:t>
      </w:r>
      <w:r>
        <w:rPr>
          <w:rFonts w:hint="eastAsia" w:ascii="宋体" w:hAnsi="宋体"/>
          <w:color w:val="000000"/>
          <w:szCs w:val="21"/>
          <w:lang w:eastAsia="zh-CN"/>
        </w:rPr>
        <w:t>承租方</w:t>
      </w:r>
      <w:r>
        <w:rPr>
          <w:rFonts w:hint="eastAsia" w:ascii="宋体" w:hAnsi="宋体"/>
          <w:color w:val="000000"/>
          <w:szCs w:val="21"/>
        </w:rPr>
        <w:t>报名并成交的标的，向</w:t>
      </w:r>
      <w:r>
        <w:rPr>
          <w:rFonts w:hint="eastAsia" w:ascii="宋体" w:hAnsi="宋体"/>
          <w:color w:val="000000"/>
          <w:szCs w:val="21"/>
          <w:lang w:eastAsia="zh-CN"/>
        </w:rPr>
        <w:t>承租方</w:t>
      </w:r>
      <w:r>
        <w:rPr>
          <w:rFonts w:hint="eastAsia" w:ascii="宋体" w:hAnsi="宋体"/>
          <w:color w:val="000000"/>
          <w:szCs w:val="21"/>
        </w:rPr>
        <w:t>收取首年含税租金0.6%计的交易服务费；对于只征集到一位意向承租人报名并成交的标的，按上述收费标准的80%计收取交易服务费。</w:t>
      </w:r>
      <w:r>
        <w:rPr>
          <w:rFonts w:hint="eastAsia" w:ascii="宋体" w:hAnsi="宋体" w:eastAsia="宋体" w:cs="Times New Roman"/>
          <w:color w:val="000000"/>
          <w:sz w:val="21"/>
          <w:szCs w:val="21"/>
          <w:lang w:val="en-US" w:eastAsia="zh-CN"/>
        </w:rPr>
        <w:t>②</w:t>
      </w:r>
      <w:r>
        <w:rPr>
          <w:rFonts w:hint="eastAsia" w:ascii="宋体" w:hAnsi="宋体" w:eastAsia="宋体" w:cs="Times New Roman"/>
          <w:color w:val="000000"/>
          <w:szCs w:val="21"/>
        </w:rPr>
        <w:t>单宗标的收取的交易服务费(含增值税)不得超过人民币肆拾万元整(含本数)；单宗标的交易服务费(含增值税)低于人民币参</w:t>
      </w:r>
      <w:bookmarkStart w:id="0" w:name="_GoBack"/>
      <w:bookmarkEnd w:id="0"/>
      <w:r>
        <w:rPr>
          <w:rFonts w:hint="eastAsia" w:ascii="宋体" w:hAnsi="宋体" w:eastAsia="宋体" w:cs="Times New Roman"/>
          <w:color w:val="000000"/>
          <w:szCs w:val="21"/>
        </w:rPr>
        <w:t>仟元整的按叁仟元整计收。</w:t>
      </w:r>
    </w:p>
    <w:p w14:paraId="473DB832">
      <w:pPr>
        <w:ind w:firstLine="420" w:firstLineChars="200"/>
        <w:rPr>
          <w:rFonts w:hint="eastAsia" w:ascii="宋体" w:hAnsi="宋体"/>
          <w:bCs/>
          <w:color w:val="000000"/>
          <w:szCs w:val="21"/>
        </w:rPr>
      </w:pPr>
      <w:r>
        <w:rPr>
          <w:rFonts w:hint="eastAsia" w:asciiTheme="minorEastAsia" w:hAnsiTheme="minorEastAsia" w:eastAsiaTheme="minorEastAsia" w:cstheme="minorEastAsia"/>
          <w:sz w:val="21"/>
          <w:szCs w:val="21"/>
          <w:highlight w:val="none"/>
          <w:lang w:val="en-US" w:eastAsia="zh-CN"/>
        </w:rPr>
        <w:t>14</w:t>
      </w:r>
      <w:r>
        <w:rPr>
          <w:rFonts w:hint="eastAsia" w:asciiTheme="minorEastAsia" w:hAnsiTheme="minorEastAsia" w:eastAsiaTheme="minorEastAsia" w:cstheme="minorEastAsia"/>
          <w:sz w:val="21"/>
          <w:szCs w:val="21"/>
          <w:highlight w:val="none"/>
        </w:rPr>
        <w:t>、</w:t>
      </w:r>
      <w:r>
        <w:rPr>
          <w:rFonts w:hint="eastAsia" w:ascii="宋体" w:hAnsi="宋体"/>
          <w:bCs/>
          <w:color w:val="000000"/>
          <w:szCs w:val="21"/>
        </w:rPr>
        <w:t>若非</w:t>
      </w:r>
      <w:r>
        <w:rPr>
          <w:rFonts w:hint="eastAsia" w:ascii="宋体" w:hAnsi="宋体"/>
          <w:bCs/>
          <w:color w:val="000000"/>
          <w:szCs w:val="21"/>
          <w:lang w:eastAsia="zh-CN"/>
        </w:rPr>
        <w:t>转让方</w:t>
      </w:r>
      <w:r>
        <w:rPr>
          <w:rFonts w:hint="eastAsia" w:ascii="宋体" w:hAnsi="宋体"/>
          <w:bCs/>
          <w:color w:val="000000"/>
          <w:szCs w:val="21"/>
        </w:rPr>
        <w:t>原因，出现以下任一情况时，意向</w:t>
      </w:r>
      <w:r>
        <w:rPr>
          <w:rFonts w:hint="eastAsia" w:ascii="宋体" w:hAnsi="宋体"/>
          <w:bCs/>
          <w:color w:val="000000"/>
          <w:szCs w:val="21"/>
          <w:lang w:eastAsia="zh-CN"/>
        </w:rPr>
        <w:t>承租方</w:t>
      </w:r>
      <w:r>
        <w:rPr>
          <w:rFonts w:hint="eastAsia" w:ascii="宋体" w:hAnsi="宋体"/>
          <w:bCs/>
          <w:color w:val="000000"/>
          <w:szCs w:val="21"/>
        </w:rPr>
        <w:t>交纳的保证金不予退还，先用于补偿杭交所、经纪会员的各项服务费，剩余部分作为对</w:t>
      </w:r>
      <w:r>
        <w:rPr>
          <w:rFonts w:hint="eastAsia" w:ascii="宋体" w:hAnsi="宋体"/>
          <w:bCs/>
          <w:color w:val="000000"/>
          <w:szCs w:val="21"/>
          <w:lang w:eastAsia="zh-CN"/>
        </w:rPr>
        <w:t>转让方</w:t>
      </w:r>
      <w:r>
        <w:rPr>
          <w:rFonts w:hint="eastAsia" w:ascii="宋体" w:hAnsi="宋体"/>
          <w:bCs/>
          <w:color w:val="000000"/>
          <w:szCs w:val="21"/>
        </w:rPr>
        <w:t>的经济补偿金，保证金不足以补偿的，相关方有权按照实际损失继续追诉：</w:t>
      </w:r>
    </w:p>
    <w:p w14:paraId="1012EACA">
      <w:pPr>
        <w:ind w:firstLine="420" w:firstLineChars="200"/>
        <w:rPr>
          <w:rFonts w:hint="eastAsia" w:ascii="宋体" w:hAnsi="宋体"/>
          <w:bCs/>
          <w:color w:val="000000"/>
          <w:szCs w:val="21"/>
        </w:rPr>
      </w:pPr>
      <w:r>
        <w:rPr>
          <w:rFonts w:hint="eastAsia" w:ascii="宋体" w:hAnsi="宋体"/>
          <w:bCs/>
          <w:color w:val="000000"/>
          <w:szCs w:val="21"/>
        </w:rPr>
        <w:t>（1）意向</w:t>
      </w:r>
      <w:r>
        <w:rPr>
          <w:rFonts w:hint="eastAsia" w:ascii="宋体" w:hAnsi="宋体"/>
          <w:bCs/>
          <w:color w:val="000000"/>
          <w:szCs w:val="21"/>
          <w:lang w:eastAsia="zh-CN"/>
        </w:rPr>
        <w:t>承租方</w:t>
      </w:r>
      <w:r>
        <w:rPr>
          <w:rFonts w:hint="eastAsia" w:ascii="宋体" w:hAnsi="宋体"/>
          <w:bCs/>
          <w:color w:val="000000"/>
          <w:szCs w:val="21"/>
        </w:rPr>
        <w:t>提交承租申请材料并交纳交易保证金后单方撤回承租申请的；</w:t>
      </w:r>
    </w:p>
    <w:p w14:paraId="06AAF264">
      <w:pPr>
        <w:ind w:firstLine="420" w:firstLineChars="200"/>
        <w:rPr>
          <w:rFonts w:hint="eastAsia" w:ascii="宋体" w:hAnsi="宋体"/>
          <w:bCs/>
          <w:color w:val="000000"/>
          <w:szCs w:val="21"/>
        </w:rPr>
      </w:pPr>
      <w:r>
        <w:rPr>
          <w:rFonts w:hint="eastAsia" w:ascii="宋体" w:hAnsi="宋体"/>
          <w:bCs/>
          <w:color w:val="000000"/>
          <w:szCs w:val="21"/>
        </w:rPr>
        <w:t>（2）产生符合条件的意向</w:t>
      </w:r>
      <w:r>
        <w:rPr>
          <w:rFonts w:hint="eastAsia" w:ascii="宋体" w:hAnsi="宋体"/>
          <w:bCs/>
          <w:color w:val="000000"/>
          <w:szCs w:val="21"/>
          <w:lang w:eastAsia="zh-CN"/>
        </w:rPr>
        <w:t>承租方</w:t>
      </w:r>
      <w:r>
        <w:rPr>
          <w:rFonts w:hint="eastAsia" w:ascii="宋体" w:hAnsi="宋体"/>
          <w:bCs/>
          <w:color w:val="000000"/>
          <w:szCs w:val="21"/>
        </w:rPr>
        <w:t>后，各意向</w:t>
      </w:r>
      <w:r>
        <w:rPr>
          <w:rFonts w:hint="eastAsia" w:ascii="宋体" w:hAnsi="宋体"/>
          <w:bCs/>
          <w:color w:val="000000"/>
          <w:szCs w:val="21"/>
          <w:lang w:eastAsia="zh-CN"/>
        </w:rPr>
        <w:t>承租方</w:t>
      </w:r>
      <w:r>
        <w:rPr>
          <w:rFonts w:hint="eastAsia" w:ascii="宋体" w:hAnsi="宋体"/>
          <w:bCs/>
          <w:color w:val="000000"/>
          <w:szCs w:val="21"/>
        </w:rPr>
        <w:t>在竞价期间均不报价的；</w:t>
      </w:r>
    </w:p>
    <w:p w14:paraId="0FC15FFD">
      <w:pPr>
        <w:ind w:firstLine="420" w:firstLineChars="200"/>
        <w:rPr>
          <w:rFonts w:hint="eastAsia" w:ascii="宋体" w:hAnsi="宋体"/>
          <w:bCs/>
          <w:color w:val="000000"/>
          <w:szCs w:val="21"/>
        </w:rPr>
      </w:pPr>
      <w:r>
        <w:rPr>
          <w:rFonts w:hint="eastAsia" w:ascii="宋体" w:hAnsi="宋体"/>
          <w:bCs/>
          <w:color w:val="000000"/>
          <w:szCs w:val="21"/>
        </w:rPr>
        <w:t>（3）在被确定为</w:t>
      </w:r>
      <w:r>
        <w:rPr>
          <w:rFonts w:hint="eastAsia" w:ascii="宋体" w:hAnsi="宋体"/>
          <w:bCs/>
          <w:color w:val="000000"/>
          <w:szCs w:val="21"/>
          <w:lang w:eastAsia="zh-CN"/>
        </w:rPr>
        <w:t>承租方</w:t>
      </w:r>
      <w:r>
        <w:rPr>
          <w:rFonts w:hint="eastAsia" w:ascii="宋体" w:hAnsi="宋体"/>
          <w:bCs/>
          <w:color w:val="000000"/>
          <w:szCs w:val="21"/>
        </w:rPr>
        <w:t>后未按约定签署</w:t>
      </w:r>
      <w:r>
        <w:rPr>
          <w:rFonts w:hint="eastAsia"/>
          <w:lang w:eastAsia="zh-CN"/>
        </w:rPr>
        <w:t>《杭州地铁1号线固定展览场地资源租赁合同》</w:t>
      </w:r>
      <w:r>
        <w:rPr>
          <w:rFonts w:hint="eastAsia" w:ascii="宋体" w:hAnsi="宋体"/>
          <w:bCs/>
          <w:color w:val="000000"/>
          <w:szCs w:val="21"/>
        </w:rPr>
        <w:t>及其附件的或未按约定支付交易服务费、履约保证金和首期经营权费的；</w:t>
      </w:r>
    </w:p>
    <w:p w14:paraId="72AE327C">
      <w:pPr>
        <w:ind w:firstLine="420" w:firstLineChars="200"/>
        <w:rPr>
          <w:rFonts w:hint="eastAsia" w:ascii="宋体" w:hAnsi="宋体"/>
          <w:bCs/>
          <w:color w:val="000000"/>
          <w:szCs w:val="21"/>
        </w:rPr>
      </w:pPr>
      <w:r>
        <w:rPr>
          <w:rFonts w:hint="eastAsia" w:ascii="宋体" w:hAnsi="宋体"/>
          <w:bCs/>
          <w:color w:val="000000"/>
          <w:szCs w:val="21"/>
        </w:rPr>
        <w:t>（4）意向</w:t>
      </w:r>
      <w:r>
        <w:rPr>
          <w:rFonts w:hint="eastAsia" w:ascii="宋体" w:hAnsi="宋体"/>
          <w:bCs/>
          <w:color w:val="000000"/>
          <w:szCs w:val="21"/>
          <w:lang w:eastAsia="zh-CN"/>
        </w:rPr>
        <w:t>承租方</w:t>
      </w:r>
      <w:r>
        <w:rPr>
          <w:rFonts w:hint="eastAsia" w:ascii="宋体" w:hAnsi="宋体"/>
          <w:bCs/>
          <w:color w:val="000000"/>
          <w:szCs w:val="21"/>
        </w:rPr>
        <w:t>未履行书面承诺事项的；</w:t>
      </w:r>
    </w:p>
    <w:p w14:paraId="6D3693C8">
      <w:pPr>
        <w:ind w:firstLine="420" w:firstLineChars="200"/>
        <w:rPr>
          <w:rFonts w:hint="eastAsia" w:ascii="宋体" w:hAnsi="宋体"/>
          <w:bCs/>
          <w:color w:val="000000"/>
          <w:szCs w:val="21"/>
        </w:rPr>
      </w:pPr>
      <w:r>
        <w:rPr>
          <w:rFonts w:hint="eastAsia" w:ascii="宋体" w:hAnsi="宋体"/>
          <w:bCs/>
          <w:color w:val="000000"/>
          <w:szCs w:val="21"/>
        </w:rPr>
        <w:t>（5）存在其他违反交易规则情形的。</w:t>
      </w:r>
    </w:p>
    <w:p w14:paraId="63CBA7EB">
      <w:pPr>
        <w:spacing w:line="240" w:lineRule="auto"/>
        <w:rPr>
          <w:rFonts w:asciiTheme="minorEastAsia" w:hAnsiTheme="minorEastAsia" w:eastAsiaTheme="minorEastAsia"/>
          <w:sz w:val="21"/>
          <w:szCs w:val="21"/>
          <w:highlight w:val="none"/>
        </w:rPr>
      </w:pPr>
    </w:p>
    <w:p w14:paraId="74C1F69A">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w:t>
      </w:r>
      <w:r>
        <w:rPr>
          <w:rFonts w:hint="eastAsia" w:asciiTheme="minorEastAsia" w:hAnsiTheme="minorEastAsia" w:eastAsiaTheme="minorEastAsia"/>
          <w:sz w:val="21"/>
          <w:szCs w:val="21"/>
          <w:highlight w:val="none"/>
          <w:lang w:eastAsia="zh-CN"/>
        </w:rPr>
        <w:t>承租方</w:t>
      </w:r>
      <w:r>
        <w:rPr>
          <w:rFonts w:hint="eastAsia" w:asciiTheme="minorEastAsia" w:hAnsiTheme="minorEastAsia" w:eastAsiaTheme="minorEastAsia"/>
          <w:sz w:val="21"/>
          <w:szCs w:val="21"/>
          <w:highlight w:val="none"/>
        </w:rPr>
        <w:t>（签章）：</w:t>
      </w:r>
    </w:p>
    <w:p w14:paraId="3C7A2957">
      <w:pPr>
        <w:spacing w:line="240" w:lineRule="auto"/>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A10EC"/>
    <w:multiLevelType w:val="multilevel"/>
    <w:tmpl w:val="587A10EC"/>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756"/>
        </w:tabs>
        <w:ind w:left="756" w:hanging="576"/>
      </w:pPr>
      <w:rPr>
        <w:rFonts w:hint="default"/>
        <w:color w:val="auto"/>
      </w:rPr>
    </w:lvl>
    <w:lvl w:ilvl="2" w:tentative="0">
      <w:start w:val="1"/>
      <w:numFmt w:val="decimal"/>
      <w:pStyle w:val="2"/>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262CE2"/>
    <w:rsid w:val="06A90044"/>
    <w:rsid w:val="0766770C"/>
    <w:rsid w:val="09B7306A"/>
    <w:rsid w:val="09E76B80"/>
    <w:rsid w:val="0B244B23"/>
    <w:rsid w:val="0BE65B30"/>
    <w:rsid w:val="0BFF1D04"/>
    <w:rsid w:val="0DF1051E"/>
    <w:rsid w:val="0E834802"/>
    <w:rsid w:val="0FAC0BFC"/>
    <w:rsid w:val="0FC71C56"/>
    <w:rsid w:val="0FE4035F"/>
    <w:rsid w:val="10A251E5"/>
    <w:rsid w:val="124C7A90"/>
    <w:rsid w:val="13A47F76"/>
    <w:rsid w:val="14C4427E"/>
    <w:rsid w:val="1510353C"/>
    <w:rsid w:val="15337A69"/>
    <w:rsid w:val="167D3903"/>
    <w:rsid w:val="173E5800"/>
    <w:rsid w:val="18467FFE"/>
    <w:rsid w:val="1AE9103A"/>
    <w:rsid w:val="1AE925D2"/>
    <w:rsid w:val="1BA11F39"/>
    <w:rsid w:val="1BF84071"/>
    <w:rsid w:val="1CBF22CE"/>
    <w:rsid w:val="1E116E93"/>
    <w:rsid w:val="1E2D5CBF"/>
    <w:rsid w:val="1F2A13DB"/>
    <w:rsid w:val="21CE6A63"/>
    <w:rsid w:val="2211247F"/>
    <w:rsid w:val="23116AFC"/>
    <w:rsid w:val="250F79C4"/>
    <w:rsid w:val="26275F05"/>
    <w:rsid w:val="264F4578"/>
    <w:rsid w:val="267218C9"/>
    <w:rsid w:val="27541626"/>
    <w:rsid w:val="27977B16"/>
    <w:rsid w:val="27AA290F"/>
    <w:rsid w:val="285D694C"/>
    <w:rsid w:val="298F1A25"/>
    <w:rsid w:val="29AD2E5E"/>
    <w:rsid w:val="2ABF17AD"/>
    <w:rsid w:val="2AC44BCE"/>
    <w:rsid w:val="2B885500"/>
    <w:rsid w:val="2C396FCF"/>
    <w:rsid w:val="2D677D69"/>
    <w:rsid w:val="2E574DDA"/>
    <w:rsid w:val="2E6D21A5"/>
    <w:rsid w:val="2EB0772C"/>
    <w:rsid w:val="2F1E77C3"/>
    <w:rsid w:val="2F4F78D8"/>
    <w:rsid w:val="2F682983"/>
    <w:rsid w:val="2FA5177C"/>
    <w:rsid w:val="3004010D"/>
    <w:rsid w:val="304D2D7D"/>
    <w:rsid w:val="30664B53"/>
    <w:rsid w:val="30FE4BEF"/>
    <w:rsid w:val="31B87656"/>
    <w:rsid w:val="3205455A"/>
    <w:rsid w:val="32350145"/>
    <w:rsid w:val="32FB67E2"/>
    <w:rsid w:val="34511A11"/>
    <w:rsid w:val="34DF6491"/>
    <w:rsid w:val="3720484D"/>
    <w:rsid w:val="385F4F8F"/>
    <w:rsid w:val="390D60C4"/>
    <w:rsid w:val="3B103714"/>
    <w:rsid w:val="3B6738AB"/>
    <w:rsid w:val="3E714D02"/>
    <w:rsid w:val="3FF21887"/>
    <w:rsid w:val="410C55F5"/>
    <w:rsid w:val="42690C15"/>
    <w:rsid w:val="434954AA"/>
    <w:rsid w:val="44531466"/>
    <w:rsid w:val="45962498"/>
    <w:rsid w:val="45D5187E"/>
    <w:rsid w:val="48AB4689"/>
    <w:rsid w:val="499E6D18"/>
    <w:rsid w:val="4AE11B9D"/>
    <w:rsid w:val="4AFE08AD"/>
    <w:rsid w:val="4B2015F5"/>
    <w:rsid w:val="4CD26E37"/>
    <w:rsid w:val="4E376061"/>
    <w:rsid w:val="502F6799"/>
    <w:rsid w:val="5187378F"/>
    <w:rsid w:val="530C093A"/>
    <w:rsid w:val="53241334"/>
    <w:rsid w:val="53E378B1"/>
    <w:rsid w:val="54624C3B"/>
    <w:rsid w:val="54D86F48"/>
    <w:rsid w:val="566C6246"/>
    <w:rsid w:val="574E5FE2"/>
    <w:rsid w:val="58B12DCB"/>
    <w:rsid w:val="5A7D1B2E"/>
    <w:rsid w:val="5B7B2FC6"/>
    <w:rsid w:val="5C5C5FCC"/>
    <w:rsid w:val="5F1477B7"/>
    <w:rsid w:val="5F571A46"/>
    <w:rsid w:val="5FCB5153"/>
    <w:rsid w:val="619D745F"/>
    <w:rsid w:val="61AF66CB"/>
    <w:rsid w:val="62141232"/>
    <w:rsid w:val="63467DB9"/>
    <w:rsid w:val="63C12C87"/>
    <w:rsid w:val="65FA377A"/>
    <w:rsid w:val="663421EF"/>
    <w:rsid w:val="665E6E47"/>
    <w:rsid w:val="68593726"/>
    <w:rsid w:val="68EE06C5"/>
    <w:rsid w:val="68F716F5"/>
    <w:rsid w:val="69060B68"/>
    <w:rsid w:val="69EF29A2"/>
    <w:rsid w:val="69F37131"/>
    <w:rsid w:val="6AF126F7"/>
    <w:rsid w:val="6B2777BD"/>
    <w:rsid w:val="6B7C4F72"/>
    <w:rsid w:val="6BBC636F"/>
    <w:rsid w:val="6EF12CC7"/>
    <w:rsid w:val="706A15A9"/>
    <w:rsid w:val="706F46D2"/>
    <w:rsid w:val="70B47A2A"/>
    <w:rsid w:val="714C77AC"/>
    <w:rsid w:val="71615C3D"/>
    <w:rsid w:val="716E4639"/>
    <w:rsid w:val="71A316B5"/>
    <w:rsid w:val="71D57417"/>
    <w:rsid w:val="725239F0"/>
    <w:rsid w:val="730B6342"/>
    <w:rsid w:val="740B5DE5"/>
    <w:rsid w:val="745D4756"/>
    <w:rsid w:val="74862807"/>
    <w:rsid w:val="748A1EE8"/>
    <w:rsid w:val="75207667"/>
    <w:rsid w:val="76DA15F9"/>
    <w:rsid w:val="78320567"/>
    <w:rsid w:val="787439E9"/>
    <w:rsid w:val="78A51424"/>
    <w:rsid w:val="795E558F"/>
    <w:rsid w:val="79BE53CA"/>
    <w:rsid w:val="7A8B2F08"/>
    <w:rsid w:val="7B597F4D"/>
    <w:rsid w:val="7C1028CE"/>
    <w:rsid w:val="7C5A0139"/>
    <w:rsid w:val="7D1019F9"/>
    <w:rsid w:val="7D202B8D"/>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numPr>
        <w:ilvl w:val="2"/>
        <w:numId w:val="1"/>
      </w:numPr>
      <w:spacing w:before="240" w:after="60"/>
      <w:outlineLvl w:val="2"/>
    </w:pPr>
    <w:rPr>
      <w:rFonts w:ascii="Arial" w:hAnsi="Arial" w:cs="Arial"/>
      <w:b/>
      <w:bCs/>
      <w:sz w:val="26"/>
      <w:szCs w:val="26"/>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footer"/>
    <w:basedOn w:val="1"/>
    <w:link w:val="10"/>
    <w:semiHidden/>
    <w:unhideWhenUsed/>
    <w:qFormat/>
    <w:uiPriority w:val="99"/>
    <w:pPr>
      <w:tabs>
        <w:tab w:val="center" w:pos="4153"/>
        <w:tab w:val="right" w:pos="8306"/>
      </w:tabs>
      <w:snapToGrid w:val="0"/>
      <w:jc w:val="left"/>
    </w:pPr>
    <w:rPr>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semiHidden/>
    <w:qFormat/>
    <w:uiPriority w:val="99"/>
    <w:rPr>
      <w:rFonts w:ascii="Times New Roman" w:hAnsi="Times New Roman" w:eastAsia="宋体" w:cs="Times New Roman"/>
      <w:sz w:val="18"/>
      <w:szCs w:val="18"/>
    </w:rPr>
  </w:style>
  <w:style w:type="character" w:customStyle="1" w:styleId="10">
    <w:name w:val="页脚 Char"/>
    <w:basedOn w:val="8"/>
    <w:link w:val="5"/>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TotalTime>
  <ScaleCrop>false</ScaleCrop>
  <LinksUpToDate>false</LinksUpToDate>
  <CharactersWithSpaces>1215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YJD</cp:lastModifiedBy>
  <dcterms:modified xsi:type="dcterms:W3CDTF">2026-09-23T07:18:50Z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B3AB801099B348EF99369285FDB2180F</vt:lpwstr>
  </property>
</Properties>
</file>