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8DC75">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195C8C77">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209016C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eastAsia="宋体" w:cs="Times New Roman"/>
          <w:b w:val="0"/>
          <w:bCs w:val="0"/>
          <w:sz w:val="21"/>
          <w:szCs w:val="21"/>
          <w:highlight w:val="none"/>
          <w:u w:val="single"/>
          <w:lang w:val="en-US" w:eastAsia="zh-CN"/>
        </w:rPr>
        <w:t>杭州市临平区南苑街道苏珹名府小区</w:t>
      </w:r>
      <w:r>
        <w:rPr>
          <w:rFonts w:hint="eastAsia" w:ascii="宋体" w:hAnsi="宋体" w:cs="Times New Roman"/>
          <w:b w:val="0"/>
          <w:bCs w:val="0"/>
          <w:sz w:val="21"/>
          <w:szCs w:val="21"/>
          <w:highlight w:val="none"/>
          <w:u w:val="single"/>
          <w:lang w:val="en-US" w:eastAsia="zh-CN"/>
        </w:rPr>
        <w:t>20</w:t>
      </w:r>
      <w:r>
        <w:rPr>
          <w:rFonts w:hint="eastAsia" w:ascii="宋体" w:hAnsi="宋体" w:eastAsia="宋体" w:cs="Times New Roman"/>
          <w:b w:val="0"/>
          <w:bCs w:val="0"/>
          <w:sz w:val="21"/>
          <w:szCs w:val="21"/>
          <w:highlight w:val="none"/>
          <w:u w:val="single"/>
          <w:lang w:val="en-US" w:eastAsia="zh-CN"/>
        </w:rPr>
        <w:t>个地下停车位使用权</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14:paraId="3E33B17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1、我方已认真阅读、知悉并自愿遵守杭州产权交易所《国有资产转让交易规则》、《在线报价实施办法》和《在线报价交易须知》等文件的规定，同意按照相关规定参加本项目竞价活动。</w:t>
      </w:r>
    </w:p>
    <w:p w14:paraId="6A6D8E94">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2、我方提交受让申请材料并且交纳交易保证金后，即视为已详细阅读并完全认可本项目所披露内容以及已完成对标的的现场踏勘，表明已完全了解并自愿接受标的的全部现状及瑕疵，并自愿承担一切交易风险。</w:t>
      </w:r>
    </w:p>
    <w:p w14:paraId="67F84F1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意向受让方须自行了解其对转让标的受让事项是否符合中国现行法律法规及标的所在地相关政策，须自行承担无法办理产权证等风险。</w:t>
      </w:r>
    </w:p>
    <w:p w14:paraId="4B20FA06">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意向受让方已知悉并承诺：小区地下室通道目前正在分批次进行修缮施工，全部修缮完成时间约为2027年初（具体以现场施工进度为准）。成交后，若标的地下车位所在区域正在维修或尚未维修的，受让方须配合小区物业通道施工停车安排，维修期间该成交车位不予使用，受让方对此不要求任何补偿。</w:t>
      </w:r>
    </w:p>
    <w:p w14:paraId="54839BC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意向受让方须书面承诺：</w:t>
      </w:r>
    </w:p>
    <w:p w14:paraId="129FE8F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同意在被确定为受让方之日起5个工作日内，携带受让申请材料原件到转让方指定现场签署《地下车位使用权转让协议》；并在《地下车位使用权转让协议》签署之日起5个工作日内向转让方指定结算账户一次付清交易价款等交易资金（《车位使用权转让协议》签署当日，其交纳的对应标的的交易保证金冲抵交易服务费，多余部分（若有）转为履约保证金，待杭交所收到转受双方已签订的《地下车位使用权转让协议》后，履约保证金再转为交易价款的一部分）。</w:t>
      </w:r>
    </w:p>
    <w:p w14:paraId="07E5127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（2）同意杭交所在经转让方申请之日起3个工作日内将受让方已交纳的履约保证金全部划转至转让方指定账户。</w:t>
      </w:r>
    </w:p>
    <w:p w14:paraId="19B139D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3）本次车位使用权转让，意向受让方应为苏珹名府小区业主，每套仅限成交1个车位，若因受让方自身不符合上述成交数量限制而产生的一切责任和后果由受让方自行承担。意向受让方已知悉本次交易过程中，杭交所对意向受让方报名资格审核通过的，不视为受让方已符合上述成交数量限制。若因受让方原因无法符合上述成交数量限制而造成所受让转让标的违约的，受让方相应经济损失均由其自行承担，与转让方及杭交所无关，受让方已付交易服务费和履约保证金不予返还，同时转让方有权单方解除《车位使用权转让协议》，由此产生的一切经济和法律责任，均由受让方承担。</w:t>
      </w:r>
    </w:p>
    <w:p w14:paraId="611A67E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本项目为专场项目，每套住宅仅可对应成交一个车位使用权，意向受让方须缴纳相应的交易保证金(一个标的人民币1万元)，意向受让方能成交的车位数量不得超过其在苏珹名府小区内所持有的房产数量。</w:t>
      </w:r>
    </w:p>
    <w:p w14:paraId="2E9E992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4）转让方在收到受让方全部交易价款后10个工作日内，受让方须持《地下车位使用权转让协议》及身份证明等资料至小区物业服务处备案及缴清各类费用取得物业服务部门的使用权相关手续，方可使用地下车位。</w:t>
      </w:r>
    </w:p>
    <w:p w14:paraId="5756A14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5）转让方将车位的使用权转让给受让方（无产权证），受让方知悉并接受地下车位按现有规定无法单独办理地下车位所有权证、土地使用证等证件的事实，放弃以无法办理权属登记为由的合同无效或解除等请求。</w:t>
      </w:r>
    </w:p>
    <w:p w14:paraId="75EED0E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（6）受让方使用地下车位时不得损坏工程结构和设备设施或改变其形状。如车位属于人防设施的，平时使用必须严格服从法律规定或政府要求，尤其是转入战时使用时，并不得以此向转让方提出任何补偿要求。</w:t>
      </w:r>
    </w:p>
    <w:p w14:paraId="289AC0E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7）该地下车位质量、位置、形状等状况按交付时的实地现状，受让方在使用期间应严格遵守国家法律、法规和其他规范性文件，除停放小型汽车之外不得另作他用。未征得物业书面同意，不得改变约定的使用用途或加装其他设施、构筑物。</w:t>
      </w:r>
    </w:p>
    <w:p w14:paraId="2D37C3A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（8）受让方了解并接受车位内或车位周边可能有集水坑、明沟、取水点、消火栓、防火门、采光井、集水井、拖把池、配电箱、防火卷帘或人防门，车位顶部可能有设备风管等设施。</w:t>
      </w:r>
    </w:p>
    <w:p w14:paraId="55CE640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9）购买车位的使用限制：受让方不能在该车位的四至范围空间内搭建临时或永久性的分隔物以及添加任何设施、附属物等。受让方使用该车位时应遵守国家、浙江省、杭州市已出台或将来出台的法规和政策。该车位只能作为停放与车位实际面积相匹配的乘用车使用，受让方不得改变用途。</w:t>
      </w:r>
    </w:p>
    <w:p w14:paraId="030F2CB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10）受让方在使用期间，应与其他使用人和睦相处，有权使用与该车位配套的公共道路，不得占用公共通道等空间和他人车位，同时必须遵守国家有关法律、法规等规范性文件和社会道德，遵守物业管理单位的规章制度，爱护公共设施和不妨害公共利益。受让方需按时缴纳各相关费用。</w:t>
      </w:r>
    </w:p>
    <w:p w14:paraId="632905E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（11）转让方或物业管理公司因检修、维护管道等公共利益需借用受让方车位时，受让方必须无条件配合。</w:t>
      </w:r>
    </w:p>
    <w:p w14:paraId="6B1EA36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12）在该车位使用期间，若受让方将所属车位出租他人或提供给他人使用的，该车位承租人/使用人应按《车位使用权转让协议》要求使用该车位，受让方需会同该车位承租人/使用人共同按照转让方委托的物业服务公司要求做好该车位使用和协助管理工作。受让方有义务确保承租人/使用人遵守有关车位使用及管理的规定，且受让方应就承租人/使用人违反《车位使用权转让协议》约定及车位使用管理规定的行为承担连带责任。</w:t>
      </w:r>
    </w:p>
    <w:p w14:paraId="3B0E419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13）受让方所购地下车位未计入公摊面积。如今后国家法律法规对地下车位的权属等另有规定或需补缴出让金、税费等，受让方须自行办理相关手续、承担相关费用，转让方协助，如今后政策法律对办理相关权证的规定非强制性的,由双方继续按《车位使用权转让协议》履行、不作变更。</w:t>
      </w:r>
    </w:p>
    <w:p w14:paraId="6BC630F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（14）交易过程中所产生、涉及的相关税费等所有费用，由转、受让双方按国家现行税收政策各自承担。另有约定的，从其约定。</w:t>
      </w:r>
    </w:p>
    <w:p w14:paraId="27852B8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（15）受让方所支付的使用权交易价款，仅系地下车位的使用权转让费用，不包含车位管理费、物业维修基金、设施维护费用、物业管理费、公共能源费等费用。</w:t>
      </w:r>
    </w:p>
    <w:p w14:paraId="158F146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16）自交付之日起，该地下车位由物业管理部门负责照明、日常清洁管理，相关费用另收。受让方使用该地下车位应遵守国家及本地相关使用之规定和物业管理之规定，合理使用、按时缴纳物业管理等费用，且不得妨碍他人。</w:t>
      </w:r>
    </w:p>
    <w:p w14:paraId="7F32B82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（17）受让方有下列情形之一的，应当无条件接受小区物业管理公司的处理（包括但不限于罚金）：</w:t>
      </w:r>
    </w:p>
    <w:p w14:paraId="4F8FA2C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a、利用该地下车位从事《车位使用权转让协议》约定功能以外的活动的，或受让方不按规定使用地下车位影响公共安全或其他人通行、停放车辆的。</w:t>
      </w:r>
    </w:p>
    <w:p w14:paraId="40F22FB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b、擅自改变地下车位的结构或损坏地下车位的设施，且经转让方书面通知后在限定期限内未恢复原状或修复的。</w:t>
      </w:r>
    </w:p>
    <w:p w14:paraId="2584CBE6">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（18）本次转让标的转让底价及成交价格为含增值税价格，转让完成后转让方将向受让方开具增值税普通发票，一切以现行税法及税收政策的具体规定为准。</w:t>
      </w:r>
    </w:p>
    <w:p w14:paraId="608F13F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（19）本项目标的交付以附件《地下车位使用权转让协议》文本相关内容为准。</w:t>
      </w:r>
    </w:p>
    <w:p w14:paraId="38C1C66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1"/>
          <w:szCs w:val="21"/>
          <w:highlight w:val="none"/>
        </w:rPr>
      </w:pPr>
      <w:r>
        <w:rPr>
          <w:rFonts w:hint="eastAsia" w:ascii="宋体" w:hAnsi="宋体"/>
          <w:sz w:val="21"/>
          <w:szCs w:val="21"/>
          <w:highlight w:val="none"/>
        </w:rPr>
        <w:t>（20）本项目受让方须交纳成交金额1.5%的交易服务费。</w:t>
      </w:r>
    </w:p>
    <w:p w14:paraId="6B9E842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、若非转让方原因，出现以下任一情况时，意向受让方交纳的保证金不予退还，先用于补偿杭交所的各项服务费，剩余部分作为对转让方的经济补偿金，保证金不足以补偿的，相关方有权按照实际损失继续追诉： </w:t>
      </w:r>
    </w:p>
    <w:p w14:paraId="2A11289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w:t>
      </w:r>
      <w:r>
        <w:rPr>
          <w:rFonts w:hint="eastAsia" w:asciiTheme="minorEastAsia" w:hAnsiTheme="minorEastAsia" w:eastAsiaTheme="minorEastAsia"/>
          <w:szCs w:val="21"/>
          <w:lang w:val="en-US" w:eastAsia="zh-CN"/>
        </w:rPr>
        <w:t>材料</w:t>
      </w:r>
      <w:r>
        <w:rPr>
          <w:rFonts w:hint="eastAsia" w:asciiTheme="minorEastAsia" w:hAnsiTheme="minorEastAsia" w:eastAsiaTheme="minorEastAsia"/>
          <w:szCs w:val="21"/>
        </w:rPr>
        <w:t>并交纳</w:t>
      </w:r>
      <w:bookmarkStart w:id="0" w:name="_GoBack"/>
      <w:bookmarkEnd w:id="0"/>
      <w:r>
        <w:rPr>
          <w:rFonts w:hint="eastAsia" w:asciiTheme="minorEastAsia" w:hAnsiTheme="minorEastAsia" w:eastAsiaTheme="minorEastAsia"/>
          <w:szCs w:val="21"/>
        </w:rPr>
        <w:t>交易保证金后单方撤回受让申请的；</w:t>
      </w:r>
    </w:p>
    <w:p w14:paraId="0DE59FB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）在被确定为受让方后未按约定签署《成交通知书》、《</w:t>
      </w:r>
      <w:r>
        <w:rPr>
          <w:rFonts w:hint="eastAsia" w:asciiTheme="minorEastAsia" w:hAnsiTheme="minorEastAsia" w:eastAsiaTheme="minorEastAsia"/>
          <w:szCs w:val="21"/>
          <w:lang w:eastAsia="zh-CN"/>
        </w:rPr>
        <w:t>地下车位使用权转让协议</w:t>
      </w:r>
      <w:r>
        <w:rPr>
          <w:rFonts w:hint="eastAsia" w:asciiTheme="minorEastAsia" w:hAnsiTheme="minorEastAsia" w:eastAsiaTheme="minorEastAsia"/>
          <w:szCs w:val="21"/>
        </w:rPr>
        <w:t>》的或未按约定支付交易价款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交易服务费</w:t>
      </w:r>
      <w:r>
        <w:rPr>
          <w:rFonts w:hint="eastAsia" w:asciiTheme="minorEastAsia" w:hAnsiTheme="minorEastAsia" w:eastAsiaTheme="minorEastAsia"/>
          <w:szCs w:val="21"/>
        </w:rPr>
        <w:t>的；</w:t>
      </w:r>
    </w:p>
    <w:p w14:paraId="640C395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）意向受让方未履行书面承诺事项的；</w:t>
      </w:r>
    </w:p>
    <w:p w14:paraId="205BFA3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）存在其他违反交易规则情形的。</w:t>
      </w:r>
    </w:p>
    <w:p w14:paraId="3337FF6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14:paraId="58C00623">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14:paraId="63098AF2">
      <w:pPr>
        <w:spacing w:line="360" w:lineRule="auto"/>
        <w:jc w:val="right"/>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2YzMDU2MmJkMTQzZmJlNTZmMjc5Zjg5MjhmYmY1NmE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80F87"/>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8C1220"/>
    <w:rsid w:val="0477349A"/>
    <w:rsid w:val="084A189C"/>
    <w:rsid w:val="090734DB"/>
    <w:rsid w:val="0AA15878"/>
    <w:rsid w:val="0B410959"/>
    <w:rsid w:val="0B504B98"/>
    <w:rsid w:val="0B762AB0"/>
    <w:rsid w:val="0CCA5698"/>
    <w:rsid w:val="0FB9C062"/>
    <w:rsid w:val="115D4A7C"/>
    <w:rsid w:val="128B258E"/>
    <w:rsid w:val="174410E5"/>
    <w:rsid w:val="1A4D26DA"/>
    <w:rsid w:val="1B566964"/>
    <w:rsid w:val="1B7A599E"/>
    <w:rsid w:val="1D4F5E54"/>
    <w:rsid w:val="207F34CB"/>
    <w:rsid w:val="21822310"/>
    <w:rsid w:val="21933ADA"/>
    <w:rsid w:val="21A71F2F"/>
    <w:rsid w:val="239F7BD0"/>
    <w:rsid w:val="240761F5"/>
    <w:rsid w:val="26851B4D"/>
    <w:rsid w:val="270824F3"/>
    <w:rsid w:val="29ED1324"/>
    <w:rsid w:val="2AE67843"/>
    <w:rsid w:val="2C444127"/>
    <w:rsid w:val="2D8A3818"/>
    <w:rsid w:val="2E3410B2"/>
    <w:rsid w:val="2E644E54"/>
    <w:rsid w:val="2FB2388F"/>
    <w:rsid w:val="30873003"/>
    <w:rsid w:val="30BD3CBE"/>
    <w:rsid w:val="31B170F0"/>
    <w:rsid w:val="3617545F"/>
    <w:rsid w:val="381E3097"/>
    <w:rsid w:val="38746213"/>
    <w:rsid w:val="3B6F46E6"/>
    <w:rsid w:val="3B8F1920"/>
    <w:rsid w:val="3D052D13"/>
    <w:rsid w:val="3DF85820"/>
    <w:rsid w:val="41D22CD5"/>
    <w:rsid w:val="422D6D69"/>
    <w:rsid w:val="42CE10C4"/>
    <w:rsid w:val="48BB3081"/>
    <w:rsid w:val="49172B06"/>
    <w:rsid w:val="4BC84FE3"/>
    <w:rsid w:val="4CB033F0"/>
    <w:rsid w:val="4CCD4623"/>
    <w:rsid w:val="4D51712F"/>
    <w:rsid w:val="51B53AC1"/>
    <w:rsid w:val="54A63A64"/>
    <w:rsid w:val="54B77EAC"/>
    <w:rsid w:val="54D27D92"/>
    <w:rsid w:val="552600D9"/>
    <w:rsid w:val="554C3BBA"/>
    <w:rsid w:val="56552410"/>
    <w:rsid w:val="590B26FF"/>
    <w:rsid w:val="59FF6386"/>
    <w:rsid w:val="5E7E524D"/>
    <w:rsid w:val="5ECA17D7"/>
    <w:rsid w:val="610339B9"/>
    <w:rsid w:val="64127BB2"/>
    <w:rsid w:val="646972B1"/>
    <w:rsid w:val="679D5710"/>
    <w:rsid w:val="67C02EA6"/>
    <w:rsid w:val="67E22141"/>
    <w:rsid w:val="68E624DC"/>
    <w:rsid w:val="6DE7418F"/>
    <w:rsid w:val="71DE7D41"/>
    <w:rsid w:val="77023747"/>
    <w:rsid w:val="77CC171C"/>
    <w:rsid w:val="7D3D2165"/>
    <w:rsid w:val="7DEA23A8"/>
    <w:rsid w:val="7E643B7C"/>
    <w:rsid w:val="7EF613D2"/>
    <w:rsid w:val="FBF63F2A"/>
    <w:rsid w:val="FFEA0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autoRedefine/>
    <w:semiHidden/>
    <w:qFormat/>
    <w:uiPriority w:val="99"/>
    <w:rPr>
      <w:rFonts w:ascii="Times New Roman" w:hAnsi="Times New Roman" w:eastAsia="宋体" w:cs="Times New Roman"/>
      <w:sz w:val="18"/>
      <w:szCs w:val="18"/>
    </w:rPr>
  </w:style>
  <w:style w:type="paragraph" w:styleId="9">
    <w:name w:val="List Paragraph"/>
    <w:basedOn w:val="1"/>
    <w:autoRedefine/>
    <w:qFormat/>
    <w:uiPriority w:val="34"/>
    <w:pPr>
      <w:ind w:firstLine="420" w:firstLineChars="200"/>
    </w:pPr>
  </w:style>
  <w:style w:type="paragraph" w:customStyle="1" w:styleId="10">
    <w:name w:val="HTML 预设格式 Char"/>
    <w:basedOn w:val="1"/>
    <w:autoRedefine/>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2571</Words>
  <Characters>2590</Characters>
  <Lines>8</Lines>
  <Paragraphs>2</Paragraphs>
  <TotalTime>0</TotalTime>
  <ScaleCrop>false</ScaleCrop>
  <LinksUpToDate>false</LinksUpToDate>
  <CharactersWithSpaces>2688</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2020-04-10T09:14:00Z</dcterms:created>
  <dc:creator>zxy</dc:creator>
  <cp:lastModifiedBy>宣佳妮</cp:lastModifiedBy>
  <dcterms:modified xsi:type="dcterms:W3CDTF">2026-09-20T11:47:08Z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C95FA49F693346189415CFEA577C3E4B</vt:lpwstr>
  </property>
</Properties>
</file>