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房屋租赁合同</w:t>
      </w:r>
    </w:p>
    <w:p>
      <w:pPr>
        <w:jc w:val="center"/>
        <w:rPr>
          <w:rFonts w:hint="eastAsia" w:ascii="楷体" w:hAnsi="楷体" w:eastAsia="楷体" w:cs="楷体"/>
          <w:sz w:val="24"/>
          <w:szCs w:val="24"/>
        </w:rPr>
      </w:pPr>
      <w:r>
        <w:rPr>
          <w:rFonts w:hint="eastAsia" w:ascii="楷体" w:hAnsi="楷体" w:eastAsia="楷体" w:cs="楷体"/>
          <w:sz w:val="24"/>
          <w:szCs w:val="24"/>
        </w:rPr>
        <w:t>（2025年7月修订版）</w:t>
      </w:r>
    </w:p>
    <w:p>
      <w:pPr>
        <w:rPr>
          <w:rFonts w:hint="eastAsia" w:ascii="楷体" w:hAnsi="楷体" w:eastAsia="楷体" w:cs="楷体"/>
          <w:b/>
          <w:bCs/>
          <w:sz w:val="28"/>
          <w:szCs w:val="28"/>
        </w:rPr>
      </w:pPr>
    </w:p>
    <w:p>
      <w:pPr>
        <w:rPr>
          <w:rFonts w:hint="eastAsia" w:ascii="楷体" w:hAnsi="楷体" w:eastAsia="楷体" w:cs="楷体"/>
          <w:sz w:val="28"/>
          <w:szCs w:val="28"/>
        </w:rPr>
      </w:pPr>
      <w:r>
        <w:rPr>
          <w:rFonts w:hint="eastAsia" w:ascii="楷体" w:hAnsi="楷体" w:eastAsia="楷体" w:cs="楷体"/>
          <w:b/>
          <w:bCs/>
          <w:sz w:val="28"/>
          <w:szCs w:val="28"/>
        </w:rPr>
        <w:t>甲方：</w:t>
      </w:r>
      <w:r>
        <w:rPr>
          <w:rFonts w:hint="eastAsia" w:ascii="楷体" w:hAnsi="楷体" w:eastAsia="楷体" w:cs="楷体"/>
          <w:b/>
          <w:bCs/>
          <w:sz w:val="28"/>
          <w:szCs w:val="28"/>
          <w:u w:val="single"/>
        </w:rPr>
        <w:t xml:space="preserve">杭州城投资产集团有限公司  </w:t>
      </w:r>
      <w:r>
        <w:rPr>
          <w:rFonts w:hint="eastAsia" w:ascii="楷体" w:hAnsi="楷体" w:eastAsia="楷体" w:cs="楷体"/>
          <w:b/>
          <w:bCs/>
          <w:sz w:val="28"/>
          <w:szCs w:val="28"/>
        </w:rPr>
        <w:t xml:space="preserve">     </w:t>
      </w:r>
      <w:r>
        <w:rPr>
          <w:rFonts w:hint="eastAsia" w:ascii="楷体" w:hAnsi="楷体" w:eastAsia="楷体" w:cs="楷体"/>
          <w:sz w:val="28"/>
          <w:szCs w:val="28"/>
        </w:rPr>
        <w:t xml:space="preserve">    </w:t>
      </w:r>
    </w:p>
    <w:p>
      <w:pPr>
        <w:rPr>
          <w:rFonts w:hint="eastAsia" w:ascii="楷体" w:hAnsi="楷体" w:eastAsia="楷体" w:cs="楷体"/>
          <w:sz w:val="28"/>
          <w:szCs w:val="28"/>
        </w:rPr>
      </w:pPr>
      <w:r>
        <w:rPr>
          <w:rFonts w:hint="eastAsia" w:ascii="楷体" w:hAnsi="楷体" w:eastAsia="楷体" w:cs="楷体"/>
          <w:sz w:val="28"/>
          <w:szCs w:val="28"/>
        </w:rPr>
        <w:t>联系人员：</w:t>
      </w:r>
      <w:r>
        <w:rPr>
          <w:rFonts w:ascii="楷体" w:hAnsi="楷体" w:eastAsia="楷体" w:cs="楷体"/>
          <w:sz w:val="28"/>
          <w:szCs w:val="28"/>
        </w:rPr>
        <w:t xml:space="preserve">              </w:t>
      </w:r>
      <w:r>
        <w:rPr>
          <w:rFonts w:hint="eastAsia" w:ascii="楷体" w:hAnsi="楷体" w:eastAsia="楷体" w:cs="楷体"/>
          <w:sz w:val="28"/>
          <w:szCs w:val="28"/>
        </w:rPr>
        <w:t>联系电话：</w:t>
      </w:r>
    </w:p>
    <w:p>
      <w:pPr>
        <w:rPr>
          <w:rFonts w:hint="eastAsia" w:ascii="楷体" w:hAnsi="楷体" w:eastAsia="楷体" w:cs="楷体"/>
          <w:sz w:val="28"/>
          <w:szCs w:val="28"/>
        </w:rPr>
      </w:pPr>
      <w:r>
        <w:rPr>
          <w:rFonts w:hint="eastAsia" w:ascii="楷体" w:hAnsi="楷体" w:eastAsia="楷体" w:cs="楷体"/>
          <w:sz w:val="28"/>
          <w:szCs w:val="28"/>
        </w:rPr>
        <w:t>联系地址：</w:t>
      </w:r>
      <w:r>
        <w:rPr>
          <w:rFonts w:hint="eastAsia" w:ascii="楷体" w:hAnsi="楷体" w:eastAsia="楷体" w:cs="楷体"/>
          <w:sz w:val="28"/>
          <w:szCs w:val="28"/>
          <w:u w:val="single"/>
        </w:rPr>
        <w:t>杭州市上城区婺江路319号蕙沣大厦17楼</w:t>
      </w:r>
    </w:p>
    <w:p>
      <w:pPr>
        <w:jc w:val="left"/>
        <w:rPr>
          <w:rFonts w:hint="eastAsia" w:ascii="楷体" w:hAnsi="楷体" w:eastAsia="楷体" w:cs="楷体"/>
          <w:b/>
          <w:bCs/>
          <w:sz w:val="28"/>
          <w:szCs w:val="28"/>
        </w:rPr>
      </w:pPr>
    </w:p>
    <w:p>
      <w:pPr>
        <w:jc w:val="left"/>
        <w:rPr>
          <w:rFonts w:hint="eastAsia" w:ascii="楷体" w:hAnsi="楷体" w:eastAsia="楷体" w:cs="楷体"/>
          <w:b/>
          <w:bCs/>
          <w:sz w:val="28"/>
          <w:szCs w:val="28"/>
          <w:u w:val="single"/>
        </w:rPr>
      </w:pPr>
      <w:r>
        <w:rPr>
          <w:rFonts w:hint="eastAsia" w:ascii="楷体" w:hAnsi="楷体" w:eastAsia="楷体" w:cs="楷体"/>
          <w:b/>
          <w:bCs/>
          <w:sz w:val="28"/>
          <w:szCs w:val="28"/>
        </w:rPr>
        <w:t>乙方：</w:t>
      </w:r>
      <w:r>
        <w:rPr>
          <w:rFonts w:hint="eastAsia" w:ascii="楷体" w:hAnsi="楷体" w:eastAsia="楷体" w:cs="楷体"/>
          <w:b/>
          <w:bCs/>
          <w:sz w:val="28"/>
          <w:szCs w:val="28"/>
          <w:u w:val="single"/>
        </w:rPr>
        <w:t xml:space="preserve">                          </w:t>
      </w:r>
    </w:p>
    <w:p>
      <w:pPr>
        <w:jc w:val="left"/>
        <w:rPr>
          <w:rFonts w:hint="eastAsia" w:ascii="楷体" w:hAnsi="楷体" w:cs="楷体"/>
          <w:b/>
          <w:bCs/>
          <w:sz w:val="28"/>
          <w:szCs w:val="28"/>
          <w:u w:val="single"/>
        </w:rPr>
      </w:pPr>
      <w:r>
        <w:rPr>
          <w:rFonts w:hint="eastAsia" w:ascii="楷体" w:hAnsi="楷体" w:eastAsia="楷体" w:cs="楷体"/>
          <w:b/>
          <w:bCs/>
          <w:sz w:val="28"/>
          <w:szCs w:val="28"/>
          <w:u w:val="single"/>
        </w:rPr>
        <w:t>证件号码（统一社会信用代码/身份证号）：</w:t>
      </w:r>
      <w:r>
        <w:rPr>
          <w:rFonts w:hint="eastAsia"/>
        </w:rPr>
        <w:t xml:space="preserve"> </w:t>
      </w:r>
      <w:r>
        <w:rPr>
          <w:rFonts w:hint="eastAsia"/>
          <w:u w:val="single"/>
        </w:rPr>
        <w:t xml:space="preserve">                   </w:t>
      </w:r>
    </w:p>
    <w:p>
      <w:pPr>
        <w:rPr>
          <w:rFonts w:hint="eastAsia" w:ascii="楷体" w:hAnsi="楷体" w:eastAsia="楷体" w:cs="楷体"/>
          <w:sz w:val="28"/>
          <w:szCs w:val="28"/>
        </w:rPr>
      </w:pPr>
      <w:r>
        <w:rPr>
          <w:rFonts w:hint="eastAsia" w:ascii="楷体" w:hAnsi="楷体" w:eastAsia="楷体" w:cs="楷体"/>
          <w:sz w:val="28"/>
          <w:szCs w:val="28"/>
        </w:rPr>
        <w:t>联系人员：</w:t>
      </w:r>
      <w:r>
        <w:rPr>
          <w:rFonts w:ascii="楷体" w:hAnsi="楷体" w:eastAsia="楷体" w:cs="楷体"/>
          <w:sz w:val="28"/>
          <w:szCs w:val="28"/>
          <w:u w:val="single"/>
        </w:rPr>
        <w:t xml:space="preserve">          </w:t>
      </w:r>
      <w:r>
        <w:rPr>
          <w:rFonts w:hint="eastAsia" w:ascii="楷体" w:hAnsi="楷体" w:eastAsia="楷体" w:cs="楷体"/>
          <w:sz w:val="28"/>
          <w:szCs w:val="28"/>
          <w:u w:val="single"/>
        </w:rPr>
        <w:t xml:space="preserve"> </w:t>
      </w:r>
      <w:r>
        <w:rPr>
          <w:rFonts w:hint="eastAsia" w:ascii="楷体" w:hAnsi="楷体" w:eastAsia="楷体" w:cs="楷体"/>
          <w:sz w:val="28"/>
          <w:szCs w:val="28"/>
        </w:rPr>
        <w:t xml:space="preserve">            联系电话： </w:t>
      </w:r>
      <w:r>
        <w:rPr>
          <w:rFonts w:hint="eastAsia" w:ascii="楷体" w:hAnsi="楷体" w:eastAsia="楷体" w:cs="楷体"/>
          <w:sz w:val="28"/>
          <w:szCs w:val="28"/>
          <w:u w:val="single"/>
        </w:rPr>
        <w:t xml:space="preserve">            </w:t>
      </w:r>
      <w:r>
        <w:rPr>
          <w:rFonts w:hint="eastAsia" w:ascii="楷体" w:hAnsi="楷体" w:eastAsia="楷体" w:cs="楷体"/>
          <w:sz w:val="28"/>
          <w:szCs w:val="28"/>
        </w:rPr>
        <w:t xml:space="preserve">   </w:t>
      </w:r>
    </w:p>
    <w:p>
      <w:pPr>
        <w:rPr>
          <w:rFonts w:hint="eastAsia" w:ascii="楷体" w:hAnsi="楷体" w:eastAsia="楷体" w:cs="楷体"/>
          <w:sz w:val="28"/>
          <w:szCs w:val="28"/>
        </w:rPr>
      </w:pPr>
      <w:r>
        <w:rPr>
          <w:rFonts w:hint="eastAsia" w:ascii="楷体" w:hAnsi="楷体" w:eastAsia="楷体" w:cs="楷体"/>
          <w:sz w:val="28"/>
          <w:szCs w:val="28"/>
        </w:rPr>
        <w:t>联系地址：</w:t>
      </w:r>
      <w:r>
        <w:rPr>
          <w:rFonts w:hint="eastAsia" w:ascii="楷体" w:hAnsi="楷体" w:eastAsia="楷体" w:cs="楷体"/>
          <w:sz w:val="28"/>
          <w:szCs w:val="28"/>
          <w:u w:val="single"/>
        </w:rPr>
        <w:t xml:space="preserve">                                  </w:t>
      </w:r>
    </w:p>
    <w:p>
      <w:pPr>
        <w:rPr>
          <w:rFonts w:hint="eastAsia" w:ascii="楷体" w:hAnsi="楷体" w:eastAsia="楷体" w:cs="楷体"/>
          <w:sz w:val="28"/>
          <w:szCs w:val="28"/>
        </w:rPr>
      </w:pPr>
    </w:p>
    <w:p>
      <w:pPr>
        <w:ind w:firstLine="560" w:firstLineChars="200"/>
        <w:rPr>
          <w:rFonts w:hint="eastAsia" w:ascii="楷体" w:hAnsi="楷体" w:eastAsia="楷体" w:cs="楷体"/>
          <w:sz w:val="28"/>
          <w:szCs w:val="28"/>
        </w:rPr>
      </w:pPr>
      <w:r>
        <w:rPr>
          <w:rFonts w:hint="eastAsia" w:ascii="楷体" w:hAnsi="楷体" w:eastAsia="楷体" w:cs="楷体"/>
          <w:sz w:val="28"/>
          <w:szCs w:val="28"/>
        </w:rPr>
        <w:t>甲、乙双方本着自愿、平等、公平和诚实信用原则，经过充分友好协商，就乙方租赁甲方物业，并将其用于约定用途的相关事宜，签订如下合同，以兹共同遵守。</w:t>
      </w:r>
    </w:p>
    <w:p>
      <w:pPr>
        <w:rPr>
          <w:rFonts w:hint="eastAsia" w:ascii="楷体" w:hAnsi="楷体" w:eastAsia="楷体" w:cs="楷体"/>
          <w:sz w:val="28"/>
          <w:szCs w:val="28"/>
        </w:rPr>
      </w:pPr>
    </w:p>
    <w:p>
      <w:pPr>
        <w:ind w:firstLine="560" w:firstLineChars="200"/>
        <w:rPr>
          <w:rFonts w:hint="eastAsia" w:ascii="楷体" w:hAnsi="楷体" w:eastAsia="楷体" w:cs="楷体"/>
          <w:sz w:val="24"/>
          <w:szCs w:val="24"/>
        </w:rPr>
      </w:pPr>
      <w:r>
        <w:rPr>
          <w:rFonts w:hint="eastAsia" w:ascii="楷体" w:hAnsi="楷体" w:eastAsia="楷体" w:cs="楷体"/>
          <w:sz w:val="28"/>
          <w:szCs w:val="28"/>
        </w:rPr>
        <w:t>第一条</w:t>
      </w:r>
      <w:r>
        <w:rPr>
          <w:rFonts w:hint="eastAsia" w:ascii="楷体" w:hAnsi="楷体" w:eastAsia="楷体" w:cs="楷体"/>
          <w:sz w:val="28"/>
          <w:szCs w:val="28"/>
        </w:rPr>
        <w:tab/>
      </w:r>
      <w:r>
        <w:rPr>
          <w:rFonts w:hint="eastAsia" w:ascii="楷体" w:hAnsi="楷体" w:eastAsia="楷体" w:cs="楷体"/>
          <w:sz w:val="28"/>
          <w:szCs w:val="28"/>
        </w:rPr>
        <w:t>出租物业与年限</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 xml:space="preserve">1.1 甲方将坐落 </w:t>
      </w:r>
      <w:r>
        <w:rPr>
          <w:rFonts w:hint="eastAsia" w:ascii="楷体" w:hAnsi="楷体" w:eastAsia="楷体" w:cs="楷体"/>
          <w:sz w:val="28"/>
          <w:szCs w:val="28"/>
          <w:u w:val="single"/>
        </w:rPr>
        <w:t xml:space="preserve">                        </w:t>
      </w:r>
      <w:r>
        <w:rPr>
          <w:rFonts w:hint="eastAsia" w:ascii="楷体" w:hAnsi="楷体" w:eastAsia="楷体" w:cs="楷体"/>
          <w:sz w:val="28"/>
          <w:szCs w:val="28"/>
        </w:rPr>
        <w:t xml:space="preserve"> （以下简称“该物业”）出租给乙方使用。该物业的建筑面积为</w:t>
      </w:r>
      <w:r>
        <w:rPr>
          <w:rFonts w:hint="eastAsia" w:ascii="楷体" w:hAnsi="楷体" w:eastAsia="楷体" w:cs="楷体"/>
          <w:sz w:val="28"/>
          <w:szCs w:val="28"/>
          <w:u w:val="single"/>
        </w:rPr>
        <w:t xml:space="preserve">      </w:t>
      </w:r>
      <w:r>
        <w:rPr>
          <w:rFonts w:hint="eastAsia" w:ascii="楷体" w:hAnsi="楷体" w:eastAsia="楷体" w:cs="楷体"/>
          <w:sz w:val="28"/>
          <w:szCs w:val="28"/>
        </w:rPr>
        <w:t>平方米。双方确认：本合同中填写的建筑面积为不动产登记证（或房产证）未取得前的实际面积，不动产登记证取得后如产权登记的建筑面积与实际建筑面积不一致的，仍以上述实际面积作为计租标准计算租金，租赁期限内不再调整。</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1.2 在租赁期限内，乙方有权根据其正常经营需要与该物业区域中的所有其他租户和自营业主共同、平等地使用区域内的公共部分，包括但不限于楼梯、通道等，但甲方及物业管理单位有权根据实际情况对公共部分的使用予以合理的临时限制。</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 xml:space="preserve">1.3 该物业的现有装修及设施情况即为交付状态，由双方在合同附件中加以列明；乙方已经实际察看了该物业的现有装修及设施情况，认可其满足约定的交付条件。乙方确认甲方的物业，可以满足乙方所需的经营条件和内容，乙方认可并认同交付。除双方另有约定，该附件将作为乙方在本合同终止后交还该物业时的验收依据。 </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1.4 本合同租赁期限为</w:t>
      </w:r>
      <w:r>
        <w:rPr>
          <w:rFonts w:hint="eastAsia" w:ascii="楷体" w:hAnsi="楷体" w:eastAsia="楷体" w:cs="楷体"/>
          <w:sz w:val="28"/>
          <w:szCs w:val="28"/>
          <w:u w:val="single"/>
        </w:rPr>
        <w:t xml:space="preserve">   </w:t>
      </w:r>
      <w:r>
        <w:rPr>
          <w:rFonts w:hint="eastAsia" w:ascii="楷体" w:hAnsi="楷体" w:eastAsia="楷体" w:cs="楷体"/>
          <w:sz w:val="28"/>
          <w:szCs w:val="28"/>
        </w:rPr>
        <w:t>年。租赁期自</w:t>
      </w:r>
      <w:r>
        <w:rPr>
          <w:rFonts w:hint="eastAsia" w:ascii="楷体" w:hAnsi="楷体" w:eastAsia="楷体" w:cs="楷体"/>
          <w:sz w:val="28"/>
          <w:szCs w:val="28"/>
          <w:u w:val="single"/>
        </w:rPr>
        <w:t>20   年  月  日</w:t>
      </w:r>
      <w:r>
        <w:rPr>
          <w:rFonts w:hint="eastAsia" w:ascii="楷体" w:hAnsi="楷体" w:eastAsia="楷体" w:cs="楷体"/>
          <w:sz w:val="28"/>
          <w:szCs w:val="28"/>
        </w:rPr>
        <w:t>起至</w:t>
      </w:r>
      <w:r>
        <w:rPr>
          <w:rFonts w:hint="eastAsia" w:ascii="楷体" w:hAnsi="楷体" w:eastAsia="楷体" w:cs="楷体"/>
          <w:sz w:val="28"/>
          <w:szCs w:val="28"/>
          <w:u w:val="single"/>
        </w:rPr>
        <w:t xml:space="preserve">     20 年   月    日</w:t>
      </w:r>
      <w:r>
        <w:rPr>
          <w:rFonts w:hint="eastAsia" w:ascii="楷体" w:hAnsi="楷体" w:eastAsia="楷体" w:cs="楷体"/>
          <w:sz w:val="28"/>
          <w:szCs w:val="28"/>
        </w:rPr>
        <w:t>止（装修期</w:t>
      </w:r>
      <w:r>
        <w:rPr>
          <w:rFonts w:hint="eastAsia" w:ascii="楷体" w:hAnsi="楷体" w:eastAsia="楷体" w:cs="楷体"/>
          <w:sz w:val="28"/>
          <w:szCs w:val="28"/>
          <w:u w:val="single"/>
        </w:rPr>
        <w:t xml:space="preserve"> / </w:t>
      </w:r>
      <w:r>
        <w:rPr>
          <w:rFonts w:hint="eastAsia" w:ascii="楷体" w:hAnsi="楷体" w:eastAsia="楷体" w:cs="楷体"/>
          <w:sz w:val="28"/>
          <w:szCs w:val="28"/>
        </w:rPr>
        <w:t>日止）。</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第二条</w:t>
      </w:r>
      <w:r>
        <w:rPr>
          <w:rFonts w:hint="eastAsia" w:ascii="楷体" w:hAnsi="楷体" w:eastAsia="楷体" w:cs="楷体"/>
          <w:sz w:val="28"/>
          <w:szCs w:val="28"/>
        </w:rPr>
        <w:tab/>
      </w:r>
      <w:r>
        <w:rPr>
          <w:rFonts w:hint="eastAsia" w:ascii="楷体" w:hAnsi="楷体" w:eastAsia="楷体" w:cs="楷体"/>
          <w:sz w:val="28"/>
          <w:szCs w:val="28"/>
        </w:rPr>
        <w:t>物业用途</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2.1 乙方明确：乙方已知悉并接受租赁房屋的规划用途、产权情况、性质等限制条件，在承租该物业前已对房屋质量、坐落、现状、面积、具体设计、具体位置及周围环境等进行了核对且予以确认，已提前对该物业现场踏勘后知悉该物业招商业态为除属地政府及相关职能部门明令禁止经营的业态外，其余业态需经行政审批通过后均可经营，其他经营项目以法律法规的规定以及有关部门审批同意为准。乙方在承租前，已自行了解和清楚该物业在租赁后可开展的商业业态并自愿承租该物业，不会再因该物业承租后业态开展提出异议。</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2.2乙方对其租赁用途所需的相关审批、备案、办证等手续以及法律、法规、规章、政策要求均已清楚了解，对相应风险已知晓并自愿承担。乙方在进行经营活动前，应自行办理并取得政府有关部门(工商、住建、消防、规划等)批准的执照、批复、许可等相关的各种审批、手续等，费用由乙方承担。甲方对乙方因使用租赁房屋合法经营任何有关业态办理政府有关部门(工商、住建、消防、规划等)批准的执照、批复、许可等相关的各种审批、手续不作任何保证、不承担任何责任，乙方承诺不因此提出索赔。 如因非乙方原因导致乙方无法实际经营，致使合同客观无法履行的，甲乙双方可协商一致，在互不追究违约责任的前提下终止或解除本协议。</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2.3 乙方将该物业用于本合同约定用途以外的其他用途的，须经甲方书面同意，并按有关法律、法规规定办理改变该物业用途的报批手续，甲方可根据实际情况提供必要的协助，但所需费用均由乙方承担。乙方不得以未取得行政审批手续为由，拒绝支付租金。</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2.4乙方应当在开业前取得营业执照及相关的各类经营许可证，由于乙方无证无照经营行为造成甲方或第三方损失的，乙方应全额赔偿。</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2.5 乙方必须依法合规从事经营活动，不得发生对甲方或该物业区域的商誉及名声有不良影响的行为，特别是不得涉及毒品及其他法律禁止经营的事项，不得利用该物业从事违法活动，不得携带或储存有危险、易燃、易爆、违禁等物品，否则视同违约，甲方有权立即解除本合同、收回该物业并没收乙方保证金，因此造成的一切损失由乙方负责。</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2.6 乙方在该物业内不得销售假冒伪劣商品、违禁物品、侵犯他人商标权或知识产权，或进行其他违反法律、法规及规定的行为。</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2.7乙方有义务负责保养该物业内部甲方提供给乙方的专用设施设备，且一切费用由乙方负责。因维修、保养、使用不当而造成设施损坏及其他损失的，由乙方负责赔偿。</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2.8本合同签订后，若乙方在该物业注册成立新公司的，乙方应保证该公司确认并遵守本合同的全部约定，本合同中确定的乙方权利义务在该公司成立后全部由该公司承担，甲方、乙方及乙方注册变更后的该公司三方应该及时签署相应的变更协议，乙方作为本合同的担保人，对该公司在本合同项下的全部责任和义务承担连带责任保证担保。担保范围为该公司因本合同项下产生的对甲方所有的义务与责任，包括但不限于租金、各种费用、违约金、赔偿金、甲方实现债权的费用（包括诉讼费用、律师费用、公派费用、执行费用等）、因该公司违约而给甲方造成的损失和其他所有应付费用。担保期限为自租赁合同签订之日起至租赁合同期满后</w:t>
      </w:r>
      <w:r>
        <w:rPr>
          <w:rFonts w:hint="eastAsia" w:ascii="楷体" w:hAnsi="楷体" w:eastAsia="楷体" w:cs="楷体"/>
          <w:sz w:val="28"/>
          <w:szCs w:val="28"/>
          <w:lang w:eastAsia="zh-Hans"/>
        </w:rPr>
        <w:t>三</w:t>
      </w:r>
      <w:r>
        <w:rPr>
          <w:rFonts w:hint="eastAsia" w:ascii="楷体" w:hAnsi="楷体" w:eastAsia="楷体" w:cs="楷体"/>
          <w:sz w:val="28"/>
          <w:szCs w:val="28"/>
        </w:rPr>
        <w:t>年止。如该公司拒绝确认的，则甲方有权立即解除本合同、收回房屋，并按乙方违约追究违约责任。</w:t>
      </w:r>
    </w:p>
    <w:p>
      <w:pPr>
        <w:rPr>
          <w:rFonts w:hint="eastAsia" w:ascii="楷体" w:hAnsi="楷体" w:eastAsia="楷体" w:cs="楷体"/>
          <w:sz w:val="28"/>
          <w:szCs w:val="28"/>
        </w:rPr>
      </w:pPr>
      <w:r>
        <w:rPr>
          <w:rFonts w:hint="eastAsia" w:ascii="楷体" w:hAnsi="楷体" w:eastAsia="楷体" w:cs="楷体"/>
          <w:sz w:val="28"/>
          <w:szCs w:val="28"/>
        </w:rPr>
        <w:t xml:space="preserve"> </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第三条    装修期</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3.1 乙方需于【 】年【 】月【 】日前完成装修。装修期内，该租赁物业有关水、电、燃气、电话、电视、网络、物业管理费等费用仍由乙方承担，乙方自行向甲方、物业公司或相关部门支付。</w:t>
      </w:r>
    </w:p>
    <w:p>
      <w:pPr>
        <w:ind w:left="279" w:leftChars="133" w:firstLine="280" w:firstLineChars="100"/>
        <w:rPr>
          <w:rFonts w:hint="eastAsia" w:ascii="楷体" w:hAnsi="楷体" w:eastAsia="楷体" w:cs="楷体"/>
          <w:sz w:val="28"/>
          <w:szCs w:val="28"/>
        </w:rPr>
      </w:pPr>
      <w:r>
        <w:rPr>
          <w:rFonts w:hint="eastAsia" w:ascii="楷体" w:hAnsi="楷体" w:eastAsia="楷体" w:cs="楷体"/>
          <w:sz w:val="28"/>
          <w:szCs w:val="28"/>
        </w:rPr>
        <w:t>3.2 装修期内，考虑到乙方装修期间对经营的影响，对</w:t>
      </w:r>
      <w:r>
        <w:rPr>
          <w:rFonts w:hint="eastAsia" w:ascii="楷体" w:hAnsi="楷体" w:eastAsia="楷体" w:cs="楷体"/>
          <w:sz w:val="28"/>
          <w:szCs w:val="28"/>
          <w:lang w:val="en-US" w:eastAsia="zh-CN"/>
        </w:rPr>
        <w:t>第一</w:t>
      </w:r>
      <w:bookmarkStart w:id="1" w:name="_GoBack"/>
      <w:bookmarkEnd w:id="1"/>
      <w:r>
        <w:rPr>
          <w:rFonts w:hint="eastAsia" w:ascii="楷体" w:hAnsi="楷体" w:eastAsia="楷体" w:cs="楷体"/>
          <w:sz w:val="28"/>
          <w:szCs w:val="28"/>
        </w:rPr>
        <w:t>期租金予以</w:t>
      </w:r>
      <w:r>
        <w:rPr>
          <w:rFonts w:hint="eastAsia" w:ascii="楷体" w:hAnsi="楷体" w:eastAsia="楷体" w:cs="楷体"/>
          <w:sz w:val="28"/>
          <w:szCs w:val="28"/>
          <w:u w:val="single"/>
        </w:rPr>
        <w:t xml:space="preserve">     </w:t>
      </w:r>
      <w:r>
        <w:rPr>
          <w:rFonts w:hint="eastAsia" w:ascii="楷体" w:hAnsi="楷体" w:eastAsia="楷体" w:cs="楷体"/>
          <w:sz w:val="28"/>
          <w:szCs w:val="28"/>
        </w:rPr>
        <w:t>元的减免优惠，但乙方对本合同及附件规定的其他义务均不免除。</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3.3 若因乙方违约或乙方原因导致本合同提前解除或者终止的，乙方应无条件补缴第</w:t>
      </w:r>
      <w:r>
        <w:rPr>
          <w:rFonts w:hint="eastAsia" w:ascii="楷体" w:hAnsi="楷体" w:eastAsia="楷体" w:cs="楷体"/>
          <w:sz w:val="28"/>
          <w:szCs w:val="28"/>
          <w:lang w:val="en-US" w:eastAsia="zh-CN"/>
        </w:rPr>
        <w:t>一</w:t>
      </w:r>
      <w:r>
        <w:rPr>
          <w:rFonts w:hint="eastAsia" w:ascii="楷体" w:hAnsi="楷体" w:eastAsia="楷体" w:cs="楷体"/>
          <w:sz w:val="28"/>
          <w:szCs w:val="28"/>
        </w:rPr>
        <w:t>期租金中予以减免优惠的金额</w:t>
      </w:r>
      <w:r>
        <w:rPr>
          <w:rFonts w:hint="eastAsia" w:ascii="楷体" w:hAnsi="楷体" w:eastAsia="楷体" w:cs="楷体"/>
          <w:sz w:val="28"/>
          <w:szCs w:val="28"/>
          <w:u w:val="single"/>
        </w:rPr>
        <w:t xml:space="preserve">    </w:t>
      </w:r>
      <w:r>
        <w:rPr>
          <w:rFonts w:hint="eastAsia" w:ascii="楷体" w:hAnsi="楷体" w:eastAsia="楷体" w:cs="楷体"/>
          <w:sz w:val="28"/>
          <w:szCs w:val="28"/>
        </w:rPr>
        <w:t>元。</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3.4乙方承诺：在承租期间自行承担房屋安全责任人和使用人责任，若乙方在装修过程中存在不安全的行为，造成甲方损失或行政处罚等相关损失的，甲方除有权直接从装修保证金中扣除外，还有权向乙方追偿一切损失（但不限于违约金、赔偿金、行政处罚金、甲方实现债权的包括诉讼费用、律师费用、公派费用、执行费用等全部费用）。装修期满，乙方装修完毕且经相关部门验收合格后，乙方正常开展经营活动的，甲方经结算后，可向乙方退还剩余的装修保证金。</w:t>
      </w:r>
    </w:p>
    <w:p>
      <w:pPr>
        <w:rPr>
          <w:rFonts w:hint="eastAsia" w:ascii="楷体" w:hAnsi="楷体" w:eastAsia="楷体" w:cs="楷体"/>
          <w:sz w:val="28"/>
          <w:szCs w:val="28"/>
        </w:rPr>
      </w:pPr>
    </w:p>
    <w:p>
      <w:pPr>
        <w:ind w:firstLine="560" w:firstLineChars="200"/>
        <w:rPr>
          <w:rFonts w:hint="eastAsia" w:ascii="楷体" w:hAnsi="楷体" w:eastAsia="楷体" w:cs="楷体"/>
          <w:sz w:val="28"/>
          <w:szCs w:val="28"/>
        </w:rPr>
      </w:pPr>
      <w:r>
        <w:rPr>
          <w:rFonts w:hint="eastAsia" w:ascii="楷体" w:hAnsi="楷体" w:eastAsia="楷体" w:cs="楷体"/>
          <w:sz w:val="28"/>
          <w:szCs w:val="28"/>
        </w:rPr>
        <w:t>第四条    租金、保证金及其他费用与支付方式</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4.1 租金</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4.1.1乙方承租物业含税首年租金单价为：</w:t>
      </w:r>
      <w:r>
        <w:rPr>
          <w:rFonts w:hint="eastAsia" w:ascii="楷体" w:hAnsi="楷体" w:eastAsia="楷体" w:cs="楷体"/>
          <w:sz w:val="28"/>
          <w:szCs w:val="28"/>
          <w:u w:val="single"/>
        </w:rPr>
        <w:t xml:space="preserve">     </w:t>
      </w:r>
      <w:r>
        <w:rPr>
          <w:rFonts w:hint="eastAsia" w:ascii="楷体" w:hAnsi="楷体" w:eastAsia="楷体" w:cs="楷体"/>
          <w:sz w:val="28"/>
          <w:szCs w:val="28"/>
        </w:rPr>
        <w:t>元/天</w:t>
      </w:r>
      <w:r>
        <w:rPr>
          <w:rFonts w:ascii="楷体" w:hAnsi="楷体" w:eastAsia="楷体" w:cs="楷体"/>
          <w:sz w:val="28"/>
          <w:szCs w:val="28"/>
        </w:rPr>
        <w:t>/</w:t>
      </w:r>
      <w:r>
        <w:rPr>
          <w:rFonts w:hint="eastAsia" w:ascii="楷体" w:hAnsi="楷体" w:eastAsia="楷体" w:cs="楷体"/>
          <w:sz w:val="28"/>
          <w:szCs w:val="28"/>
        </w:rPr>
        <w:t>平米，首年含税标准年租金为：</w:t>
      </w:r>
      <w:r>
        <w:rPr>
          <w:rFonts w:ascii="楷体" w:hAnsi="楷体" w:eastAsia="楷体" w:cs="楷体"/>
          <w:sz w:val="28"/>
          <w:szCs w:val="28"/>
          <w:u w:val="single"/>
        </w:rPr>
        <w:t xml:space="preserve"> </w:t>
      </w:r>
      <w:r>
        <w:rPr>
          <w:rFonts w:hint="eastAsia" w:ascii="楷体" w:hAnsi="楷体" w:eastAsia="楷体" w:cs="楷体"/>
          <w:sz w:val="28"/>
          <w:szCs w:val="28"/>
          <w:u w:val="single"/>
        </w:rPr>
        <w:t xml:space="preserve">    </w:t>
      </w:r>
      <w:r>
        <w:rPr>
          <w:rFonts w:ascii="楷体" w:hAnsi="楷体" w:eastAsia="楷体" w:cs="楷体"/>
          <w:sz w:val="28"/>
          <w:szCs w:val="28"/>
          <w:u w:val="single"/>
        </w:rPr>
        <w:t xml:space="preserve"> </w:t>
      </w:r>
      <w:r>
        <w:rPr>
          <w:rFonts w:hint="eastAsia" w:ascii="楷体" w:hAnsi="楷体" w:eastAsia="楷体" w:cs="楷体"/>
          <w:sz w:val="28"/>
          <w:szCs w:val="28"/>
        </w:rPr>
        <w:t>元，其中首年优惠后含税年租金为：</w:t>
      </w:r>
      <w:r>
        <w:rPr>
          <w:rFonts w:ascii="楷体" w:hAnsi="楷体" w:eastAsia="楷体" w:cs="楷体"/>
          <w:sz w:val="28"/>
          <w:szCs w:val="28"/>
          <w:u w:val="single"/>
        </w:rPr>
        <w:t xml:space="preserve"> </w:t>
      </w:r>
      <w:r>
        <w:rPr>
          <w:rFonts w:hint="eastAsia" w:ascii="楷体" w:hAnsi="楷体" w:eastAsia="楷体" w:cs="楷体"/>
          <w:sz w:val="28"/>
          <w:szCs w:val="28"/>
          <w:u w:val="single"/>
        </w:rPr>
        <w:t xml:space="preserve">  </w:t>
      </w:r>
      <w:r>
        <w:rPr>
          <w:rFonts w:ascii="楷体" w:hAnsi="楷体" w:eastAsia="楷体" w:cs="楷体"/>
          <w:sz w:val="28"/>
          <w:szCs w:val="28"/>
          <w:u w:val="single"/>
        </w:rPr>
        <w:t xml:space="preserve"> </w:t>
      </w:r>
      <w:r>
        <w:rPr>
          <w:rFonts w:hint="eastAsia" w:ascii="楷体" w:hAnsi="楷体" w:eastAsia="楷体" w:cs="楷体"/>
          <w:sz w:val="28"/>
          <w:szCs w:val="28"/>
        </w:rPr>
        <w:t>元。自租期开始之日起，租赁期内租金每</w:t>
      </w:r>
      <w:r>
        <w:rPr>
          <w:rFonts w:hint="eastAsia" w:ascii="楷体" w:hAnsi="楷体" w:eastAsia="楷体" w:cs="楷体"/>
          <w:sz w:val="28"/>
          <w:szCs w:val="28"/>
          <w:u w:val="single"/>
        </w:rPr>
        <w:t xml:space="preserve">     </w:t>
      </w:r>
      <w:r>
        <w:rPr>
          <w:rFonts w:hint="eastAsia" w:ascii="楷体" w:hAnsi="楷体" w:eastAsia="楷体" w:cs="楷体"/>
          <w:sz w:val="28"/>
          <w:szCs w:val="28"/>
        </w:rPr>
        <w:t>年递增</w:t>
      </w:r>
      <w:r>
        <w:rPr>
          <w:rFonts w:hint="eastAsia" w:ascii="楷体" w:hAnsi="楷体" w:eastAsia="楷体" w:cs="楷体"/>
          <w:sz w:val="28"/>
          <w:szCs w:val="28"/>
          <w:u w:val="single"/>
        </w:rPr>
        <w:t xml:space="preserve">     </w:t>
      </w:r>
      <w:r>
        <w:rPr>
          <w:rFonts w:hint="eastAsia" w:ascii="楷体" w:hAnsi="楷体" w:eastAsia="楷体" w:cs="楷体"/>
          <w:sz w:val="28"/>
          <w:szCs w:val="28"/>
        </w:rPr>
        <w:t>%，一直到租赁期限届满为止。乙方应按以下标准支付租金：</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5092"/>
        <w:gridCol w:w="21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34" w:type="dxa"/>
            <w:vAlign w:val="center"/>
          </w:tcPr>
          <w:p>
            <w:pPr>
              <w:jc w:val="center"/>
              <w:rPr>
                <w:rFonts w:hint="eastAsia" w:ascii="楷体" w:hAnsi="楷体" w:eastAsia="楷体" w:cs="楷体"/>
                <w:sz w:val="28"/>
                <w:szCs w:val="28"/>
              </w:rPr>
            </w:pPr>
            <w:r>
              <w:rPr>
                <w:rFonts w:hint="eastAsia" w:ascii="楷体" w:hAnsi="楷体" w:eastAsia="楷体" w:cs="楷体"/>
                <w:sz w:val="28"/>
                <w:szCs w:val="28"/>
              </w:rPr>
              <w:t>序号</w:t>
            </w:r>
          </w:p>
        </w:tc>
        <w:tc>
          <w:tcPr>
            <w:tcW w:w="5092" w:type="dxa"/>
            <w:vAlign w:val="center"/>
          </w:tcPr>
          <w:p>
            <w:pPr>
              <w:jc w:val="center"/>
              <w:rPr>
                <w:rFonts w:hint="eastAsia" w:ascii="楷体" w:hAnsi="楷体" w:eastAsia="楷体" w:cs="楷体"/>
                <w:sz w:val="28"/>
                <w:szCs w:val="28"/>
              </w:rPr>
            </w:pPr>
            <w:r>
              <w:rPr>
                <w:rFonts w:hint="eastAsia" w:ascii="楷体" w:hAnsi="楷体" w:eastAsia="楷体" w:cs="楷体"/>
                <w:sz w:val="28"/>
                <w:szCs w:val="28"/>
              </w:rPr>
              <w:t>起止日期</w:t>
            </w:r>
          </w:p>
        </w:tc>
        <w:tc>
          <w:tcPr>
            <w:tcW w:w="2111" w:type="dxa"/>
            <w:vAlign w:val="center"/>
          </w:tcPr>
          <w:p>
            <w:pPr>
              <w:jc w:val="center"/>
              <w:rPr>
                <w:rFonts w:hint="eastAsia" w:ascii="楷体" w:hAnsi="楷体" w:eastAsia="楷体" w:cs="楷体"/>
                <w:sz w:val="28"/>
                <w:szCs w:val="28"/>
              </w:rPr>
            </w:pPr>
            <w:r>
              <w:rPr>
                <w:rFonts w:hint="eastAsia" w:ascii="楷体" w:hAnsi="楷体" w:eastAsia="楷体" w:cs="楷体"/>
                <w:sz w:val="28"/>
                <w:szCs w:val="28"/>
              </w:rPr>
              <w:t>应付租金（元）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4" w:type="dxa"/>
            <w:vAlign w:val="center"/>
          </w:tcPr>
          <w:p>
            <w:pPr>
              <w:ind w:firstLine="358" w:firstLineChars="128"/>
              <w:jc w:val="center"/>
              <w:rPr>
                <w:rFonts w:hint="eastAsia" w:ascii="楷体" w:hAnsi="楷体" w:eastAsia="楷体" w:cs="楷体"/>
                <w:sz w:val="28"/>
                <w:szCs w:val="28"/>
              </w:rPr>
            </w:pPr>
            <w:r>
              <w:rPr>
                <w:rFonts w:hint="eastAsia" w:ascii="楷体" w:hAnsi="楷体" w:eastAsia="楷体" w:cs="楷体"/>
                <w:sz w:val="28"/>
                <w:szCs w:val="28"/>
              </w:rPr>
              <w:t>1</w:t>
            </w:r>
          </w:p>
        </w:tc>
        <w:tc>
          <w:tcPr>
            <w:tcW w:w="5092" w:type="dxa"/>
            <w:vAlign w:val="center"/>
          </w:tcPr>
          <w:p>
            <w:pPr>
              <w:ind w:firstLine="840" w:firstLineChars="300"/>
              <w:rPr>
                <w:rFonts w:hint="eastAsia" w:ascii="楷体" w:hAnsi="楷体" w:eastAsia="楷体" w:cs="楷体"/>
                <w:sz w:val="28"/>
                <w:szCs w:val="28"/>
              </w:rPr>
            </w:pPr>
            <w:r>
              <w:rPr>
                <w:rFonts w:hint="eastAsia" w:ascii="楷体" w:hAnsi="楷体" w:eastAsia="楷体" w:cs="楷体"/>
                <w:sz w:val="28"/>
                <w:szCs w:val="28"/>
              </w:rPr>
              <w:t>年  月  日至   年  月  日</w:t>
            </w:r>
          </w:p>
        </w:tc>
        <w:tc>
          <w:tcPr>
            <w:tcW w:w="2111" w:type="dxa"/>
            <w:vAlign w:val="center"/>
          </w:tcPr>
          <w:p>
            <w:pPr>
              <w:jc w:val="center"/>
              <w:rPr>
                <w:rFonts w:hint="eastAsia" w:ascii="楷体" w:hAnsi="楷体" w:eastAsia="楷体" w:cs="楷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4" w:type="dxa"/>
            <w:vAlign w:val="center"/>
          </w:tcPr>
          <w:p>
            <w:pPr>
              <w:ind w:firstLine="358" w:firstLineChars="128"/>
              <w:jc w:val="center"/>
              <w:rPr>
                <w:rFonts w:hint="eastAsia" w:ascii="楷体" w:hAnsi="楷体" w:eastAsia="楷体" w:cs="楷体"/>
                <w:sz w:val="28"/>
                <w:szCs w:val="28"/>
              </w:rPr>
            </w:pPr>
            <w:r>
              <w:rPr>
                <w:rFonts w:hint="eastAsia" w:ascii="楷体" w:hAnsi="楷体" w:eastAsia="楷体" w:cs="楷体"/>
                <w:sz w:val="28"/>
                <w:szCs w:val="28"/>
              </w:rPr>
              <w:t>2</w:t>
            </w:r>
          </w:p>
        </w:tc>
        <w:tc>
          <w:tcPr>
            <w:tcW w:w="5092" w:type="dxa"/>
            <w:vAlign w:val="center"/>
          </w:tcPr>
          <w:p>
            <w:pPr>
              <w:ind w:firstLine="840" w:firstLineChars="300"/>
              <w:rPr>
                <w:rFonts w:hint="eastAsia" w:ascii="楷体" w:hAnsi="楷体" w:eastAsia="楷体" w:cs="楷体"/>
                <w:sz w:val="28"/>
                <w:szCs w:val="28"/>
              </w:rPr>
            </w:pPr>
            <w:r>
              <w:rPr>
                <w:rFonts w:hint="eastAsia" w:ascii="楷体" w:hAnsi="楷体" w:eastAsia="楷体" w:cs="楷体"/>
                <w:sz w:val="28"/>
                <w:szCs w:val="28"/>
              </w:rPr>
              <w:t>年  月  日至   年  月  日</w:t>
            </w:r>
          </w:p>
        </w:tc>
        <w:tc>
          <w:tcPr>
            <w:tcW w:w="2111" w:type="dxa"/>
            <w:vAlign w:val="center"/>
          </w:tcPr>
          <w:p>
            <w:pPr>
              <w:jc w:val="center"/>
              <w:rPr>
                <w:rFonts w:hint="eastAsia" w:ascii="楷体" w:hAnsi="楷体" w:eastAsia="楷体" w:cs="楷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4" w:type="dxa"/>
            <w:vAlign w:val="center"/>
          </w:tcPr>
          <w:p>
            <w:pPr>
              <w:ind w:firstLine="358" w:firstLineChars="128"/>
              <w:jc w:val="center"/>
              <w:rPr>
                <w:rFonts w:hint="eastAsia" w:ascii="楷体" w:hAnsi="楷体" w:eastAsia="楷体" w:cs="楷体"/>
                <w:sz w:val="28"/>
                <w:szCs w:val="28"/>
              </w:rPr>
            </w:pPr>
            <w:r>
              <w:rPr>
                <w:rFonts w:hint="eastAsia" w:ascii="楷体" w:hAnsi="楷体" w:eastAsia="楷体" w:cs="楷体"/>
                <w:sz w:val="28"/>
                <w:szCs w:val="28"/>
              </w:rPr>
              <w:t>3</w:t>
            </w:r>
          </w:p>
        </w:tc>
        <w:tc>
          <w:tcPr>
            <w:tcW w:w="5092" w:type="dxa"/>
            <w:vAlign w:val="center"/>
          </w:tcPr>
          <w:p>
            <w:pPr>
              <w:ind w:firstLine="840" w:firstLineChars="300"/>
              <w:rPr>
                <w:rFonts w:hint="eastAsia" w:ascii="楷体" w:hAnsi="楷体" w:eastAsia="楷体" w:cs="楷体"/>
                <w:sz w:val="28"/>
                <w:szCs w:val="28"/>
              </w:rPr>
            </w:pPr>
            <w:r>
              <w:rPr>
                <w:rFonts w:hint="eastAsia" w:ascii="楷体" w:hAnsi="楷体" w:eastAsia="楷体" w:cs="楷体"/>
                <w:sz w:val="28"/>
                <w:szCs w:val="28"/>
              </w:rPr>
              <w:t>年  月  日至   年  月  日</w:t>
            </w:r>
          </w:p>
        </w:tc>
        <w:tc>
          <w:tcPr>
            <w:tcW w:w="2111" w:type="dxa"/>
            <w:vAlign w:val="center"/>
          </w:tcPr>
          <w:p>
            <w:pPr>
              <w:jc w:val="center"/>
              <w:rPr>
                <w:rFonts w:hint="eastAsia" w:ascii="楷体" w:hAnsi="楷体" w:eastAsia="楷体" w:cs="楷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4" w:type="dxa"/>
            <w:vAlign w:val="center"/>
          </w:tcPr>
          <w:p>
            <w:pPr>
              <w:ind w:firstLine="358" w:firstLineChars="128"/>
              <w:jc w:val="center"/>
              <w:rPr>
                <w:rFonts w:hint="eastAsia" w:ascii="楷体" w:hAnsi="楷体" w:eastAsia="楷体" w:cs="楷体"/>
                <w:sz w:val="28"/>
                <w:szCs w:val="28"/>
              </w:rPr>
            </w:pPr>
          </w:p>
        </w:tc>
        <w:tc>
          <w:tcPr>
            <w:tcW w:w="5092" w:type="dxa"/>
            <w:vAlign w:val="center"/>
          </w:tcPr>
          <w:p>
            <w:pPr>
              <w:ind w:firstLine="358" w:firstLineChars="128"/>
              <w:rPr>
                <w:rFonts w:hint="eastAsia" w:ascii="楷体" w:hAnsi="楷体" w:eastAsia="楷体" w:cs="楷体"/>
                <w:sz w:val="28"/>
                <w:szCs w:val="28"/>
              </w:rPr>
            </w:pPr>
          </w:p>
        </w:tc>
        <w:tc>
          <w:tcPr>
            <w:tcW w:w="2111" w:type="dxa"/>
            <w:vAlign w:val="center"/>
          </w:tcPr>
          <w:p>
            <w:pPr>
              <w:ind w:firstLine="358" w:firstLineChars="128"/>
              <w:jc w:val="center"/>
              <w:rPr>
                <w:rFonts w:hint="eastAsia" w:ascii="楷体" w:hAnsi="楷体" w:eastAsia="楷体" w:cs="楷体"/>
                <w:sz w:val="28"/>
                <w:szCs w:val="28"/>
              </w:rPr>
            </w:pPr>
          </w:p>
        </w:tc>
      </w:tr>
    </w:tbl>
    <w:p>
      <w:pPr>
        <w:ind w:firstLine="560" w:firstLineChars="200"/>
        <w:rPr>
          <w:rFonts w:hint="eastAsia" w:ascii="楷体" w:hAnsi="楷体" w:eastAsia="楷体" w:cs="楷体"/>
          <w:sz w:val="28"/>
          <w:szCs w:val="28"/>
        </w:rPr>
      </w:pPr>
      <w:r>
        <w:rPr>
          <w:rFonts w:hint="eastAsia" w:ascii="楷体" w:hAnsi="楷体" w:eastAsia="楷体" w:cs="楷体"/>
          <w:sz w:val="28"/>
          <w:szCs w:val="28"/>
        </w:rPr>
        <w:t>合同成交总价为：</w:t>
      </w:r>
      <w:r>
        <w:rPr>
          <w:rFonts w:ascii="楷体" w:hAnsi="楷体" w:eastAsia="楷体" w:cs="楷体"/>
          <w:sz w:val="28"/>
          <w:szCs w:val="28"/>
          <w:u w:val="single"/>
        </w:rPr>
        <w:t xml:space="preserve"> </w:t>
      </w:r>
      <w:r>
        <w:rPr>
          <w:rFonts w:hint="eastAsia" w:ascii="楷体" w:hAnsi="楷体" w:eastAsia="楷体" w:cs="楷体"/>
          <w:sz w:val="28"/>
          <w:szCs w:val="28"/>
          <w:u w:val="single"/>
        </w:rPr>
        <w:t xml:space="preserve">    </w:t>
      </w:r>
      <w:r>
        <w:rPr>
          <w:rFonts w:hint="eastAsia" w:ascii="楷体" w:hAnsi="楷体" w:eastAsia="楷体" w:cs="楷体"/>
          <w:sz w:val="28"/>
          <w:szCs w:val="28"/>
        </w:rPr>
        <w:t>（含税），其中不含税总价为：</w:t>
      </w:r>
      <w:r>
        <w:rPr>
          <w:rFonts w:hint="eastAsia" w:ascii="楷体" w:hAnsi="楷体" w:eastAsia="楷体" w:cs="楷体"/>
          <w:sz w:val="28"/>
          <w:szCs w:val="28"/>
          <w:u w:val="single"/>
        </w:rPr>
        <w:t xml:space="preserve">     </w:t>
      </w:r>
      <w:r>
        <w:rPr>
          <w:rFonts w:hint="eastAsia" w:ascii="楷体" w:hAnsi="楷体" w:eastAsia="楷体" w:cs="楷体"/>
          <w:sz w:val="28"/>
          <w:szCs w:val="28"/>
        </w:rPr>
        <w:t>元，增值税为：</w:t>
      </w:r>
      <w:r>
        <w:rPr>
          <w:rFonts w:ascii="楷体" w:hAnsi="楷体" w:eastAsia="楷体" w:cs="楷体"/>
          <w:sz w:val="28"/>
          <w:szCs w:val="28"/>
          <w:u w:val="single"/>
        </w:rPr>
        <w:t xml:space="preserve"> </w:t>
      </w:r>
      <w:r>
        <w:rPr>
          <w:rFonts w:hint="eastAsia" w:ascii="楷体" w:hAnsi="楷体" w:eastAsia="楷体" w:cs="楷体"/>
          <w:sz w:val="28"/>
          <w:szCs w:val="28"/>
          <w:u w:val="single"/>
        </w:rPr>
        <w:t xml:space="preserve">   </w:t>
      </w:r>
      <w:r>
        <w:rPr>
          <w:rFonts w:hint="eastAsia" w:ascii="楷体" w:hAnsi="楷体" w:eastAsia="楷体" w:cs="楷体"/>
          <w:sz w:val="28"/>
          <w:szCs w:val="28"/>
        </w:rPr>
        <w:t>元。（税率为</w:t>
      </w:r>
      <w:r>
        <w:rPr>
          <w:rFonts w:hint="eastAsia" w:ascii="楷体" w:hAnsi="楷体" w:eastAsia="楷体" w:cs="楷体"/>
          <w:sz w:val="28"/>
          <w:szCs w:val="28"/>
          <w:u w:val="single"/>
        </w:rPr>
        <w:t xml:space="preserve">   </w:t>
      </w:r>
      <w:r>
        <w:rPr>
          <w:rFonts w:hint="eastAsia" w:ascii="楷体" w:hAnsi="楷体" w:eastAsia="楷体" w:cs="楷体"/>
          <w:sz w:val="28"/>
          <w:szCs w:val="28"/>
        </w:rPr>
        <w:t>%，如涉及到税率调整，合同含税价不变，具体税率根据国家税务总局相关要求执行）</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4.1.2付款方式：租金先付后用，每</w:t>
      </w:r>
      <w:r>
        <w:rPr>
          <w:rFonts w:hint="eastAsia" w:ascii="楷体" w:hAnsi="楷体" w:eastAsia="楷体" w:cs="楷体"/>
          <w:sz w:val="28"/>
          <w:szCs w:val="28"/>
          <w:u w:val="single"/>
        </w:rPr>
        <w:t xml:space="preserve">     </w:t>
      </w:r>
      <w:r>
        <w:rPr>
          <w:rFonts w:hint="eastAsia" w:ascii="楷体" w:hAnsi="楷体" w:eastAsia="楷体" w:cs="楷体"/>
          <w:sz w:val="28"/>
          <w:szCs w:val="28"/>
        </w:rPr>
        <w:t>支付一次,该租金已包含增值税专用发票额外税率等费用。第一期租金在</w:t>
      </w:r>
      <w:r>
        <w:rPr>
          <w:rFonts w:hint="eastAsia" w:ascii="楷体" w:hAnsi="楷体" w:eastAsia="楷体" w:cs="楷体"/>
          <w:sz w:val="28"/>
          <w:szCs w:val="28"/>
          <w:u w:val="single"/>
        </w:rPr>
        <w:t xml:space="preserve">    </w:t>
      </w:r>
      <w:r>
        <w:rPr>
          <w:rFonts w:hint="eastAsia" w:ascii="楷体" w:hAnsi="楷体" w:eastAsia="楷体" w:cs="楷体"/>
          <w:sz w:val="28"/>
          <w:szCs w:val="28"/>
        </w:rPr>
        <w:t>年</w:t>
      </w:r>
      <w:r>
        <w:rPr>
          <w:rFonts w:hint="eastAsia" w:ascii="楷体" w:hAnsi="楷体" w:eastAsia="楷体" w:cs="楷体"/>
          <w:sz w:val="28"/>
          <w:szCs w:val="28"/>
          <w:u w:val="single"/>
        </w:rPr>
        <w:t xml:space="preserve">    </w:t>
      </w:r>
      <w:r>
        <w:rPr>
          <w:rFonts w:hint="eastAsia" w:ascii="楷体" w:hAnsi="楷体" w:eastAsia="楷体" w:cs="楷体"/>
          <w:sz w:val="28"/>
          <w:szCs w:val="28"/>
        </w:rPr>
        <w:t>月</w:t>
      </w:r>
      <w:r>
        <w:rPr>
          <w:rFonts w:hint="eastAsia" w:ascii="楷体" w:hAnsi="楷体" w:eastAsia="楷体" w:cs="楷体"/>
          <w:sz w:val="28"/>
          <w:szCs w:val="28"/>
          <w:u w:val="single"/>
        </w:rPr>
        <w:t xml:space="preserve">    </w:t>
      </w:r>
      <w:r>
        <w:rPr>
          <w:rFonts w:hint="eastAsia" w:ascii="楷体" w:hAnsi="楷体" w:eastAsia="楷体" w:cs="楷体"/>
          <w:sz w:val="28"/>
          <w:szCs w:val="28"/>
        </w:rPr>
        <w:t>日前由乙方支付给杭州产权交易所，其余租赁费用在上个付费周期届满10天前由乙方支付给甲方。上述租金并不包括乙方需交付的物业服务费、乙方经营活动而产生的政府税费及其他应由乙方支付的租金以外的费用（如水费、电费、电话费、垃圾清运费等）。</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4.1.3甲方有义务保证租期内房屋公共区域的结构及设备可完善使用，但乙方不得以任何房屋缺陷问题为由（包括房屋本身，设施设备，装饰等）拖欠租金。</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4.2 保证金</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4.2.1履约保证金为人民币</w:t>
      </w:r>
      <w:r>
        <w:rPr>
          <w:rFonts w:hint="eastAsia" w:ascii="楷体" w:hAnsi="楷体" w:eastAsia="楷体" w:cs="楷体"/>
          <w:sz w:val="28"/>
          <w:szCs w:val="28"/>
          <w:u w:val="single"/>
        </w:rPr>
        <w:t xml:space="preserve">      </w:t>
      </w:r>
      <w:r>
        <w:rPr>
          <w:rFonts w:hint="eastAsia" w:ascii="楷体" w:hAnsi="楷体" w:eastAsia="楷体" w:cs="楷体"/>
          <w:sz w:val="28"/>
          <w:szCs w:val="28"/>
        </w:rPr>
        <w:t>元整，装修保证金</w:t>
      </w:r>
      <w:r>
        <w:rPr>
          <w:rFonts w:hint="eastAsia" w:ascii="楷体" w:hAnsi="楷体" w:eastAsia="楷体" w:cs="楷体"/>
          <w:sz w:val="28"/>
          <w:szCs w:val="28"/>
          <w:u w:val="single"/>
        </w:rPr>
        <w:t xml:space="preserve">    </w:t>
      </w:r>
      <w:r>
        <w:rPr>
          <w:rFonts w:hint="eastAsia" w:ascii="楷体" w:hAnsi="楷体" w:eastAsia="楷体" w:cs="楷体"/>
          <w:sz w:val="28"/>
          <w:szCs w:val="28"/>
        </w:rPr>
        <w:t>元整。由乙方在本合同签订后5个工作日内向</w:t>
      </w:r>
      <w:bookmarkStart w:id="0" w:name="OLE_LINK1"/>
      <w:r>
        <w:rPr>
          <w:rFonts w:hint="eastAsia" w:ascii="楷体" w:hAnsi="楷体" w:eastAsia="楷体" w:cs="楷体"/>
          <w:sz w:val="28"/>
          <w:szCs w:val="28"/>
        </w:rPr>
        <w:t>杭州产权交易所</w:t>
      </w:r>
      <w:bookmarkEnd w:id="0"/>
      <w:r>
        <w:rPr>
          <w:rFonts w:hint="eastAsia" w:ascii="楷体" w:hAnsi="楷体" w:eastAsia="楷体" w:cs="楷体"/>
          <w:sz w:val="28"/>
          <w:szCs w:val="28"/>
        </w:rPr>
        <w:t>支付。（本次交易成交后，按照甲方的要求，杭州产权交易所在收到乙方支付的款项后在甲方要求的时间内将已收款项划转至甲方指定账户。）</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4.2.2乙方支付的履约保证金，该保证金不是乙方预付的租金、物业服务费，仅是乙方履行本合同约定的义务的担保。如乙方违反本合同的约定，甲方有权不予返还履约保证金或直接从该保证金中扣除相关费用。</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4.2.3 租赁期间，如果乙方有违约行为，甲方要求乙方纠正该行为并赔偿甲方损失，而乙方拒不执行的，甲方有权直接用乙方向其交纳的履约保证金抵扣（不影响甲方对乙方该等行为可行使的任何其他权利或补救办法），以补偿甲方因乙方该等行为而造成的损失或者损害，但甲方应在抵扣行为发生后5个工作日内书面告知乙方。</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乙方应在接到前款抵扣通知的10个工作日内把被甲方扣除部分的履约保证金重新补足并存放于甲方，甲方损失超过履约保证金的，乙方还应同时支付该部分差额；否则，甲方有权解除合同，收回物业，并有权追索相应损失。</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乙方对甲方抵扣保证金有异议的，可以以书面形式向甲方提出，双方协商解决，协商不成的，适用本合同争议解决条款，但乙方提出异议不影响甲方的抵扣行为。</w:t>
      </w:r>
    </w:p>
    <w:p>
      <w:pPr>
        <w:ind w:firstLine="560" w:firstLineChars="200"/>
      </w:pPr>
      <w:r>
        <w:rPr>
          <w:rFonts w:hint="eastAsia" w:ascii="楷体" w:hAnsi="楷体" w:eastAsia="楷体" w:cs="楷体"/>
          <w:sz w:val="28"/>
          <w:szCs w:val="28"/>
        </w:rPr>
        <w:t>4.2.4 本合同终止（不论何种原因），乙方需交还该物业，且甲乙双方需就租赁该物业而产生的一切权利和义务清理完毕并办理书面交接手续。如乙方在合同期内无违约行为，本合同终止后甲方将剩余履约保证金无息退还乙方</w:t>
      </w:r>
      <w:r>
        <w:rPr>
          <w:rFonts w:hint="eastAsia" w:ascii="宋体" w:hAnsi="宋体" w:cs="宋体"/>
          <w:sz w:val="18"/>
          <w:szCs w:val="18"/>
        </w:rPr>
        <w:t>。</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4.3 物业管理及物业服务费</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4.3.1该物业区域的物业管理由乙方自行管理并与甲方签订涉及消防、治安、卫生、食品安全、装修管理、商户文明公约等相关物业管理规约并承担相应的费用。</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4.4其他费用</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乙方须自行负担与该物业有关的电话费、水费、电费、垃圾清运费及其他营运等费用。该部分费用根据相应收费主体的要求和标准由乙方直接支付，若乙方未能按期足额支付的，则甲方有权代付后向乙方追偿或从保证金中抵扣。</w:t>
      </w:r>
    </w:p>
    <w:p>
      <w:pPr>
        <w:snapToGrid w:val="0"/>
        <w:spacing w:line="360" w:lineRule="auto"/>
        <w:ind w:left="38" w:leftChars="18" w:firstLine="560" w:firstLineChars="200"/>
        <w:jc w:val="left"/>
        <w:rPr>
          <w:rFonts w:hint="eastAsia" w:ascii="楷体" w:hAnsi="楷体" w:eastAsia="楷体" w:cs="楷体"/>
          <w:sz w:val="28"/>
          <w:szCs w:val="28"/>
        </w:rPr>
      </w:pPr>
      <w:r>
        <w:rPr>
          <w:rFonts w:hint="eastAsia" w:ascii="楷体" w:hAnsi="楷体" w:eastAsia="楷体" w:cs="楷体"/>
          <w:sz w:val="28"/>
          <w:szCs w:val="28"/>
        </w:rPr>
        <w:t>4.5 乙方依据本合同应支付的租金分期按时缴入甲方指定的银行账户,或将支票送至本合同列明之甲方所在地址或甲方书面通知的其他地址,甲方核实收妥乙方交纳款项后,由甲方向乙方出具发票或收款凭证。</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乙方租金缴入甲方指定银行账户如下：</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开户银行：中国农业银行杭州钱江新城支行</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收款人名称：杭州城投资产集团有限公司</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 xml:space="preserve">银行账号：19025901040666661 </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若乙方为增值税小规模纳税人或个体工商户的，甲方开具增值税普通发票；若乙方为增值税一般纳税人的，甲方开具增值税专用发票，乙方增值税专用发票的开票信息如下：</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单位名称：</w:t>
      </w:r>
      <w:r>
        <w:rPr>
          <w:rFonts w:hint="eastAsia" w:ascii="楷体" w:hAnsi="楷体" w:eastAsia="楷体" w:cs="楷体"/>
          <w:sz w:val="28"/>
          <w:szCs w:val="28"/>
          <w:u w:val="single"/>
        </w:rPr>
        <w:t xml:space="preserve">            </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纳税人识别号：</w:t>
      </w:r>
      <w:r>
        <w:rPr>
          <w:rFonts w:hint="eastAsia" w:ascii="楷体" w:hAnsi="楷体" w:eastAsia="楷体" w:cs="楷体"/>
          <w:sz w:val="28"/>
          <w:szCs w:val="28"/>
          <w:u w:val="single"/>
        </w:rPr>
        <w:t xml:space="preserve">             </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注册地址及联系电话：</w:t>
      </w:r>
      <w:r>
        <w:rPr>
          <w:rFonts w:hint="eastAsia" w:ascii="楷体" w:hAnsi="楷体" w:eastAsia="楷体" w:cs="楷体"/>
          <w:sz w:val="28"/>
          <w:szCs w:val="28"/>
          <w:u w:val="single"/>
        </w:rPr>
        <w:t xml:space="preserve">            </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开户银行及账号：</w:t>
      </w:r>
      <w:r>
        <w:rPr>
          <w:rFonts w:hint="eastAsia" w:ascii="楷体" w:hAnsi="楷体" w:eastAsia="楷体" w:cs="楷体"/>
          <w:sz w:val="28"/>
          <w:szCs w:val="28"/>
          <w:u w:val="single"/>
        </w:rPr>
        <w:t xml:space="preserve">            </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乙方应确保以上开票信息真实、准确，否则由此产生的责任由乙方自行承担。乙方为增值税一般纳税人的，不论任何原因导致本合同无效、解除、撤销等甲方需退还租金的，或者按照本合同约定甲方需返还部分租金的，甲方在乙方按现行规定配合办理红字增值税专用发票开具及履行本合同约定的其他义务后，向乙方退还相应租金。若乙方未配合办理增值税专用发票有关手续的，甲方有权不予退还相应租金。</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第五条</w:t>
      </w:r>
      <w:r>
        <w:rPr>
          <w:rFonts w:hint="eastAsia" w:ascii="楷体" w:hAnsi="楷体" w:eastAsia="楷体" w:cs="楷体"/>
          <w:sz w:val="28"/>
          <w:szCs w:val="28"/>
        </w:rPr>
        <w:tab/>
      </w:r>
      <w:r>
        <w:rPr>
          <w:rFonts w:hint="eastAsia" w:ascii="楷体" w:hAnsi="楷体" w:eastAsia="楷体" w:cs="楷体"/>
          <w:sz w:val="28"/>
          <w:szCs w:val="28"/>
        </w:rPr>
        <w:t>物业交付与验收</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5.1 该物业的交付日期预计为</w:t>
      </w:r>
      <w:r>
        <w:rPr>
          <w:rFonts w:hint="eastAsia" w:ascii="楷体" w:hAnsi="楷体" w:eastAsia="楷体" w:cs="楷体"/>
          <w:sz w:val="28"/>
          <w:szCs w:val="28"/>
          <w:u w:val="single"/>
        </w:rPr>
        <w:t xml:space="preserve">    年  月   日</w:t>
      </w:r>
      <w:r>
        <w:rPr>
          <w:rFonts w:hint="eastAsia" w:ascii="楷体" w:hAnsi="楷体" w:eastAsia="楷体" w:cs="楷体"/>
          <w:sz w:val="28"/>
          <w:szCs w:val="28"/>
        </w:rPr>
        <w:t>，甲方应当于该日期前交付该物业，具体交付时间由甲方另行通知。如因甲方原因延迟物业交付时间，延迟时间不超过六十个工作日时，不视为甲方违约。延迟交付时，以实际交付日的次日为租赁起始日，实际计租日期相应顺延，具体以租金明细表为准。</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乙方接到甲方书面通知后，须在五个工作日内办理交接手续。超过五个工作日未办理手续视同接受，甲方有权要求乙方按正常交付情况下乙方应当支付的费用支付相关费用。超过三十天仍未办理交付手续的，则甲方有权解除本合同，乙方缴纳的履约保证金不予返还，并有权追索因乙方的该等行为所造成的一切损失。</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5.2 甲乙双方交付、接收该物业时，应当签署一份交接凭据，交接凭据应当载明交接日期及该物业之状况；签署了交接凭据或乙方已实际取得该物业使用权（或取得物业钥匙），则甲乙双方的交付、接收义务已经完成。</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5.3 乙方有权并应该在交付日期前详细查看该物业现状及设施。</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5.4 乙方接收该物业时，应当检查该物业；如果乙方认为该物业存在缺陷，应当于接收后5个工作日内书面通知甲方，乙方不得以质量瑕疵为由拒绝接收该物业。甲乙双方应当就该等缺陷书面记录，而甲方则应当于收到乙方书面通知后积极对有必要修复的物业或物件设施作修复。因乙方未按期通知致使该缺陷无法确认产生责任的，由乙方自行承担。</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5.5乙方同意租赁物业由甲方指定的物业服务公司管理，并在交接后三日内按其现行的收费标准签订相关物业服务合同；如租赁期限内物业公司发生变更的，乙方在接到甲方书面通知后【3】日内重新与变更后的物业公司签订相关物业服务合同。否则，甲方有权解除本合同，并有权依据本合同第10.3条b款之约定，要求乙方承担违约责任。如因此给甲方造成损失的，乙方还应承担全部赔偿责任。</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5.6租赁物业的水、电等费用由乙方承担，甲方或物业服务公司垫付的，乙方应在收到甲方或物业服务公司书面通知之日起三日内支付，逾期支付的，甲方有权优先从履约保证金中予以扣除。</w:t>
      </w:r>
    </w:p>
    <w:p>
      <w:pPr>
        <w:rPr>
          <w:rFonts w:hint="eastAsia" w:ascii="楷体" w:hAnsi="楷体" w:eastAsia="楷体" w:cs="楷体"/>
          <w:sz w:val="28"/>
          <w:szCs w:val="28"/>
        </w:rPr>
      </w:pPr>
    </w:p>
    <w:p>
      <w:pPr>
        <w:ind w:firstLine="560" w:firstLineChars="200"/>
        <w:rPr>
          <w:rFonts w:hint="eastAsia" w:ascii="楷体" w:hAnsi="楷体" w:eastAsia="楷体" w:cs="楷体"/>
          <w:sz w:val="28"/>
          <w:szCs w:val="28"/>
        </w:rPr>
      </w:pPr>
      <w:r>
        <w:rPr>
          <w:rFonts w:hint="eastAsia" w:ascii="楷体" w:hAnsi="楷体" w:eastAsia="楷体" w:cs="楷体"/>
          <w:sz w:val="28"/>
          <w:szCs w:val="28"/>
        </w:rPr>
        <w:t>第六条    转租、转让和续租</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6.1 租赁期内，未经甲方书面同意，乙方不得单方面改变经营业态，也不得对所租赁的物业进行整体转让、转包、分租、转租。乙方擅自采取上述行动的，甲方有权解除本合同，并有权依据本合同第10.3条b款之约定，要求乙方承担违约责任。如因此给甲方造成损失的，乙方还应承担全部赔偿责任。</w:t>
      </w:r>
    </w:p>
    <w:p>
      <w:pPr>
        <w:ind w:firstLine="560" w:firstLineChars="200"/>
        <w:rPr>
          <w:rFonts w:hint="eastAsia" w:ascii="楷体" w:hAnsi="楷体" w:eastAsia="楷体" w:cs="楷体"/>
          <w:sz w:val="28"/>
          <w:szCs w:val="28"/>
        </w:rPr>
      </w:pPr>
      <w:r>
        <w:rPr>
          <w:rFonts w:hint="eastAsia" w:ascii="楷体" w:hAnsi="楷体" w:eastAsia="楷体" w:cs="楷体"/>
          <w:sz w:val="28"/>
          <w:szCs w:val="28"/>
          <w:lang w:eastAsia="zh-Hans"/>
        </w:rPr>
        <w:t>经甲方书面同意，乙方可以将部分或者全部物业</w:t>
      </w:r>
      <w:r>
        <w:rPr>
          <w:rFonts w:hint="eastAsia" w:ascii="楷体" w:hAnsi="楷体" w:eastAsia="楷体" w:cs="楷体"/>
          <w:sz w:val="28"/>
          <w:szCs w:val="28"/>
        </w:rPr>
        <w:t>转租、分租，</w:t>
      </w:r>
      <w:r>
        <w:rPr>
          <w:rFonts w:hint="eastAsia" w:ascii="楷体" w:hAnsi="楷体" w:eastAsia="楷体" w:cs="楷体"/>
          <w:sz w:val="28"/>
          <w:szCs w:val="28"/>
          <w:lang w:eastAsia="zh-Hans"/>
        </w:rPr>
        <w:t>但应当向甲方支付相当于</w:t>
      </w:r>
      <w:r>
        <w:rPr>
          <w:rFonts w:hint="eastAsia" w:ascii="楷体" w:hAnsi="楷体" w:eastAsia="楷体" w:cs="楷体"/>
          <w:sz w:val="28"/>
          <w:szCs w:val="28"/>
        </w:rPr>
        <w:t>本期</w:t>
      </w:r>
      <w:r>
        <w:rPr>
          <w:rFonts w:hint="eastAsia" w:ascii="楷体" w:hAnsi="楷体" w:eastAsia="楷体" w:cs="楷体"/>
          <w:sz w:val="28"/>
          <w:szCs w:val="28"/>
          <w:lang w:eastAsia="zh-Hans"/>
        </w:rPr>
        <w:t>月租金标准的</w:t>
      </w:r>
      <w:r>
        <w:rPr>
          <w:rFonts w:hint="eastAsia" w:ascii="楷体" w:hAnsi="楷体" w:eastAsia="楷体" w:cs="楷体"/>
          <w:sz w:val="28"/>
          <w:szCs w:val="28"/>
          <w:u w:val="single"/>
          <w:lang w:eastAsia="zh-Hans"/>
        </w:rPr>
        <w:t>【</w:t>
      </w:r>
      <w:r>
        <w:rPr>
          <w:rFonts w:hint="eastAsia" w:ascii="楷体" w:hAnsi="楷体" w:eastAsia="楷体" w:cs="楷体"/>
          <w:sz w:val="28"/>
          <w:szCs w:val="28"/>
          <w:u w:val="single"/>
        </w:rPr>
        <w:t xml:space="preserve">   </w:t>
      </w:r>
      <w:r>
        <w:rPr>
          <w:rFonts w:hint="eastAsia" w:ascii="楷体" w:hAnsi="楷体" w:eastAsia="楷体" w:cs="楷体"/>
          <w:sz w:val="28"/>
          <w:szCs w:val="28"/>
          <w:u w:val="single"/>
          <w:lang w:eastAsia="zh-Hans"/>
        </w:rPr>
        <w:t>个月】</w:t>
      </w:r>
      <w:r>
        <w:rPr>
          <w:rFonts w:hint="eastAsia" w:ascii="楷体" w:hAnsi="楷体" w:eastAsia="楷体" w:cs="楷体"/>
          <w:sz w:val="28"/>
          <w:szCs w:val="28"/>
          <w:lang w:eastAsia="zh-Hans"/>
        </w:rPr>
        <w:t>的转租</w:t>
      </w:r>
      <w:r>
        <w:rPr>
          <w:rFonts w:hint="eastAsia" w:ascii="楷体" w:hAnsi="楷体" w:eastAsia="楷体" w:cs="楷体"/>
          <w:sz w:val="28"/>
          <w:szCs w:val="28"/>
        </w:rPr>
        <w:t>保证金</w:t>
      </w:r>
      <w:r>
        <w:rPr>
          <w:rFonts w:hint="eastAsia" w:ascii="楷体" w:hAnsi="楷体" w:eastAsia="楷体" w:cs="楷体"/>
          <w:sz w:val="28"/>
          <w:szCs w:val="28"/>
          <w:lang w:eastAsia="zh-Hans"/>
        </w:rPr>
        <w:t>。</w:t>
      </w:r>
      <w:r>
        <w:rPr>
          <w:rFonts w:hint="eastAsia" w:ascii="楷体" w:hAnsi="楷体" w:eastAsia="楷体" w:cs="楷体"/>
          <w:sz w:val="28"/>
          <w:szCs w:val="28"/>
        </w:rPr>
        <w:t>乙方与第三方的转租合同终止后，乙方须提供包括但不限于：与转租方解约合同、注销该地址营业执照等相关证明材料，经甲方审核确认后，该笔转租保证金无息退还。</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6.2甲方有权携同该物业未来的任何意向租户或有关人士在租赁期结束前或提前结束前的4个月内的所有合理时间内，预先通知乙方后勘察该物业，乙方不得阻扰，且应予以配合，但甲方的该等行为不得干扰乙方的正常经营活动。</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6.3在租赁期限内，如甲方将租赁物业用于抵押给金融机构或其他债权人的，乙方同意按金融机构或其他债权人的要求出具相关承诺，以便于甲方办理抵押登记手续。如乙方不同意出具相关承诺而导致不能办理抵押手续的，甲方有权提前解除本合同，没收乙方全部保证金。</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6.4乙方需继续承租该房屋的，则应于租赁期满届前【2】个月，向甲方提出承租书面要求，在符合国有资产招租管理规定的前提下，经甲方书面同意后，方可按相关制度及流程予以实施。但若在租赁期限届满后该房屋的出租进行公开挂牌招租的，则乙方优先承租权的行使应遵守届时挂牌程序和文件的要求，乙方对此不存有任何异议且不得以任何侵害乙方优先续租权的理由向甲方提出异议。如乙方在租赁期内发生本合同约定的任一违约情形，则乙方丧失优先承租的权利。</w:t>
      </w:r>
    </w:p>
    <w:p>
      <w:pPr>
        <w:rPr>
          <w:rFonts w:hint="eastAsia" w:ascii="楷体" w:hAnsi="楷体" w:eastAsia="楷体" w:cs="楷体"/>
          <w:sz w:val="28"/>
          <w:szCs w:val="28"/>
        </w:rPr>
      </w:pPr>
    </w:p>
    <w:p>
      <w:pPr>
        <w:ind w:firstLine="560" w:firstLineChars="200"/>
        <w:rPr>
          <w:rFonts w:hint="eastAsia" w:ascii="楷体" w:hAnsi="楷体" w:eastAsia="楷体" w:cs="楷体"/>
          <w:sz w:val="28"/>
          <w:szCs w:val="28"/>
        </w:rPr>
      </w:pPr>
      <w:r>
        <w:rPr>
          <w:rFonts w:hint="eastAsia" w:ascii="楷体" w:hAnsi="楷体" w:eastAsia="楷体" w:cs="楷体"/>
          <w:sz w:val="28"/>
          <w:szCs w:val="28"/>
        </w:rPr>
        <w:t>第七条    物业交还</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7.1 交还日期及适用范围</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7.1.1乙方应当于本合同约定的租期结束之日交还该物业。</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7.1.2 如本合同提前终止的，则乙方应当在本合同提前终止之日起</w:t>
      </w:r>
      <w:r>
        <w:rPr>
          <w:rFonts w:ascii="楷体" w:hAnsi="楷体" w:eastAsia="楷体" w:cs="楷体"/>
          <w:sz w:val="28"/>
          <w:szCs w:val="28"/>
        </w:rPr>
        <w:t>10</w:t>
      </w:r>
      <w:r>
        <w:rPr>
          <w:rFonts w:hint="eastAsia" w:ascii="楷体" w:hAnsi="楷体" w:eastAsia="楷体" w:cs="楷体"/>
          <w:sz w:val="28"/>
          <w:szCs w:val="28"/>
        </w:rPr>
        <w:t>个工作日内交还该物业。</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7.2 交还状况及装修和附属设施、设备的归属</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 xml:space="preserve">7.2.1租赁期满或因故解约，乙方同意所有该物业内形成附合的装饰装修物无偿归甲方所有，乙方不得拆走或损坏，并应在合同期满或解除之日前将该物业腾空交还给甲方。如有损坏，则恢复该物业为交付状态或损坏前状态的一切费用（包括但不限于拆除、重新安装、粉刷、油漆等费用）由乙方承担。乙方应交出进入该物业的所有钥匙, 并要保持该物业内甲方提供的设备处于正常可使用的实际状态（合理损耗除外）； </w:t>
      </w:r>
    </w:p>
    <w:p>
      <w:pPr>
        <w:rPr>
          <w:rFonts w:hint="eastAsia" w:ascii="楷体" w:hAnsi="楷体" w:eastAsia="楷体" w:cs="楷体"/>
          <w:sz w:val="28"/>
          <w:szCs w:val="28"/>
        </w:rPr>
      </w:pPr>
      <w:r>
        <w:rPr>
          <w:rFonts w:hint="eastAsia" w:ascii="楷体" w:hAnsi="楷体" w:eastAsia="楷体" w:cs="楷体"/>
          <w:sz w:val="28"/>
          <w:szCs w:val="28"/>
        </w:rPr>
        <w:t>乙方逾期未拆走的装修与设施、设备无偿归甲方所有，甲方不予补偿。同时，乙方不得拆除或损坏与公共设施有关的一切设备，若有违反，甲方有权按上述行为发生时的设施实际价值向乙方索赔。</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7.2.2 如果该物业交还时之状况不符合前项约定，甲方有权要求乙方采取一切措施或自行采取措施，使得该物业之状况符合前项约定，由此产生的一切费用和开支由乙方承担，否则甲方有权从履约保证金中扣除。</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7.2.3 乙方应当在本合同终止或者提前解除之日起10个工作日内注销该物业工商登记等注册情况，否则甲方有权利拒绝返还履约保证金；乙方逾期注销的，每逾期一日，按照上一月租金的0.</w:t>
      </w:r>
      <w:r>
        <w:rPr>
          <w:rFonts w:ascii="楷体" w:hAnsi="楷体" w:eastAsia="楷体" w:cs="楷体"/>
          <w:sz w:val="28"/>
          <w:szCs w:val="28"/>
        </w:rPr>
        <w:t>0</w:t>
      </w:r>
      <w:r>
        <w:rPr>
          <w:rFonts w:hint="eastAsia" w:ascii="楷体" w:hAnsi="楷体" w:eastAsia="楷体" w:cs="楷体"/>
          <w:sz w:val="28"/>
          <w:szCs w:val="28"/>
        </w:rPr>
        <w:t>3%/日的标准计算违约金。</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7.3 交还通知、查验和接收</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7.3.1 租赁期届满或者因故解约（不论基于何种原因），乙方应当在合同期满或解除之日前腾空并交还租赁物业，甲方应当按照该等通知查验及接收该物业。</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7.3.2 甲方应该依照通常合理的标准及本合同第7.2条约定查验该物业。</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7.3.3 在符合本合同第7.2条约定的情形下，甲乙双方应当签署一份交还凭据，交还凭据一经签署，乙方交还该物业的义务立即完成。</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7.4 逾期交还的后果</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乙方逾期腾空并交还物业的，应按交还物业前最后一月的租金标准向甲方支付1</w:t>
      </w:r>
      <w:r>
        <w:rPr>
          <w:rFonts w:hint="eastAsia" w:ascii="楷体" w:hAnsi="楷体" w:eastAsia="楷体" w:cs="楷体"/>
          <w:sz w:val="28"/>
          <w:szCs w:val="28"/>
          <w:u w:val="single"/>
        </w:rPr>
        <w:t>.5</w:t>
      </w:r>
      <w:r>
        <w:rPr>
          <w:rFonts w:hint="eastAsia" w:ascii="楷体" w:hAnsi="楷体" w:eastAsia="楷体" w:cs="楷体"/>
          <w:sz w:val="28"/>
          <w:szCs w:val="28"/>
        </w:rPr>
        <w:t>倍占有使用费，并向甲方赔偿由此而造成的直接损失和间接损失（包括但不限于租金、物业服务相关费用、水费、电费等其他费用及其违约金、向第三人支付的违约金以及第三人的损失），同时甲方有权没收乙方履约保证金。</w:t>
      </w:r>
    </w:p>
    <w:p>
      <w:pPr>
        <w:rPr>
          <w:rFonts w:hint="eastAsia" w:ascii="楷体" w:hAnsi="楷体" w:eastAsia="楷体" w:cs="楷体"/>
          <w:sz w:val="28"/>
          <w:szCs w:val="28"/>
        </w:rPr>
      </w:pPr>
    </w:p>
    <w:p>
      <w:pPr>
        <w:ind w:firstLine="560" w:firstLineChars="200"/>
        <w:rPr>
          <w:rFonts w:hint="eastAsia" w:ascii="楷体" w:hAnsi="楷体" w:eastAsia="楷体" w:cs="楷体"/>
          <w:sz w:val="28"/>
          <w:szCs w:val="28"/>
        </w:rPr>
      </w:pPr>
      <w:r>
        <w:rPr>
          <w:rFonts w:hint="eastAsia" w:ascii="楷体" w:hAnsi="楷体" w:eastAsia="楷体" w:cs="楷体"/>
          <w:sz w:val="28"/>
          <w:szCs w:val="28"/>
        </w:rPr>
        <w:t>第八条    双方相互承诺和保证</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8.1 甲乙双方相互声明、承诺并保证如下：</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8.1.1 有权签署本合同并有能力履行其于本合同项下的义务；将签署一切必须的文件并采取一切所需的行动以使本合同约定的条款顺利履行。</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8.1.2 除本合同另有约定外，本合同的签署及履行不会导致违反、取消或终止任何合同、承诺或其它正式文件的任何条款和条件，或构成任何合同、承诺或者其它正式文件下的违约事项；亦不会违反任何法院判决、裁定，或任何管理机关、政府组织的规定、决定。</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8.2 甲方向乙方声明、承诺并保证如下：</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8.2.1 在乙方按照本合同约定交纳租金及遵守和履行所有本合同项下的承诺、约定的前提下，乙方有权在租赁期内使用及享用该物业，而不受到甲方或其代表的不合法的干扰。</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8.2.2 甲方对该物业享有完全的出租及收取租金的权利。按时向政府有关部门支付所有根据法律、法规规定就该物业租赁而需甲方支付的税费。</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8.3 乙方向甲方声明、承诺并保证如下：</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8.3.1 乙方将按照有关约定，经向甲方备案并经甲方许可后对租赁物业进行装修、改善、安装设备或增设他物。有关装修费用及由装修所产生的人员伤亡、财产损失等风险均由乙方自行承担。如由此造成甲方损失的，甲方有权没收乙方装修保证金，装修保证金不足以偿付甲方损失的，乙方还应承担全部赔偿责任（包括但不限于甲方为采取补救措施所支出的合理费用、甲方向第三方支付的违约金或赔偿金，以及其他因乙方行为直接或间接导致的损失等）。</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8.3.2乙方应尽最大努力及采取合法、合理的方式使用该物业，维护甲方及该物业区域的信誉和声誉。若乙方在该物业进行任何活动、事情或其他作为或不作为违反或触犯中国有关法律、法规及政府有关部门下达的有关指令而对甲方造成任何损失，乙方应向甲方负赔偿及其他法律责任。</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8.3.3 乙方若收到政府有关部门就该物业发出的任何通知或法院送达的传票，应在48小时内书面方式通知到甲方。</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8.3.4乙方在按照有关规定，向相关职能部门办理广告发布审批手续并承担费用后可设置店招。店招发布之前，乙方须将所有样稿、样片以书面形式报送甲方，经甲方审核、书面同意并备案后方可发布，但甲方的审批不减轻、不免除乙方应当承担的法律责任。乙方不得在物业以外的街区公共区域悬挂或张贴标识标牌及广告类宣传品。</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第九条    合同变更和解除的条件</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9.1 变更本合同的条件如下：</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9.1.1 租赁期限内，除本合同另有约定，如出现下述情况，双方可变更本合同：</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a.甲方或乙方因有特殊原因，经双方协商一致，同意变更合同的。</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b.出现非甲方能及的情况，使该物业设施正常运行或水、电等正常供应中断，且中断期一次超过30天，乙方认为严重影响正常使用物业的。</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c.乙方违反本合同及其附件和补充条款的约定，且经甲方提出后的14天内乙方未予纠正的。</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d.在租赁期间，司法、行政机关依法限制该物业房地产权利，且超过30天的。</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e.因不可抗力或意外事件，致使该物业及其附属设施的损坏，使本合同不能继续履行的。</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9.1.2 变更本合同的，要求变更合同的一方应主动向另一方提出。</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9.1.3 因变更本合同，使一方遭到损失的，有过错一方应赔偿另一方的损失。</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9.2 解除本合同的条件如下：</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9.2.1 租赁期限内，除本合同另有约定外，如出现下述情况，可解除合同：</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a.乙方因有特殊原因，经双方协商一致，同意解除合同的。</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b.乙方违反本合同及其附件和补充条款的约定，且经甲方提出后的30天内，乙方未予纠正的，甲方有权解除合同。</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c.在租赁期间，政府决定征用该物业所在土地而需拆除该物业的。</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d.因不可抗力或意外事件，使本合同无法履行的。</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9.2.2 解除本合同的，有权解除合同的一方应主动向另一方提出。</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9.2.3 因乙方原因解除本合同的，乙方除按照本合同约定承担相应违约责任外，甲方有权没收全部保证金，乙方已缴纳的租金不予退还；保证金不足以偿付由此给甲方造成的损失的，乙方应赔偿甲方的损失。</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9.2.4 除本合同约定外，在承租期内甲方因特殊原因需提前解除合同，应提前3个月书面通知</w:t>
      </w:r>
      <w:r>
        <w:rPr>
          <w:rFonts w:hint="eastAsia" w:ascii="楷体" w:hAnsi="楷体" w:eastAsia="楷体" w:cs="楷体"/>
          <w:sz w:val="28"/>
          <w:szCs w:val="28"/>
          <w:lang w:eastAsia="zh-Hans"/>
        </w:rPr>
        <w:t>乙方</w:t>
      </w:r>
      <w:r>
        <w:rPr>
          <w:rFonts w:hint="eastAsia" w:ascii="楷体" w:hAnsi="楷体" w:eastAsia="楷体" w:cs="楷体"/>
          <w:sz w:val="28"/>
          <w:szCs w:val="28"/>
        </w:rPr>
        <w:t>，</w:t>
      </w:r>
      <w:r>
        <w:rPr>
          <w:rFonts w:hint="eastAsia" w:ascii="楷体" w:hAnsi="楷体" w:eastAsia="楷体" w:cs="楷体"/>
          <w:sz w:val="28"/>
          <w:szCs w:val="28"/>
          <w:lang w:eastAsia="zh-Hans"/>
        </w:rPr>
        <w:t>本</w:t>
      </w:r>
      <w:r>
        <w:rPr>
          <w:rFonts w:hint="eastAsia" w:ascii="楷体" w:hAnsi="楷体" w:eastAsia="楷体" w:cs="楷体"/>
          <w:sz w:val="28"/>
          <w:szCs w:val="28"/>
        </w:rPr>
        <w:t>合同自三个月通知期届满之日（书面通知另有约定除外）解除。甲方应在乙方腾退房屋后，退还截至合同解除或乙方实际腾房（以两者较晚为准）之日乙方已缴纳但尚未实际使用的租金（如有），并返还乙方已缴纳履约保证金，甲方无需承担其他违约责任或赔偿。甲方付款前，乙方应当提供相应发票或者收据，否则甲方付款时间相应顺延。</w:t>
      </w:r>
    </w:p>
    <w:p>
      <w:pPr>
        <w:ind w:firstLine="560" w:firstLineChars="200"/>
        <w:rPr>
          <w:rFonts w:hint="eastAsia" w:ascii="楷体" w:hAnsi="楷体" w:eastAsia="楷体" w:cs="楷体"/>
          <w:sz w:val="28"/>
          <w:szCs w:val="28"/>
        </w:rPr>
      </w:pPr>
    </w:p>
    <w:p>
      <w:pPr>
        <w:ind w:firstLine="560" w:firstLineChars="200"/>
        <w:rPr>
          <w:rFonts w:hint="eastAsia" w:ascii="楷体" w:hAnsi="楷体" w:eastAsia="楷体" w:cs="楷体"/>
          <w:sz w:val="28"/>
          <w:szCs w:val="28"/>
        </w:rPr>
      </w:pPr>
      <w:r>
        <w:rPr>
          <w:rFonts w:hint="eastAsia" w:ascii="楷体" w:hAnsi="楷体" w:eastAsia="楷体" w:cs="楷体"/>
          <w:sz w:val="28"/>
          <w:szCs w:val="28"/>
        </w:rPr>
        <w:t>第十条    违约责任</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10.1 违约</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乙方任何违反、不遵守本合同和管理守则或未履行或未完全履行其于本合同项下的责任和义务将构成乙方的违约。本合同项下所有的逾期支付行为解释为截止合同约定的每期租期开始之日仍未支付，视为逾期。</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10.2 甲方的救济权</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10.2.1若发生下述任何一情形，将视为乙方实质性的违反了本合同，甲方有权提前解除本合同。</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（1）乙方累计1个月（以3</w:t>
      </w:r>
      <w:r>
        <w:rPr>
          <w:rFonts w:ascii="楷体" w:hAnsi="楷体" w:eastAsia="楷体" w:cs="楷体"/>
          <w:sz w:val="28"/>
          <w:szCs w:val="28"/>
        </w:rPr>
        <w:t>0</w:t>
      </w:r>
      <w:r>
        <w:rPr>
          <w:rFonts w:hint="eastAsia" w:ascii="楷体" w:hAnsi="楷体" w:eastAsia="楷体" w:cs="楷体"/>
          <w:sz w:val="28"/>
          <w:szCs w:val="28"/>
        </w:rPr>
        <w:t>天计）未足额或未按时支付租金、水费、电费、保证金、物业服务费或公用事业费等费用，或者乙方未支付的租金、物业服务费和公用事业费的金额累积达到或超过</w:t>
      </w:r>
      <w:r>
        <w:rPr>
          <w:rFonts w:ascii="楷体" w:hAnsi="楷体" w:eastAsia="楷体" w:cs="楷体"/>
          <w:sz w:val="28"/>
          <w:szCs w:val="28"/>
        </w:rPr>
        <w:t>1</w:t>
      </w:r>
      <w:r>
        <w:rPr>
          <w:rFonts w:hint="eastAsia" w:ascii="楷体" w:hAnsi="楷体" w:eastAsia="楷体" w:cs="楷体"/>
          <w:sz w:val="28"/>
          <w:szCs w:val="28"/>
        </w:rPr>
        <w:t>个月的基本租金（以当时适用的基本租金标准计）；</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（2）乙方未经甲方事先的书面许可而改变租赁场所的用途，或在租赁场所内从事违法经营或其他非法行为；</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（3）乙方严重损坏租赁场所、附属设施、公共区域或公共设施；</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（4）乙方的所获得的授权、许可被撤销或发生变更，且对本合同的履行造成了实质性的不利影响；</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（5）乙方的清算事件；</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（6）未经甲方的事先书面许可，乙方转租、分租或许可任何第三人使用租赁场所；</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（7）乙方的其他违约行为在乙方收到甲方发出的要求纠正该等违约行为的书面通知后的三十天内仍未予纠正的，本合同将在甲方通知送达到根据第12.1条确定的乙方的地址后终止。</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10.2.2如乙方发生因法律规定或本合同约定应承担的费用而未按时支付的，甲方有权直接从保证金中扣除；在保证金相应扣除后，乙方应在收到甲方通知后补足，逾期补足的甲方有权按保证金总额以每日万分之三的比例要求乙方支付违约金。</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10.3 违约赔偿</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因乙方违约，甲方有权直接没收乙方缴纳的履约保证金和装修保证金。乙方还应支付的违约赔偿须足以弥补甲方因乙方的违约而遭受、产生的任何损失、损害、费用、支出，并应承担甲方为主张该权利而产生的相关合理费用包括但不限于律师费、诉讼费、保全费、审计费、鉴定费、执行费、保全担保费等相关费用。</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a. 乙方逾期支付租金、水费、电费、保证金、物业服务费或公用事业费等其它任何费用的 ，除应当按本合同约定承担相应的违约责任之外，还应当自逾期之日起每天按应付未付款项金额的0.</w:t>
      </w:r>
      <w:r>
        <w:rPr>
          <w:rFonts w:ascii="楷体" w:hAnsi="楷体" w:eastAsia="楷体" w:cs="楷体"/>
          <w:sz w:val="28"/>
          <w:szCs w:val="28"/>
        </w:rPr>
        <w:t>0</w:t>
      </w:r>
      <w:r>
        <w:rPr>
          <w:rFonts w:hint="eastAsia" w:ascii="楷体" w:hAnsi="楷体" w:eastAsia="楷体" w:cs="楷体"/>
          <w:sz w:val="28"/>
          <w:szCs w:val="28"/>
        </w:rPr>
        <w:t>3%的标准向甲方支付违约金；</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b.除以上a款所述违约责任外，若因乙方任何违约之情形导致本合同提前解除或终止，则乙方还需承担与3个月租金（以违约行为发生时适用的租金标准为准）等额的违约金。</w:t>
      </w:r>
    </w:p>
    <w:p>
      <w:pPr>
        <w:rPr>
          <w:rFonts w:hint="eastAsia" w:ascii="楷体" w:hAnsi="楷体" w:eastAsia="楷体" w:cs="楷体"/>
          <w:sz w:val="28"/>
          <w:szCs w:val="28"/>
        </w:rPr>
      </w:pPr>
    </w:p>
    <w:p>
      <w:pPr>
        <w:ind w:firstLine="560" w:firstLineChars="200"/>
        <w:rPr>
          <w:rFonts w:hint="eastAsia" w:ascii="楷体" w:hAnsi="楷体" w:eastAsia="楷体" w:cs="楷体"/>
          <w:sz w:val="28"/>
          <w:szCs w:val="28"/>
        </w:rPr>
      </w:pPr>
      <w:r>
        <w:rPr>
          <w:rFonts w:hint="eastAsia" w:ascii="楷体" w:hAnsi="楷体" w:eastAsia="楷体" w:cs="楷体"/>
          <w:sz w:val="28"/>
          <w:szCs w:val="28"/>
        </w:rPr>
        <w:t>第十一条    不可抗力</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11.1“不可抗力”是指本合同双方不可预见、亦无法避免的事件，该事件妨碍、影响或延误任何一方根据本合同履行其全部或部分义务。该事件包括但不限于政府政策法规变化或地震、台风、洪水及其他天灾、战争或任何其他类似事件。</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11.2如发生不可抗力事件，遭受该事件的一方应立即用可能的最快捷的方式通知对方该事件的性质、发生日期、预计持续时间等有关的细节，以及该事件阻碍通知方履行其于本合同项下义务的程度。</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11.3在不可抗力事件持续期间，遭受不可抗力事件的一方应定期及时地告知对方不可抗力事件的现状，如不可抗力事件结束，应立即以书面形式通知对方。</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11.4遭受不可抗力事件的一方可暂行中止履行本合同项下的义务直至不可抗力事件的影响消除为止，并且无需为此而承担违约责任，但应尽最大努力克服该事件，减轻其负面的影响。</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11.5遭受不可抗力的一方应当向对方提供事件发生地区的公证机构（或其他适当机构）出具的证实不可抗力事件的合法证明，如其不能提供该等证明，对方可根据本合同的约定要求其承担违约责任。</w:t>
      </w:r>
    </w:p>
    <w:p>
      <w:pPr>
        <w:rPr>
          <w:rFonts w:hint="eastAsia" w:ascii="楷体" w:hAnsi="楷体" w:eastAsia="楷体" w:cs="楷体"/>
          <w:sz w:val="28"/>
          <w:szCs w:val="28"/>
        </w:rPr>
      </w:pPr>
    </w:p>
    <w:p>
      <w:pPr>
        <w:ind w:firstLine="700" w:firstLineChars="250"/>
        <w:rPr>
          <w:rFonts w:hint="eastAsia" w:ascii="楷体" w:hAnsi="楷体" w:eastAsia="楷体" w:cs="楷体"/>
          <w:sz w:val="28"/>
          <w:szCs w:val="28"/>
        </w:rPr>
      </w:pPr>
      <w:r>
        <w:rPr>
          <w:rFonts w:hint="eastAsia" w:ascii="楷体" w:hAnsi="楷体" w:eastAsia="楷体" w:cs="楷体"/>
          <w:sz w:val="28"/>
          <w:szCs w:val="28"/>
        </w:rPr>
        <w:t>第十二条    通知与送达</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12.1任何与本合同有关的由本合同各方当事人发出的任何文件、通知、争议解决及其它通讯往来，必须采用书面形式，并送达至下述地址或各方书面通知的其他地址。</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甲方：杭州城投资产集团有限公司</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地址：杭州市婺江路319号蕙沣大厦B座17层</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电话：</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联系人：</w:t>
      </w:r>
    </w:p>
    <w:p>
      <w:pPr>
        <w:ind w:firstLine="560" w:firstLineChars="200"/>
        <w:rPr>
          <w:rFonts w:hint="eastAsia" w:ascii="楷体" w:hAnsi="楷体" w:eastAsia="楷体" w:cs="楷体"/>
          <w:sz w:val="28"/>
          <w:szCs w:val="28"/>
        </w:rPr>
      </w:pPr>
    </w:p>
    <w:p>
      <w:pPr>
        <w:ind w:firstLine="560" w:firstLineChars="200"/>
        <w:rPr>
          <w:rFonts w:hint="eastAsia" w:ascii="楷体" w:hAnsi="楷体" w:eastAsia="楷体" w:cs="楷体"/>
          <w:sz w:val="28"/>
          <w:szCs w:val="28"/>
        </w:rPr>
      </w:pPr>
      <w:r>
        <w:rPr>
          <w:rFonts w:hint="eastAsia" w:ascii="楷体" w:hAnsi="楷体" w:eastAsia="楷体" w:cs="楷体"/>
          <w:sz w:val="28"/>
          <w:szCs w:val="28"/>
        </w:rPr>
        <w:t xml:space="preserve">乙方：        </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地址：</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电话：</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 xml:space="preserve">联系人：  </w:t>
      </w:r>
    </w:p>
    <w:p>
      <w:pPr>
        <w:rPr>
          <w:rFonts w:hint="eastAsia" w:ascii="楷体" w:hAnsi="楷体" w:eastAsia="楷体" w:cs="楷体"/>
          <w:sz w:val="28"/>
          <w:szCs w:val="28"/>
        </w:rPr>
      </w:pPr>
    </w:p>
    <w:p>
      <w:pPr>
        <w:ind w:firstLine="560" w:firstLineChars="200"/>
        <w:rPr>
          <w:rFonts w:hint="eastAsia" w:ascii="楷体" w:hAnsi="楷体" w:eastAsia="楷体" w:cs="楷体"/>
          <w:sz w:val="28"/>
          <w:szCs w:val="28"/>
        </w:rPr>
      </w:pPr>
      <w:r>
        <w:rPr>
          <w:rFonts w:hint="eastAsia" w:ascii="楷体" w:hAnsi="楷体" w:eastAsia="楷体" w:cs="楷体"/>
          <w:sz w:val="28"/>
          <w:szCs w:val="28"/>
        </w:rPr>
        <w:t>12.2任何文件、通知或其他通讯往来，如以邮寄的方式，在寄出后第三个工作日将视为已送达，快递物流公司出具的投送收据或官网跟踪投递信息，将作为有效证明；如以手递的方式，则于对方签收时视作已送达，收条将作为有效证明。</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12.3甲方在乙方租赁物业门口或其他醒目位置张贴与日常物业管理有关的通知或文件，张贴时间持续超过三个工作日的（以物业公司书面记录为准），即视为已送达到乙方。</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12.4 更改地址要在五天之内以书面通知其他各方，如因地址变更方未通知地址变更导致送达不能或约定地址无人接收通知或信件的，则在一方向约定地址寄送通知或信件之日起第5日视为送达，由此造成的责任由地址变更方承担。</w:t>
      </w:r>
    </w:p>
    <w:p>
      <w:pPr>
        <w:ind w:firstLine="560" w:firstLineChars="200"/>
        <w:rPr>
          <w:rFonts w:hint="eastAsia" w:ascii="楷体" w:hAnsi="楷体" w:eastAsia="楷体" w:cs="楷体"/>
          <w:sz w:val="28"/>
          <w:szCs w:val="28"/>
        </w:rPr>
      </w:pPr>
    </w:p>
    <w:p>
      <w:pPr>
        <w:ind w:firstLine="560" w:firstLineChars="200"/>
        <w:rPr>
          <w:rFonts w:hint="eastAsia" w:ascii="楷体" w:hAnsi="楷体" w:eastAsia="楷体" w:cs="楷体"/>
          <w:sz w:val="28"/>
          <w:szCs w:val="28"/>
        </w:rPr>
      </w:pPr>
      <w:r>
        <w:rPr>
          <w:rFonts w:hint="eastAsia" w:ascii="楷体" w:hAnsi="楷体" w:eastAsia="楷体" w:cs="楷体"/>
          <w:sz w:val="28"/>
          <w:szCs w:val="28"/>
        </w:rPr>
        <w:t>第十三条    法律适用</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13.1 各方在履行本合同过程中发生争议，应协商解决。协商不成时，应向该物业所在地人民法院起诉。</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13.2本合同的订立、效力、解释、履行及其争议的解决，均应适用中华人民共和国的法律及受其管辖。</w:t>
      </w:r>
    </w:p>
    <w:p>
      <w:pPr>
        <w:rPr>
          <w:rFonts w:hint="eastAsia" w:ascii="楷体" w:hAnsi="楷体" w:eastAsia="楷体" w:cs="楷体"/>
          <w:sz w:val="28"/>
          <w:szCs w:val="28"/>
        </w:rPr>
      </w:pPr>
    </w:p>
    <w:p>
      <w:pPr>
        <w:ind w:firstLine="560" w:firstLineChars="200"/>
        <w:rPr>
          <w:rFonts w:hint="eastAsia" w:ascii="楷体" w:hAnsi="楷体" w:eastAsia="楷体" w:cs="楷体"/>
          <w:sz w:val="28"/>
          <w:szCs w:val="28"/>
        </w:rPr>
      </w:pPr>
      <w:r>
        <w:rPr>
          <w:rFonts w:hint="eastAsia" w:ascii="楷体" w:hAnsi="楷体" w:eastAsia="楷体" w:cs="楷体"/>
          <w:sz w:val="28"/>
          <w:szCs w:val="28"/>
        </w:rPr>
        <w:t>第十四条    合同效力</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14.1本合同构成甲方和乙方就有关本合同所涉及事项的全部合同，并且取代有关本合同的所载的各事项先前的所有口头及书面合同。</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14.2本合同附件所列明的内容为本合同各方就本合同有关条款内容所作之补充、修正、解释及说明，为本合同各方所确认及同意，亦为本合同的组成部分。</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14.3本合同自双方签字或盖章后生效。</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14.4本合同正本及其附件一式陆份，甲方执肆份，乙方执两份，各份具同等法律效力。</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14.5 本合同条款的标题仅为方便参阅而设，不得用于解释合同条款。</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14.6本合同条款经各方协商和谈判而达成，不构成任何一方的格式条款。</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14.7本合同以中文书写，如其他文字文本与中文文本不符，以中文文本为准。</w:t>
      </w:r>
    </w:p>
    <w:p>
      <w:pPr>
        <w:rPr>
          <w:rFonts w:hint="eastAsia" w:ascii="楷体" w:hAnsi="楷体" w:eastAsia="楷体" w:cs="楷体"/>
          <w:sz w:val="28"/>
          <w:szCs w:val="28"/>
        </w:rPr>
      </w:pPr>
    </w:p>
    <w:p>
      <w:pPr>
        <w:ind w:firstLine="560" w:firstLineChars="200"/>
        <w:rPr>
          <w:rFonts w:hint="eastAsia" w:ascii="楷体" w:hAnsi="楷体" w:eastAsia="楷体" w:cs="楷体"/>
          <w:sz w:val="28"/>
          <w:szCs w:val="28"/>
        </w:rPr>
      </w:pPr>
      <w:r>
        <w:rPr>
          <w:rFonts w:hint="eastAsia" w:ascii="楷体" w:hAnsi="楷体" w:eastAsia="楷体" w:cs="楷体"/>
          <w:sz w:val="28"/>
          <w:szCs w:val="28"/>
        </w:rPr>
        <w:t>第十五条    其他条款</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15.1 租赁期间，甲方因合理变更、修缮需要，在事先知会乙方后，有权临时封闭该物业所在建筑物的公用区域及公用设施或其他部分设施（包括但不限于走道，门户，窗户，电动装配，电缆电线，水管通道，燃气管道，电梯，自动扶梯，防火，保安设备，空调设备），变更该物业所在建筑物之公用区域整体结构、布局及安排。</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有关出租房屋设备、设施的移交及维修、保养、租赁等事宜，甲乙双方可另行签订相关合同约定。</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15.2 物业的维修养护责任</w:t>
      </w:r>
    </w:p>
    <w:p>
      <w:pPr>
        <w:adjustRightInd w:val="0"/>
        <w:snapToGrid w:val="0"/>
        <w:spacing w:line="396" w:lineRule="auto"/>
        <w:ind w:firstLine="560" w:firstLineChars="200"/>
        <w:rPr>
          <w:rFonts w:hint="eastAsia" w:ascii="楷体" w:hAnsi="楷体" w:eastAsia="楷体" w:cs="楷体"/>
          <w:sz w:val="28"/>
          <w:szCs w:val="28"/>
        </w:rPr>
      </w:pPr>
      <w:r>
        <w:rPr>
          <w:rFonts w:hint="eastAsia" w:ascii="楷体" w:hAnsi="楷体" w:eastAsia="楷体" w:cs="楷体"/>
          <w:sz w:val="28"/>
          <w:szCs w:val="28"/>
        </w:rPr>
        <w:t>甲方对房屋地基、基础、主体结构、幕墙问题承担维修责任（因乙方装修改造或人为损坏造成的和属于房屋所在物业服务公司维修范围的除外）；如确因需要维修，乙方应书面通知甲方，甲方收到通知后及时对现场勘查后进行维修，乙方应无条件配合甲方进行维修。乙方需承担非主体性结构、房屋建筑装饰和使用设施设备的日常维护维修，因乙方装修改造或管理使用不善造成房屋及相关设备的损失和维修费用，由乙方承担并负责赔偿由此给甲方造成的损失。若因乙方自身原因，未及时对非主体性结构、房屋建筑装饰和设施设备进行维护、维修产生的一切损失皆由乙方自行承担。</w:t>
      </w:r>
    </w:p>
    <w:p>
      <w:pPr>
        <w:adjustRightInd w:val="0"/>
        <w:snapToGrid w:val="0"/>
        <w:spacing w:line="396" w:lineRule="auto"/>
        <w:ind w:firstLine="560" w:firstLineChars="200"/>
        <w:rPr>
          <w:rFonts w:hint="eastAsia" w:ascii="楷体" w:hAnsi="楷体" w:eastAsia="楷体" w:cs="楷体"/>
          <w:sz w:val="28"/>
          <w:szCs w:val="28"/>
        </w:rPr>
      </w:pPr>
      <w:r>
        <w:rPr>
          <w:rFonts w:hint="eastAsia" w:ascii="楷体" w:hAnsi="楷体" w:eastAsia="楷体" w:cs="楷体"/>
          <w:sz w:val="28"/>
          <w:szCs w:val="28"/>
        </w:rPr>
        <w:t>15.3 业务数据的使用与权益</w:t>
      </w:r>
    </w:p>
    <w:p>
      <w:pPr>
        <w:adjustRightInd w:val="0"/>
        <w:snapToGrid w:val="0"/>
        <w:spacing w:line="396" w:lineRule="auto"/>
        <w:ind w:firstLine="560" w:firstLineChars="200"/>
        <w:rPr>
          <w:rFonts w:hint="eastAsia" w:ascii="楷体" w:hAnsi="楷体" w:eastAsia="楷体" w:cs="楷体"/>
          <w:sz w:val="28"/>
          <w:szCs w:val="28"/>
        </w:rPr>
      </w:pPr>
      <w:r>
        <w:rPr>
          <w:rFonts w:hint="eastAsia" w:ascii="楷体" w:hAnsi="楷体" w:eastAsia="楷体" w:cs="楷体"/>
          <w:sz w:val="28"/>
          <w:szCs w:val="28"/>
        </w:rPr>
        <w:t>15.3.1 业务数据是指双方在履行合同过程中产生的全部数据。乙方知悉并同意：甲方有权对业务数据进行收集、清洗与整合、分析与建模、存储等处理，并在符合法律法规的要求下，采取数据脱敏等方式，将数据用于平台功能优化、开发数据产品等商业上的利用。</w:t>
      </w:r>
    </w:p>
    <w:p>
      <w:pPr>
        <w:adjustRightInd w:val="0"/>
        <w:snapToGrid w:val="0"/>
        <w:spacing w:line="396" w:lineRule="auto"/>
        <w:ind w:firstLine="560" w:firstLineChars="200"/>
        <w:rPr>
          <w:rFonts w:hint="eastAsia" w:ascii="楷体" w:hAnsi="楷体" w:eastAsia="楷体" w:cs="楷体"/>
          <w:sz w:val="28"/>
          <w:szCs w:val="28"/>
        </w:rPr>
      </w:pPr>
      <w:r>
        <w:rPr>
          <w:rFonts w:hint="eastAsia" w:ascii="楷体" w:hAnsi="楷体" w:eastAsia="楷体" w:cs="楷体"/>
          <w:sz w:val="28"/>
          <w:szCs w:val="28"/>
        </w:rPr>
        <w:t>15.3.2 甲方承诺采取加密、权限管控等措施保障数据安全，防止数据泄露或滥用；基于本合同业务数据开发的数据产品（如分析模型、报告）的知识产权及数据权益归甲方所有。</w:t>
      </w:r>
    </w:p>
    <w:p>
      <w:pPr>
        <w:ind w:firstLine="560" w:firstLineChars="200"/>
        <w:rPr>
          <w:rFonts w:hint="eastAsia" w:ascii="楷体" w:hAnsi="楷体" w:eastAsia="楷体" w:cs="楷体"/>
          <w:sz w:val="28"/>
          <w:szCs w:val="28"/>
        </w:rPr>
      </w:pPr>
    </w:p>
    <w:p>
      <w:pPr>
        <w:ind w:firstLine="560" w:firstLineChars="200"/>
        <w:rPr>
          <w:rFonts w:hint="eastAsia" w:ascii="楷体" w:hAnsi="楷体" w:eastAsia="楷体" w:cs="楷体"/>
          <w:sz w:val="28"/>
          <w:szCs w:val="28"/>
        </w:rPr>
      </w:pPr>
    </w:p>
    <w:p>
      <w:pPr>
        <w:ind w:firstLine="560" w:firstLineChars="200"/>
        <w:rPr>
          <w:rFonts w:hint="eastAsia" w:ascii="楷体" w:hAnsi="楷体" w:eastAsia="楷体" w:cs="楷体"/>
          <w:sz w:val="28"/>
          <w:szCs w:val="28"/>
        </w:rPr>
      </w:pPr>
      <w:r>
        <w:rPr>
          <w:rFonts w:hint="eastAsia" w:ascii="楷体" w:hAnsi="楷体" w:eastAsia="楷体" w:cs="楷体"/>
          <w:sz w:val="28"/>
          <w:szCs w:val="28"/>
        </w:rPr>
        <w:t>附件：</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附件一、甲乙双方营业执照（或身份证）</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附件二、房屋产权证明文件</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附件三、安全生产管理协议书</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附件四、移交确认书</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附件五、反不正当竞争与反商业贿赂约定书</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（以下无正文）</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（合同签署页）</w:t>
      </w:r>
    </w:p>
    <w:p>
      <w:pPr>
        <w:rPr>
          <w:rFonts w:hint="eastAsia" w:ascii="楷体" w:hAnsi="楷体" w:eastAsia="楷体" w:cs="楷体"/>
          <w:sz w:val="28"/>
          <w:szCs w:val="28"/>
        </w:rPr>
      </w:pPr>
    </w:p>
    <w:p>
      <w:pPr>
        <w:rPr>
          <w:rFonts w:hint="eastAsia" w:ascii="楷体" w:hAnsi="楷体" w:eastAsia="楷体" w:cs="楷体"/>
          <w:sz w:val="28"/>
          <w:szCs w:val="28"/>
        </w:rPr>
      </w:pPr>
    </w:p>
    <w:p>
      <w:pPr>
        <w:rPr>
          <w:rFonts w:hint="eastAsia" w:ascii="楷体" w:hAnsi="楷体" w:eastAsia="楷体" w:cs="楷体"/>
          <w:sz w:val="28"/>
          <w:szCs w:val="28"/>
        </w:rPr>
      </w:pPr>
    </w:p>
    <w:p>
      <w:pPr>
        <w:rPr>
          <w:rFonts w:hint="eastAsia" w:ascii="楷体" w:hAnsi="楷体" w:eastAsia="楷体" w:cs="楷体"/>
          <w:sz w:val="28"/>
          <w:szCs w:val="28"/>
        </w:rPr>
      </w:pPr>
    </w:p>
    <w:p>
      <w:pPr>
        <w:rPr>
          <w:rFonts w:hint="eastAsia" w:ascii="楷体" w:hAnsi="楷体" w:eastAsia="楷体" w:cs="楷体"/>
          <w:sz w:val="28"/>
          <w:szCs w:val="28"/>
        </w:rPr>
      </w:pPr>
      <w:r>
        <w:rPr>
          <w:rFonts w:hint="eastAsia" w:ascii="楷体" w:hAnsi="楷体" w:eastAsia="楷体" w:cs="楷体"/>
          <w:sz w:val="28"/>
          <w:szCs w:val="28"/>
        </w:rPr>
        <w:t>甲方：杭州城投资产集团有限公司</w:t>
      </w:r>
    </w:p>
    <w:p>
      <w:pPr>
        <w:rPr>
          <w:rFonts w:hint="eastAsia" w:ascii="楷体" w:hAnsi="楷体" w:eastAsia="楷体" w:cs="楷体"/>
          <w:sz w:val="28"/>
          <w:szCs w:val="28"/>
        </w:rPr>
      </w:pPr>
      <w:r>
        <w:rPr>
          <w:rFonts w:hint="eastAsia" w:ascii="楷体" w:hAnsi="楷体" w:eastAsia="楷体" w:cs="楷体"/>
          <w:sz w:val="28"/>
          <w:szCs w:val="28"/>
        </w:rPr>
        <w:t>法定代表人或授权代表：</w:t>
      </w:r>
    </w:p>
    <w:p>
      <w:pPr>
        <w:rPr>
          <w:rFonts w:hint="eastAsia" w:ascii="楷体" w:hAnsi="楷体" w:eastAsia="楷体" w:cs="楷体"/>
          <w:sz w:val="28"/>
          <w:szCs w:val="28"/>
        </w:rPr>
      </w:pPr>
      <w:r>
        <w:rPr>
          <w:rFonts w:hint="eastAsia" w:ascii="楷体" w:hAnsi="楷体" w:eastAsia="楷体" w:cs="楷体"/>
          <w:sz w:val="28"/>
          <w:szCs w:val="28"/>
        </w:rPr>
        <w:t>经办人（签字）：</w:t>
      </w:r>
    </w:p>
    <w:p>
      <w:pPr>
        <w:rPr>
          <w:rFonts w:hint="eastAsia" w:ascii="楷体" w:hAnsi="楷体" w:eastAsia="楷体" w:cs="楷体"/>
          <w:sz w:val="28"/>
          <w:szCs w:val="28"/>
        </w:rPr>
      </w:pPr>
      <w:r>
        <w:rPr>
          <w:rFonts w:hint="eastAsia" w:ascii="楷体" w:hAnsi="楷体" w:eastAsia="楷体" w:cs="楷体"/>
          <w:sz w:val="28"/>
          <w:szCs w:val="28"/>
        </w:rPr>
        <w:t>签约日期：    年  月  日</w:t>
      </w:r>
    </w:p>
    <w:p>
      <w:pPr>
        <w:rPr>
          <w:rFonts w:hint="eastAsia" w:ascii="楷体" w:hAnsi="楷体" w:eastAsia="楷体" w:cs="楷体"/>
          <w:sz w:val="28"/>
          <w:szCs w:val="28"/>
        </w:rPr>
      </w:pPr>
    </w:p>
    <w:p>
      <w:pPr>
        <w:rPr>
          <w:rFonts w:hint="eastAsia" w:ascii="楷体" w:hAnsi="楷体" w:eastAsia="楷体" w:cs="楷体"/>
          <w:sz w:val="28"/>
          <w:szCs w:val="28"/>
        </w:rPr>
      </w:pPr>
      <w:r>
        <w:rPr>
          <w:rFonts w:hint="eastAsia" w:ascii="楷体" w:hAnsi="楷体" w:eastAsia="楷体" w:cs="楷体"/>
          <w:sz w:val="28"/>
          <w:szCs w:val="28"/>
        </w:rPr>
        <w:t xml:space="preserve">乙方（签字或盖章）：  </w:t>
      </w:r>
    </w:p>
    <w:p>
      <w:pPr>
        <w:rPr>
          <w:rFonts w:hint="eastAsia" w:ascii="楷体" w:hAnsi="楷体" w:eastAsia="楷体" w:cs="楷体"/>
          <w:sz w:val="28"/>
          <w:szCs w:val="28"/>
        </w:rPr>
      </w:pPr>
      <w:r>
        <w:rPr>
          <w:rFonts w:hint="eastAsia" w:ascii="楷体" w:hAnsi="楷体" w:eastAsia="楷体" w:cs="楷体"/>
          <w:sz w:val="28"/>
          <w:szCs w:val="28"/>
        </w:rPr>
        <w:t>法定代表人或授权代表：</w:t>
      </w:r>
    </w:p>
    <w:p>
      <w:pPr>
        <w:rPr>
          <w:rFonts w:hint="eastAsia" w:ascii="楷体" w:hAnsi="楷体" w:eastAsia="楷体" w:cs="楷体"/>
          <w:sz w:val="28"/>
          <w:szCs w:val="28"/>
        </w:rPr>
        <w:sectPr>
          <w:footerReference r:id="rId6" w:type="first"/>
          <w:headerReference r:id="rId3" w:type="default"/>
          <w:footerReference r:id="rId4" w:type="default"/>
          <w:footerReference r:id="rId5" w:type="even"/>
          <w:pgSz w:w="11906" w:h="16838"/>
          <w:pgMar w:top="1440" w:right="1466" w:bottom="1440" w:left="1736" w:header="851" w:footer="992" w:gutter="0"/>
          <w:cols w:space="720" w:num="1"/>
          <w:titlePg/>
          <w:docGrid w:type="lines" w:linePitch="312" w:charSpace="0"/>
        </w:sectPr>
      </w:pPr>
      <w:r>
        <w:rPr>
          <w:rFonts w:hint="eastAsia" w:ascii="楷体" w:hAnsi="楷体" w:eastAsia="楷体" w:cs="楷体"/>
          <w:sz w:val="28"/>
          <w:szCs w:val="28"/>
        </w:rPr>
        <w:t>签约日期：    年  月  日</w:t>
      </w:r>
    </w:p>
    <w:p>
      <w:pPr>
        <w:spacing w:line="360" w:lineRule="auto"/>
        <w:rPr>
          <w:rFonts w:hint="eastAsia" w:ascii="楷体" w:hAnsi="楷体" w:eastAsia="楷体" w:cs="楷体"/>
          <w:sz w:val="28"/>
          <w:szCs w:val="28"/>
        </w:rPr>
      </w:pPr>
      <w:r>
        <w:rPr>
          <w:rFonts w:hint="eastAsia" w:ascii="楷体" w:hAnsi="楷体" w:eastAsia="楷体" w:cs="楷体"/>
          <w:sz w:val="28"/>
          <w:szCs w:val="28"/>
        </w:rPr>
        <w:t>附件一</w:t>
      </w:r>
    </w:p>
    <w:p>
      <w:pPr>
        <w:spacing w:line="360" w:lineRule="auto"/>
        <w:jc w:val="center"/>
        <w:rPr>
          <w:rFonts w:hint="eastAsia" w:ascii="楷体" w:hAnsi="楷体" w:eastAsia="楷体" w:cs="楷体"/>
          <w:sz w:val="28"/>
          <w:szCs w:val="28"/>
        </w:rPr>
      </w:pPr>
      <w:r>
        <w:rPr>
          <w:rFonts w:hint="eastAsia" w:ascii="楷体" w:hAnsi="楷体" w:eastAsia="楷体" w:cs="楷体"/>
          <w:sz w:val="28"/>
          <w:szCs w:val="28"/>
        </w:rPr>
        <w:t>甲乙双方营业执照（或身份证）</w:t>
      </w:r>
    </w:p>
    <w:p>
      <w:pPr>
        <w:spacing w:line="360" w:lineRule="auto"/>
        <w:jc w:val="left"/>
        <w:rPr>
          <w:rFonts w:hint="eastAsia" w:ascii="楷体" w:hAnsi="楷体" w:eastAsia="楷体" w:cs="楷体"/>
          <w:sz w:val="28"/>
          <w:szCs w:val="28"/>
        </w:rPr>
      </w:pPr>
      <w:r>
        <w:rPr>
          <w:rFonts w:hint="eastAsia" w:ascii="楷体" w:hAnsi="楷体" w:eastAsia="楷体" w:cs="楷体"/>
          <w:sz w:val="28"/>
          <w:szCs w:val="28"/>
        </w:rPr>
        <w:br w:type="page"/>
      </w:r>
      <w:r>
        <w:rPr>
          <w:rFonts w:hint="eastAsia" w:ascii="楷体" w:hAnsi="楷体" w:eastAsia="楷体" w:cs="楷体"/>
          <w:sz w:val="28"/>
          <w:szCs w:val="28"/>
        </w:rPr>
        <w:t>附件二</w:t>
      </w:r>
    </w:p>
    <w:p>
      <w:pPr>
        <w:pStyle w:val="3"/>
        <w:spacing w:line="360" w:lineRule="auto"/>
        <w:ind w:left="0" w:leftChars="0"/>
        <w:jc w:val="center"/>
        <w:rPr>
          <w:rFonts w:hint="eastAsia" w:ascii="楷体" w:hAnsi="楷体" w:eastAsia="楷体" w:cs="楷体"/>
          <w:sz w:val="28"/>
          <w:szCs w:val="28"/>
        </w:rPr>
      </w:pPr>
      <w:r>
        <w:rPr>
          <w:rFonts w:hint="eastAsia" w:ascii="楷体" w:hAnsi="楷体" w:eastAsia="楷体" w:cs="楷体"/>
          <w:sz w:val="28"/>
          <w:szCs w:val="28"/>
        </w:rPr>
        <w:t>房屋产权证明文件</w:t>
      </w:r>
    </w:p>
    <w:p>
      <w:pPr>
        <w:pStyle w:val="3"/>
        <w:spacing w:line="360" w:lineRule="auto"/>
        <w:ind w:left="0" w:leftChars="0"/>
        <w:rPr>
          <w:rFonts w:hint="eastAsia" w:ascii="楷体" w:hAnsi="楷体" w:eastAsia="楷体" w:cs="楷体"/>
          <w:sz w:val="28"/>
          <w:szCs w:val="28"/>
        </w:rPr>
      </w:pPr>
      <w:r>
        <w:rPr>
          <w:rFonts w:hint="eastAsia" w:ascii="楷体" w:hAnsi="楷体" w:eastAsia="楷体" w:cs="楷体"/>
          <w:sz w:val="28"/>
          <w:szCs w:val="28"/>
        </w:rPr>
        <w:br w:type="page"/>
      </w:r>
      <w:r>
        <w:rPr>
          <w:rFonts w:hint="eastAsia" w:ascii="楷体" w:hAnsi="楷体" w:eastAsia="楷体" w:cs="楷体"/>
          <w:sz w:val="28"/>
          <w:szCs w:val="28"/>
        </w:rPr>
        <w:t>附件三</w:t>
      </w:r>
    </w:p>
    <w:p>
      <w:pPr>
        <w:pStyle w:val="3"/>
        <w:spacing w:line="360" w:lineRule="auto"/>
        <w:ind w:left="0" w:leftChars="0"/>
        <w:jc w:val="center"/>
        <w:rPr>
          <w:rFonts w:hint="eastAsia" w:ascii="楷体" w:hAnsi="楷体" w:eastAsia="楷体" w:cs="楷体"/>
          <w:b/>
          <w:sz w:val="28"/>
          <w:szCs w:val="28"/>
        </w:rPr>
      </w:pPr>
      <w:r>
        <w:rPr>
          <w:rFonts w:hint="eastAsia" w:ascii="楷体" w:hAnsi="楷体" w:eastAsia="楷体" w:cs="楷体"/>
          <w:b/>
          <w:sz w:val="28"/>
          <w:szCs w:val="28"/>
        </w:rPr>
        <w:t>安全生产管理协议书</w:t>
      </w:r>
    </w:p>
    <w:p>
      <w:pPr>
        <w:rPr>
          <w:rFonts w:hint="eastAsia" w:ascii="楷体" w:hAnsi="楷体" w:eastAsia="楷体" w:cs="楷体"/>
          <w:kern w:val="0"/>
          <w:sz w:val="28"/>
          <w:szCs w:val="28"/>
          <w:lang w:bidi="ar"/>
        </w:rPr>
      </w:pPr>
    </w:p>
    <w:p>
      <w:pPr>
        <w:rPr>
          <w:rFonts w:hint="eastAsia" w:ascii="楷体" w:hAnsi="楷体" w:eastAsia="楷体" w:cs="楷体"/>
          <w:b/>
          <w:bCs/>
          <w:sz w:val="28"/>
          <w:szCs w:val="28"/>
        </w:rPr>
      </w:pPr>
      <w:r>
        <w:rPr>
          <w:rFonts w:hint="eastAsia" w:ascii="楷体" w:hAnsi="楷体" w:eastAsia="楷体" w:cs="楷体"/>
          <w:b/>
          <w:bCs/>
          <w:sz w:val="28"/>
          <w:szCs w:val="28"/>
        </w:rPr>
        <w:t>甲方：</w:t>
      </w:r>
    </w:p>
    <w:p>
      <w:pPr>
        <w:rPr>
          <w:rFonts w:hint="eastAsia" w:ascii="楷体" w:hAnsi="楷体" w:eastAsia="楷体" w:cs="楷体"/>
          <w:b/>
          <w:bCs/>
          <w:sz w:val="28"/>
          <w:szCs w:val="28"/>
        </w:rPr>
      </w:pPr>
      <w:r>
        <w:rPr>
          <w:rFonts w:hint="eastAsia" w:ascii="楷体" w:hAnsi="楷体" w:eastAsia="楷体" w:cs="楷体"/>
          <w:b/>
          <w:bCs/>
          <w:sz w:val="28"/>
          <w:szCs w:val="28"/>
        </w:rPr>
        <w:t>乙方：</w:t>
      </w:r>
    </w:p>
    <w:p>
      <w:pPr>
        <w:ind w:firstLine="560" w:firstLineChars="200"/>
        <w:rPr>
          <w:rFonts w:hint="eastAsia" w:ascii="楷体" w:hAnsi="楷体" w:eastAsia="楷体" w:cs="楷体"/>
          <w:sz w:val="28"/>
          <w:szCs w:val="28"/>
        </w:rPr>
      </w:pPr>
    </w:p>
    <w:p>
      <w:pPr>
        <w:ind w:firstLine="560" w:firstLineChars="200"/>
        <w:rPr>
          <w:rFonts w:hint="eastAsia" w:ascii="楷体" w:hAnsi="楷体" w:eastAsia="楷体" w:cs="楷体"/>
          <w:sz w:val="28"/>
          <w:szCs w:val="28"/>
          <w:lang w:val="zh-CN"/>
        </w:rPr>
      </w:pPr>
      <w:r>
        <w:rPr>
          <w:rFonts w:hint="eastAsia" w:ascii="楷体" w:hAnsi="楷体" w:eastAsia="楷体" w:cs="楷体"/>
          <w:sz w:val="28"/>
          <w:szCs w:val="28"/>
        </w:rPr>
        <w:t>为全面贯彻落实安全生产工作的具体要求，坚持 “安全第一、 预防为主”的基本原则，加强安全监督管理，落实安全责任制，</w:t>
      </w:r>
      <w:r>
        <w:rPr>
          <w:rFonts w:hint="eastAsia" w:ascii="楷体" w:hAnsi="楷体" w:eastAsia="楷体" w:cs="楷体"/>
          <w:sz w:val="28"/>
          <w:szCs w:val="28"/>
          <w:lang w:val="zh-CN"/>
        </w:rPr>
        <w:t>确保出租经营场所安全、稳定运营，明确双方各自承担的安全责任、权利和义务等。根据《中华人民共和国安全生产法》《中华人民共和国消防法》《中华人民共和国特种设备</w:t>
      </w:r>
      <w:r>
        <w:rPr>
          <w:rFonts w:hint="eastAsia" w:ascii="楷体" w:hAnsi="楷体" w:eastAsia="楷体" w:cs="楷体"/>
          <w:sz w:val="28"/>
          <w:szCs w:val="28"/>
        </w:rPr>
        <w:t>安全</w:t>
      </w:r>
      <w:r>
        <w:rPr>
          <w:rFonts w:hint="eastAsia" w:ascii="楷体" w:hAnsi="楷体" w:eastAsia="楷体" w:cs="楷体"/>
          <w:sz w:val="28"/>
          <w:szCs w:val="28"/>
          <w:lang w:val="zh-CN"/>
        </w:rPr>
        <w:t>法》《机关、团体、企业、事业单位消防安全管理规定》《浙江省消防条例》《高层民用建筑消防安全管理规定》《浙江省房屋使用安全管理条例》及有关法律、法规规定，经双方协商，达成如下协议：</w:t>
      </w:r>
    </w:p>
    <w:p>
      <w:pPr>
        <w:ind w:firstLine="560" w:firstLineChars="200"/>
        <w:rPr>
          <w:rFonts w:hint="eastAsia" w:ascii="楷体" w:hAnsi="楷体" w:eastAsia="楷体" w:cs="楷体"/>
          <w:sz w:val="28"/>
          <w:szCs w:val="28"/>
          <w:lang w:val="zh-CN"/>
        </w:rPr>
      </w:pPr>
      <w:r>
        <w:rPr>
          <w:rFonts w:hint="eastAsia" w:ascii="楷体" w:hAnsi="楷体" w:eastAsia="楷体" w:cs="楷体"/>
          <w:sz w:val="28"/>
          <w:szCs w:val="28"/>
        </w:rPr>
        <w:t>一</w:t>
      </w:r>
      <w:r>
        <w:rPr>
          <w:rFonts w:hint="eastAsia" w:ascii="楷体" w:hAnsi="楷体" w:eastAsia="楷体" w:cs="楷体"/>
          <w:sz w:val="28"/>
          <w:szCs w:val="28"/>
          <w:lang w:val="zh-CN"/>
        </w:rPr>
        <w:t>、甲方安全职责</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甲方有权对乙方在管理区域内的安全生产、消防、公共安全等情况进行检查，并要求乙方对存在的不安全隐患限期进行整改。</w:t>
      </w:r>
      <w:r>
        <w:rPr>
          <w:rFonts w:hint="eastAsia" w:ascii="楷体" w:hAnsi="楷体" w:eastAsia="楷体" w:cs="楷体"/>
          <w:kern w:val="0"/>
          <w:sz w:val="28"/>
          <w:szCs w:val="28"/>
          <w:lang w:bidi="ar"/>
        </w:rPr>
        <w:t>甲方将不定期对乙方进行安全培训并发放相关宣传资料，乙方需予以配合。</w:t>
      </w:r>
    </w:p>
    <w:p>
      <w:pPr>
        <w:ind w:firstLine="560" w:firstLineChars="200"/>
        <w:rPr>
          <w:rFonts w:hint="eastAsia" w:ascii="楷体" w:hAnsi="楷体" w:eastAsia="楷体" w:cs="楷体"/>
          <w:sz w:val="28"/>
          <w:szCs w:val="28"/>
          <w:lang w:val="zh-CN"/>
        </w:rPr>
      </w:pPr>
      <w:r>
        <w:rPr>
          <w:rFonts w:hint="eastAsia" w:ascii="楷体" w:hAnsi="楷体" w:eastAsia="楷体" w:cs="楷体"/>
          <w:sz w:val="28"/>
          <w:szCs w:val="28"/>
        </w:rPr>
        <w:t>二</w:t>
      </w:r>
      <w:r>
        <w:rPr>
          <w:rFonts w:hint="eastAsia" w:ascii="楷体" w:hAnsi="楷体" w:eastAsia="楷体" w:cs="楷体"/>
          <w:sz w:val="28"/>
          <w:szCs w:val="28"/>
          <w:lang w:val="zh-CN"/>
        </w:rPr>
        <w:t>、乙方安全职责</w:t>
      </w:r>
    </w:p>
    <w:p>
      <w:pPr>
        <w:ind w:firstLine="560" w:firstLineChars="200"/>
        <w:rPr>
          <w:rFonts w:hint="eastAsia" w:ascii="楷体" w:hAnsi="楷体" w:eastAsia="楷体" w:cs="楷体"/>
          <w:color w:val="000000" w:themeColor="text1"/>
          <w:sz w:val="28"/>
          <w:szCs w:val="28"/>
          <w:lang w:val="zh-CN"/>
          <w14:textFill>
            <w14:solidFill>
              <w14:schemeClr w14:val="tx1"/>
            </w14:solidFill>
          </w14:textFill>
        </w:rPr>
      </w:pPr>
      <w:r>
        <w:rPr>
          <w:rFonts w:hint="eastAsia" w:ascii="楷体" w:hAnsi="楷体" w:eastAsia="楷体" w:cs="楷体"/>
          <w:color w:val="000000" w:themeColor="text1"/>
          <w:sz w:val="28"/>
          <w:szCs w:val="28"/>
          <w14:textFill>
            <w14:solidFill>
              <w14:schemeClr w14:val="tx1"/>
            </w14:solidFill>
          </w14:textFill>
        </w:rPr>
        <w:t>乙方明确：本协议签订后，乙方应作为房屋安全使用和管理责任人，对房屋使用安全承担主要责任（包括但不限于合理使用、定期检查、安全隐患报告等）。若乙方将该房屋对外转租或分租，乙方作为房屋安全使用和管理责任人的责任亦不免除。</w:t>
      </w:r>
    </w:p>
    <w:p>
      <w:pPr>
        <w:ind w:firstLine="560" w:firstLineChars="200"/>
        <w:rPr>
          <w:rFonts w:hint="eastAsia" w:ascii="楷体" w:hAnsi="楷体" w:eastAsia="楷体" w:cs="楷体"/>
          <w:sz w:val="28"/>
          <w:szCs w:val="28"/>
        </w:rPr>
      </w:pPr>
      <w:r>
        <w:rPr>
          <w:rFonts w:hint="eastAsia" w:ascii="楷体" w:hAnsi="楷体" w:eastAsia="楷体" w:cs="楷体"/>
          <w:sz w:val="28"/>
          <w:szCs w:val="28"/>
          <w:lang w:val="zh-CN"/>
        </w:rPr>
        <w:t>（</w:t>
      </w:r>
      <w:r>
        <w:rPr>
          <w:rFonts w:hint="eastAsia" w:ascii="楷体" w:hAnsi="楷体" w:eastAsia="楷体" w:cs="楷体"/>
          <w:sz w:val="28"/>
          <w:szCs w:val="28"/>
        </w:rPr>
        <w:t>一）管理责任</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1、有效贯彻落实涉及</w:t>
      </w:r>
      <w:r>
        <w:rPr>
          <w:rFonts w:hint="eastAsia" w:ascii="楷体" w:hAnsi="楷体" w:eastAsia="楷体" w:cs="楷体"/>
          <w:sz w:val="28"/>
          <w:szCs w:val="28"/>
          <w:lang w:val="zh-CN"/>
        </w:rPr>
        <w:t>安全生产</w:t>
      </w:r>
      <w:r>
        <w:rPr>
          <w:rFonts w:hint="eastAsia" w:ascii="楷体" w:hAnsi="楷体" w:eastAsia="楷体" w:cs="楷体"/>
          <w:sz w:val="28"/>
          <w:szCs w:val="28"/>
        </w:rPr>
        <w:t>有关法律、法规及甲方提出的安全生产要求，特种工种必须持证上岗（包括但不限于高配、电工、锅炉、消控管理人员等）。</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2、乙方在承租期间要定期对包括但不限于消防、防汛、电力、燃气及防护设施设备进行维护、保养，以确保各项设施设备合规、完好运行。</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3、</w:t>
      </w:r>
      <w:r>
        <w:rPr>
          <w:rFonts w:hint="eastAsia" w:ascii="楷体" w:hAnsi="楷体" w:eastAsia="楷体" w:cs="楷体"/>
          <w:sz w:val="28"/>
          <w:szCs w:val="28"/>
          <w:lang w:val="zh-CN"/>
        </w:rPr>
        <w:t>对甲方检查提出的安全隐患问题（</w:t>
      </w:r>
      <w:r>
        <w:rPr>
          <w:rFonts w:hint="eastAsia" w:ascii="楷体" w:hAnsi="楷体" w:eastAsia="楷体" w:cs="楷体"/>
          <w:sz w:val="28"/>
          <w:szCs w:val="28"/>
        </w:rPr>
        <w:t>安全隐患</w:t>
      </w:r>
      <w:r>
        <w:rPr>
          <w:rFonts w:hint="eastAsia" w:ascii="楷体" w:hAnsi="楷体" w:eastAsia="楷体" w:cs="楷体"/>
          <w:sz w:val="28"/>
          <w:szCs w:val="28"/>
          <w:lang w:val="zh-CN"/>
        </w:rPr>
        <w:t>整改</w:t>
      </w:r>
      <w:r>
        <w:rPr>
          <w:rFonts w:hint="eastAsia" w:ascii="楷体" w:hAnsi="楷体" w:eastAsia="楷体" w:cs="楷体"/>
          <w:sz w:val="28"/>
          <w:szCs w:val="28"/>
        </w:rPr>
        <w:t>单</w:t>
      </w:r>
      <w:r>
        <w:rPr>
          <w:rFonts w:hint="eastAsia" w:ascii="楷体" w:hAnsi="楷体" w:eastAsia="楷体" w:cs="楷体"/>
          <w:sz w:val="28"/>
          <w:szCs w:val="28"/>
          <w:lang w:val="zh-CN"/>
        </w:rPr>
        <w:t>），应立即进行整改。对一时无法解决的</w:t>
      </w:r>
      <w:r>
        <w:rPr>
          <w:rFonts w:hint="eastAsia" w:ascii="楷体" w:hAnsi="楷体" w:eastAsia="楷体" w:cs="楷体"/>
          <w:sz w:val="28"/>
          <w:szCs w:val="28"/>
        </w:rPr>
        <w:t>安全隐患</w:t>
      </w:r>
      <w:r>
        <w:rPr>
          <w:rFonts w:hint="eastAsia" w:ascii="楷体" w:hAnsi="楷体" w:eastAsia="楷体" w:cs="楷体"/>
          <w:sz w:val="28"/>
          <w:szCs w:val="28"/>
          <w:lang w:val="zh-CN"/>
        </w:rPr>
        <w:t>，必须采取有效措施进行补救，并将处理结果及时反馈</w:t>
      </w:r>
      <w:r>
        <w:rPr>
          <w:rFonts w:hint="eastAsia" w:ascii="楷体" w:hAnsi="楷体" w:eastAsia="楷体" w:cs="楷体"/>
          <w:sz w:val="28"/>
          <w:szCs w:val="28"/>
        </w:rPr>
        <w:t>甲方</w:t>
      </w:r>
      <w:r>
        <w:rPr>
          <w:rFonts w:hint="eastAsia" w:ascii="楷体" w:hAnsi="楷体" w:eastAsia="楷体" w:cs="楷体"/>
          <w:sz w:val="28"/>
          <w:szCs w:val="28"/>
          <w:lang w:val="zh-CN"/>
        </w:rPr>
        <w:t>。</w:t>
      </w:r>
      <w:r>
        <w:rPr>
          <w:rFonts w:hint="eastAsia" w:ascii="楷体" w:hAnsi="楷体" w:eastAsia="楷体" w:cs="楷体"/>
          <w:sz w:val="28"/>
          <w:szCs w:val="28"/>
        </w:rPr>
        <w:t>整改期间的一切安全生产责任及费用由乙方承担。</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4、未经甲方及有关部门批准，乙方不得私自改变房屋结构和屋内外设施设备，不得对房屋楼层上下内部隔层打通，不得拆毁房屋承重（包含剪力墙）等设施墙体；不得违法、违规、违章施工；禁止占用承租区域内、外安全通道。乙方应当遵守《浙江省房屋使用安全管理条例》等相关规定，乙方作为房屋使用安全责任人需严格履行房屋使用安全管理有关职责和义务，承担房屋使用安全责任，不得实施任何给房屋造成安全隐患的行为。在承租期内，乙方不得在房屋内进行黄赌毒、传销等违法活动，不得在房屋内发布危害国家安全的信息和程序，并且应妥善、安全地使用房屋相关设施设备。</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5、未经甲方及有关部门批准，租赁区域内不得设有大功率充电设备（包括但不限于</w:t>
      </w:r>
      <w:r>
        <w:rPr>
          <w:rFonts w:hint="eastAsia" w:ascii="楷体" w:hAnsi="楷体" w:eastAsia="楷体" w:cs="楷体"/>
          <w:sz w:val="28"/>
          <w:szCs w:val="28"/>
          <w:lang w:bidi="ar"/>
        </w:rPr>
        <w:t>厨房电器、</w:t>
      </w:r>
      <w:r>
        <w:rPr>
          <w:rFonts w:hint="eastAsia" w:ascii="楷体" w:hAnsi="楷体" w:eastAsia="楷体" w:cs="楷体"/>
          <w:sz w:val="28"/>
          <w:szCs w:val="28"/>
        </w:rPr>
        <w:t>电瓶自行车、新能源汽车充电设备等），严禁私拉、乱接电线以及使用麻花线，铺设线路需穿金属管或用非燃硬塑料管保护；严禁出现住宿与生产、仓储、经营中的一种或一种以上使用功能违章混合设置在同一空间内的建筑“三合一”场所。</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（二）消防责任</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乙方从接收物业（承租及管理区域）之日起，其法定代表人、实际控制人或主要负责人为物业（承租及管理区域）消防安全责任人，对承租的物业（承租及管理区域）消防安全工作负全面的责任，并根据国家及地方法规规定要求与所辖区消防大队签订《消防安全责任书》。</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2、承租物业投入使用前，乙方必须按照《中华人民共和国消防法》和《机关、团体、企业、事业单位消防安全管理规定》以及地方等有关法律、法规，建立本单位消防安全管理制度，同时将火警火灾应急处置预案报相关单位审核同意，落实专人负责，并负责监督执行。落实各级防火责任制，创建消防安全条件，完善消防设施。</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3、未经甲方及有关部门批准，严禁私自改动消防设施设备，确保消防设施设备正常运行，同时在重点防火区域内禁止增设与区域内工作无关的设备及其他影响消防安全的行为。</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4、经营装修必须符合消防安全许可要求，严格执行相关法律、法规及有关行政主管部门</w:t>
      </w:r>
      <w:r>
        <w:rPr>
          <w:rFonts w:hint="eastAsia" w:ascii="楷体" w:hAnsi="楷体" w:eastAsia="楷体" w:cs="楷体"/>
          <w:kern w:val="0"/>
          <w:sz w:val="28"/>
          <w:szCs w:val="28"/>
          <w:lang w:bidi="ar"/>
        </w:rPr>
        <w:t>要求</w:t>
      </w:r>
      <w:r>
        <w:rPr>
          <w:rFonts w:hint="eastAsia" w:ascii="楷体" w:hAnsi="楷体" w:eastAsia="楷体" w:cs="楷体"/>
          <w:sz w:val="28"/>
          <w:szCs w:val="28"/>
        </w:rPr>
        <w:t>。</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5、乙方应根据管理区域用途性质和场地面积大小，配足相应的灭火器材，且禁止在消防箱和配电箱周围堆放一切物品，禁止阻碍消防及逃生通道。</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6、租赁区域内设有配套厨房的，乙方应定期对厨房烟道、抽油烟机、燃气等设施设备按照消防要求进行清洗、保养，并留存清洗、保养内容记录5年备查，防止烟道及抽油烟机油污积垢过多、燃气厨具老化等引起火灾；在厨房等有明火场所配足灭火毯等灭火器材。</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7、乙方应定期、不定期按国家消防规范要求进行消防安全自查自纠，自查内容如下：</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（1）火灾隐患的整改情况以及防范措施的落实情况；</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（2）安全疏散通道、疏散安全出口指示标志是否明显，应急照明工作情况是否正常；</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（3）租赁区域内严禁堆放易燃、易爆、有毒等物品；</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（4）各类消防设施设备是否完好，符合正常运行；是否存在占用消防设施设备以及影响其使用的违法、违规行为；</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（5）安全通道是否有堆积物，影响应急逃生要求；</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（6）规范用电，杜绝私拉、私接、扩容等不法、违规行为；</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（7）是否按要求开展消防知识学习培训、应急演练；</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（8）应持证上岗的岗位人员是否都按要求持证上岗；</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（9）其他法律、法规、规章等规范性文件要求自查的内容。</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（三）防汛责任</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1、承租区域内定期清理排水系统，确保相关系统完好，排水畅通。</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2、储备相应应急物资，汛情期间确保自身人员安全情况下，利用储备防汛物资做好自身区域防汛工作。</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（四）应急责任</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1、出现意外险情，首先保障人员生命安全，利用现场保障资源做好应急工作，及时报警救援，同时向甲方通报有关险情及现场情况。</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2、无条件配合甲方应急抢险任务。</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（五）违约责任</w:t>
      </w:r>
    </w:p>
    <w:p>
      <w:pPr>
        <w:ind w:firstLine="560" w:firstLineChars="200"/>
        <w:rPr>
          <w:rFonts w:hint="eastAsia" w:ascii="楷体" w:hAnsi="楷体" w:eastAsia="楷体" w:cs="楷体"/>
          <w:kern w:val="0"/>
          <w:sz w:val="28"/>
          <w:szCs w:val="28"/>
          <w:lang w:bidi="ar"/>
        </w:rPr>
      </w:pPr>
      <w:r>
        <w:rPr>
          <w:rFonts w:hint="eastAsia" w:ascii="楷体" w:hAnsi="楷体" w:eastAsia="楷体" w:cs="楷体"/>
          <w:kern w:val="0"/>
          <w:sz w:val="28"/>
          <w:szCs w:val="28"/>
          <w:lang w:bidi="ar"/>
        </w:rPr>
        <w:t>1、承租区域内发生自然灾害事件、事故灾难事件、公共卫生事件和社会安全事件等突发事件的，乙方应在接到信息后5分钟内通知甲方。乙方及时、完整通知甲方的，甲方有权根据乙方违约程度要求支付相应安全管理责任违约金（每次伍仟元至陆万元）；如乙方出现迟报、少报、瞒报突发事件等情况，导致事件被媒体报道，或甲方受到杭州市城市建设投资集团有限公司或政府相关部门通报、批评的，甲方有权要求乙方支付相应违约金（每次壹万元至壹拾万元）。</w:t>
      </w:r>
    </w:p>
    <w:p>
      <w:pPr>
        <w:ind w:firstLine="560" w:firstLineChars="200"/>
        <w:rPr>
          <w:rFonts w:hint="eastAsia" w:ascii="楷体" w:hAnsi="楷体" w:eastAsia="楷体" w:cs="楷体"/>
          <w:sz w:val="28"/>
          <w:szCs w:val="28"/>
        </w:rPr>
      </w:pPr>
      <w:r>
        <w:rPr>
          <w:rFonts w:hint="eastAsia" w:ascii="楷体" w:hAnsi="楷体" w:eastAsia="楷体" w:cs="楷体"/>
          <w:kern w:val="0"/>
          <w:sz w:val="28"/>
          <w:szCs w:val="28"/>
          <w:lang w:bidi="ar"/>
        </w:rPr>
        <w:t>乙方应在收到甲方书面通知后5日内足额支付违约金，否则甲方有权自行从履约保证金中扣除，不足部分乙方需另行支付，同时乙方需及时向甲方补足履约保证金。若乙方未及时补足，甲方有权提起维权诉讼或仲裁要求乙方支付违约金或履约保证金，同时乙方需承担甲方因维权产生的费用（包括但不限于律师费、仲裁费、诉讼费、保全费、审计费、鉴定费）。</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2、甲方发现乙方承租区域内存在安全隐患的，乙方应在甲方通知期限内完成相应</w:t>
      </w:r>
      <w:r>
        <w:rPr>
          <w:rFonts w:hint="eastAsia" w:ascii="楷体" w:hAnsi="楷体" w:eastAsia="楷体" w:cs="楷体"/>
          <w:kern w:val="0"/>
          <w:sz w:val="28"/>
          <w:szCs w:val="28"/>
          <w:lang w:bidi="ar"/>
        </w:rPr>
        <w:t>消除隐患</w:t>
      </w:r>
      <w:r>
        <w:rPr>
          <w:rFonts w:hint="eastAsia" w:ascii="楷体" w:hAnsi="楷体" w:eastAsia="楷体" w:cs="楷体"/>
          <w:sz w:val="28"/>
          <w:szCs w:val="28"/>
        </w:rPr>
        <w:t>整改工作，如限期未整改的，甲方有权扣除乙方违约金每次贰仟至伍万元（在履约保证金中扣除），且乙方仍应继续整改；</w:t>
      </w:r>
      <w:r>
        <w:rPr>
          <w:rFonts w:hint="eastAsia" w:ascii="楷体" w:hAnsi="楷体" w:eastAsia="楷体" w:cs="楷体"/>
          <w:kern w:val="0"/>
          <w:sz w:val="28"/>
          <w:szCs w:val="28"/>
          <w:lang w:bidi="ar"/>
        </w:rPr>
        <w:t>因乙方拖延不整改、拒不整改或同一安全隐患反复出现，</w:t>
      </w:r>
      <w:r>
        <w:rPr>
          <w:rFonts w:hint="eastAsia" w:ascii="楷体" w:hAnsi="楷体" w:eastAsia="楷体" w:cs="楷体"/>
          <w:sz w:val="28"/>
          <w:szCs w:val="28"/>
        </w:rPr>
        <w:t>甲方书面发函、约谈2次及以上乙方仍未整改的（发函与约谈效力等同），视为乙方根本性违约，甲方有权解除合同，并按照签订的房屋租赁合同中约定的内容追究乙方违约责任，相关责任与费用由乙方自行承担，同时乙方需承担甲方因维权产生的费用（包括但不限于律师费、仲裁费、诉讼费、保全费、审计费、鉴定费等）。</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3、乙方未按甲方要求完成安全隐患限期整改的，甲方有权指定第三方单位进行整改，一切整改费用由乙方承担，整改费用包括但不限于材料成本、人工成本、税费、管理费，同时需承担整改期间的一切安全生产责任。若因乙方违反安全管理责任，导致甲方造成行政处罚或赔偿，甲方有权向乙方追偿一切损失（包括但不限于行政处罚金、赔偿金，以及维权产生的律师费、仲裁费、诉讼费、保全费、审计费、鉴定费等）。</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4、因乙方</w:t>
      </w:r>
      <w:r>
        <w:rPr>
          <w:rFonts w:hint="eastAsia" w:ascii="楷体" w:hAnsi="楷体" w:eastAsia="楷体" w:cs="楷体"/>
          <w:sz w:val="28"/>
          <w:szCs w:val="28"/>
          <w:lang w:val="zh-CN"/>
        </w:rPr>
        <w:t>违反</w:t>
      </w:r>
      <w:r>
        <w:rPr>
          <w:rFonts w:hint="eastAsia" w:ascii="楷体" w:hAnsi="楷体" w:eastAsia="楷体" w:cs="楷体"/>
          <w:sz w:val="28"/>
          <w:szCs w:val="28"/>
        </w:rPr>
        <w:t>安全生产等相关法律、法规规定及</w:t>
      </w:r>
      <w:r>
        <w:rPr>
          <w:rFonts w:hint="eastAsia" w:ascii="楷体" w:hAnsi="楷体" w:eastAsia="楷体" w:cs="楷体"/>
          <w:sz w:val="28"/>
          <w:szCs w:val="28"/>
          <w:lang w:val="zh-CN"/>
        </w:rPr>
        <w:t>双方约定的条款，造成事故、险情的，由</w:t>
      </w:r>
      <w:r>
        <w:rPr>
          <w:rFonts w:hint="eastAsia" w:ascii="楷体" w:hAnsi="楷体" w:eastAsia="楷体" w:cs="楷体"/>
          <w:sz w:val="28"/>
          <w:szCs w:val="28"/>
        </w:rPr>
        <w:t>乙</w:t>
      </w:r>
      <w:r>
        <w:rPr>
          <w:rFonts w:hint="eastAsia" w:ascii="楷体" w:hAnsi="楷体" w:eastAsia="楷体" w:cs="楷体"/>
          <w:sz w:val="28"/>
          <w:szCs w:val="28"/>
          <w:lang w:val="zh-CN"/>
        </w:rPr>
        <w:t>方承担</w:t>
      </w:r>
      <w:r>
        <w:rPr>
          <w:rFonts w:hint="eastAsia" w:ascii="楷体" w:hAnsi="楷体" w:eastAsia="楷体" w:cs="楷体"/>
          <w:sz w:val="28"/>
          <w:szCs w:val="28"/>
        </w:rPr>
        <w:t>由此产生的一切法律</w:t>
      </w:r>
      <w:r>
        <w:rPr>
          <w:rFonts w:hint="eastAsia" w:ascii="楷体" w:hAnsi="楷体" w:eastAsia="楷体" w:cs="楷体"/>
          <w:sz w:val="28"/>
          <w:szCs w:val="28"/>
          <w:lang w:val="zh-CN"/>
        </w:rPr>
        <w:t>责任</w:t>
      </w:r>
      <w:r>
        <w:rPr>
          <w:rFonts w:hint="eastAsia" w:ascii="楷体" w:hAnsi="楷体" w:eastAsia="楷体" w:cs="楷体"/>
          <w:sz w:val="28"/>
          <w:szCs w:val="28"/>
        </w:rPr>
        <w:t>包括但不限于民事责任、行政责任、刑事责任、赔偿甲方的全部损失，同时甲方有权扣除乙方违约金每次贰仟至伍万元（从履约保证金中扣除）。</w:t>
      </w:r>
    </w:p>
    <w:p>
      <w:pPr>
        <w:ind w:firstLine="560" w:firstLineChars="200"/>
        <w:rPr>
          <w:rFonts w:hint="eastAsia" w:ascii="楷体" w:hAnsi="楷体" w:eastAsia="楷体" w:cs="楷体"/>
          <w:sz w:val="28"/>
          <w:szCs w:val="28"/>
          <w:lang w:val="zh-CN"/>
        </w:rPr>
      </w:pPr>
      <w:r>
        <w:rPr>
          <w:rFonts w:hint="eastAsia" w:ascii="楷体" w:hAnsi="楷体" w:eastAsia="楷体" w:cs="楷体"/>
          <w:sz w:val="28"/>
          <w:szCs w:val="28"/>
          <w:lang w:val="zh-CN"/>
        </w:rPr>
        <w:t>三、其他事项</w:t>
      </w:r>
    </w:p>
    <w:p>
      <w:pPr>
        <w:adjustRightInd w:val="0"/>
        <w:snapToGrid w:val="0"/>
        <w:spacing w:line="360" w:lineRule="auto"/>
        <w:ind w:firstLine="560" w:firstLineChars="200"/>
        <w:rPr>
          <w:rFonts w:hint="eastAsia" w:ascii="楷体" w:hAnsi="楷体" w:eastAsia="楷体" w:cs="楷体"/>
          <w:sz w:val="28"/>
          <w:szCs w:val="28"/>
          <w:lang w:val="zh-CN"/>
        </w:rPr>
      </w:pPr>
      <w:r>
        <w:rPr>
          <w:rFonts w:hint="eastAsia" w:ascii="楷体" w:hAnsi="楷体" w:eastAsia="楷体" w:cs="楷体"/>
          <w:sz w:val="28"/>
          <w:szCs w:val="28"/>
          <w:lang w:val="zh-CN"/>
        </w:rPr>
        <w:t>1</w:t>
      </w:r>
      <w:r>
        <w:rPr>
          <w:rFonts w:hint="eastAsia" w:ascii="楷体" w:hAnsi="楷体" w:eastAsia="楷体" w:cs="楷体"/>
          <w:sz w:val="28"/>
          <w:szCs w:val="28"/>
        </w:rPr>
        <w:t>.</w:t>
      </w:r>
      <w:r>
        <w:rPr>
          <w:rFonts w:hint="eastAsia" w:ascii="楷体" w:hAnsi="楷体" w:eastAsia="楷体" w:cs="楷体"/>
          <w:sz w:val="28"/>
          <w:szCs w:val="28"/>
          <w:lang w:val="zh-CN"/>
        </w:rPr>
        <w:t>本协议未尽事宜，双方另行商定，</w:t>
      </w:r>
      <w:r>
        <w:rPr>
          <w:rFonts w:hint="eastAsia" w:ascii="楷体" w:hAnsi="楷体" w:eastAsia="楷体" w:cs="楷体"/>
          <w:sz w:val="28"/>
          <w:szCs w:val="28"/>
        </w:rPr>
        <w:t>协商不成的，由甲方所在地法院管辖</w:t>
      </w:r>
      <w:r>
        <w:rPr>
          <w:rFonts w:hint="eastAsia" w:ascii="楷体" w:hAnsi="楷体" w:eastAsia="楷体" w:cs="楷体"/>
          <w:sz w:val="28"/>
          <w:szCs w:val="28"/>
          <w:lang w:val="zh-CN"/>
        </w:rPr>
        <w:t>。</w:t>
      </w:r>
    </w:p>
    <w:p>
      <w:pPr>
        <w:adjustRightInd w:val="0"/>
        <w:snapToGrid w:val="0"/>
        <w:spacing w:line="360" w:lineRule="auto"/>
        <w:ind w:firstLine="560" w:firstLineChars="200"/>
        <w:rPr>
          <w:rFonts w:hint="eastAsia" w:ascii="楷体" w:hAnsi="楷体" w:eastAsia="楷体" w:cs="楷体"/>
          <w:sz w:val="28"/>
          <w:szCs w:val="28"/>
        </w:rPr>
      </w:pPr>
      <w:r>
        <w:rPr>
          <w:rFonts w:hint="eastAsia" w:ascii="楷体" w:hAnsi="楷体" w:eastAsia="楷体" w:cs="楷体"/>
          <w:sz w:val="28"/>
          <w:szCs w:val="28"/>
        </w:rPr>
        <w:t>2.本协议一式肆份，甲、乙双方各执贰份，自签字或盖章之日起生效。</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（以下无正文）</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（合同签署页）</w:t>
      </w:r>
    </w:p>
    <w:p>
      <w:pPr>
        <w:ind w:firstLine="560" w:firstLineChars="200"/>
        <w:rPr>
          <w:rFonts w:hint="eastAsia" w:ascii="楷体" w:hAnsi="楷体" w:eastAsia="楷体" w:cs="楷体"/>
          <w:sz w:val="28"/>
          <w:szCs w:val="28"/>
        </w:rPr>
      </w:pPr>
    </w:p>
    <w:p>
      <w:pPr>
        <w:ind w:firstLine="560" w:firstLineChars="200"/>
        <w:rPr>
          <w:rFonts w:hint="eastAsia" w:ascii="楷体" w:hAnsi="楷体" w:eastAsia="楷体" w:cs="楷体"/>
          <w:sz w:val="28"/>
          <w:szCs w:val="28"/>
        </w:rPr>
      </w:pPr>
      <w:r>
        <w:rPr>
          <w:rFonts w:hint="eastAsia" w:ascii="楷体" w:hAnsi="楷体" w:eastAsia="楷体" w:cs="楷体"/>
          <w:sz w:val="28"/>
          <w:szCs w:val="28"/>
        </w:rPr>
        <w:t>甲方（盖章）：</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法定代表人或授权代表：</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经办人（签名）：</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签订日期：    年   月   日</w:t>
      </w:r>
    </w:p>
    <w:p>
      <w:pPr>
        <w:ind w:firstLine="560" w:firstLineChars="200"/>
        <w:rPr>
          <w:rFonts w:hint="eastAsia" w:ascii="楷体" w:hAnsi="楷体" w:eastAsia="楷体" w:cs="楷体"/>
          <w:sz w:val="28"/>
          <w:szCs w:val="28"/>
        </w:rPr>
      </w:pPr>
    </w:p>
    <w:p>
      <w:pPr>
        <w:ind w:firstLine="560" w:firstLineChars="200"/>
        <w:rPr>
          <w:rFonts w:hint="eastAsia" w:ascii="楷体" w:hAnsi="楷体" w:eastAsia="楷体" w:cs="楷体"/>
          <w:sz w:val="28"/>
          <w:szCs w:val="28"/>
        </w:rPr>
      </w:pPr>
    </w:p>
    <w:p>
      <w:pPr>
        <w:ind w:firstLine="560" w:firstLineChars="200"/>
        <w:rPr>
          <w:rFonts w:hint="eastAsia" w:ascii="楷体" w:hAnsi="楷体" w:eastAsia="楷体" w:cs="楷体"/>
          <w:sz w:val="28"/>
          <w:szCs w:val="28"/>
        </w:rPr>
      </w:pPr>
      <w:r>
        <w:rPr>
          <w:rFonts w:hint="eastAsia" w:ascii="楷体" w:hAnsi="楷体" w:eastAsia="楷体" w:cs="楷体"/>
          <w:sz w:val="28"/>
          <w:szCs w:val="28"/>
        </w:rPr>
        <w:t>乙方（签字或盖章）：</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法定代表人或授权代表：</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签订日期：    年   月   日</w:t>
      </w:r>
    </w:p>
    <w:p>
      <w:pPr>
        <w:rPr>
          <w:rFonts w:hint="eastAsia" w:ascii="楷体" w:hAnsi="楷体" w:eastAsia="楷体" w:cs="楷体"/>
          <w:sz w:val="28"/>
          <w:szCs w:val="28"/>
        </w:rPr>
      </w:pPr>
      <w:r>
        <w:rPr>
          <w:rFonts w:hint="eastAsia" w:ascii="楷体" w:hAnsi="楷体" w:eastAsia="楷体" w:cs="楷体"/>
          <w:sz w:val="28"/>
          <w:szCs w:val="28"/>
        </w:rPr>
        <w:br w:type="page"/>
      </w:r>
    </w:p>
    <w:p>
      <w:pPr>
        <w:rPr>
          <w:rFonts w:hint="eastAsia" w:ascii="楷体" w:hAnsi="楷体" w:eastAsia="楷体" w:cs="楷体"/>
          <w:sz w:val="28"/>
          <w:szCs w:val="28"/>
        </w:rPr>
      </w:pPr>
      <w:r>
        <w:rPr>
          <w:rFonts w:hint="eastAsia" w:ascii="楷体" w:hAnsi="楷体" w:eastAsia="楷体" w:cs="楷体"/>
          <w:sz w:val="28"/>
          <w:szCs w:val="28"/>
        </w:rPr>
        <w:t xml:space="preserve">附件四 </w:t>
      </w:r>
    </w:p>
    <w:p>
      <w:pPr>
        <w:spacing w:line="480" w:lineRule="auto"/>
        <w:jc w:val="center"/>
        <w:rPr>
          <w:b/>
          <w:bCs/>
          <w:szCs w:val="21"/>
        </w:rPr>
      </w:pPr>
      <w:r>
        <w:rPr>
          <w:rFonts w:hint="eastAsia" w:eastAsia="方正小标宋简体"/>
          <w:b/>
          <w:bCs/>
          <w:sz w:val="44"/>
          <w:szCs w:val="44"/>
        </w:rPr>
        <w:t>移交确认书</w:t>
      </w:r>
    </w:p>
    <w:p>
      <w:pPr>
        <w:spacing w:line="480" w:lineRule="auto"/>
        <w:rPr>
          <w:rFonts w:eastAsia="仿宋_GB2312"/>
          <w:b/>
          <w:bCs/>
          <w:szCs w:val="21"/>
          <w:u w:val="single"/>
        </w:rPr>
      </w:pPr>
      <w:r>
        <w:rPr>
          <w:rFonts w:hint="eastAsia" w:eastAsia="仿宋_GB2312"/>
          <w:b/>
          <w:bCs/>
          <w:szCs w:val="21"/>
        </w:rPr>
        <w:t>承租单位名称：</w:t>
      </w:r>
      <w:r>
        <w:rPr>
          <w:rFonts w:eastAsia="仿宋_GB2312"/>
          <w:b/>
          <w:bCs/>
          <w:szCs w:val="21"/>
          <w:u w:val="single"/>
        </w:rPr>
        <w:t xml:space="preserve">                            </w:t>
      </w:r>
      <w:r>
        <w:rPr>
          <w:rFonts w:hint="eastAsia" w:eastAsia="仿宋_GB2312"/>
          <w:b/>
          <w:bCs/>
          <w:szCs w:val="21"/>
        </w:rPr>
        <w:t>物业房间号：</w:t>
      </w:r>
      <w:r>
        <w:rPr>
          <w:rFonts w:eastAsia="仿宋_GB2312"/>
          <w:b/>
          <w:bCs/>
          <w:szCs w:val="21"/>
          <w:u w:val="single"/>
        </w:rPr>
        <w:t xml:space="preserve">                          </w:t>
      </w:r>
    </w:p>
    <w:p>
      <w:pPr>
        <w:spacing w:line="480" w:lineRule="auto"/>
        <w:rPr>
          <w:rFonts w:eastAsia="仿宋_GB2312"/>
          <w:b/>
          <w:bCs/>
          <w:szCs w:val="21"/>
          <w:u w:val="single"/>
        </w:rPr>
      </w:pPr>
      <w:r>
        <w:rPr>
          <w:rFonts w:hint="eastAsia" w:eastAsia="仿宋_GB2312"/>
          <w:b/>
          <w:bCs/>
          <w:szCs w:val="21"/>
        </w:rPr>
        <w:t>物业面积：</w:t>
      </w:r>
      <w:r>
        <w:rPr>
          <w:rFonts w:eastAsia="仿宋_GB2312"/>
          <w:b/>
          <w:bCs/>
          <w:szCs w:val="21"/>
          <w:u w:val="single"/>
        </w:rPr>
        <w:t xml:space="preserve">                                </w:t>
      </w:r>
      <w:r>
        <w:rPr>
          <w:rFonts w:hint="eastAsia" w:eastAsia="仿宋_GB2312"/>
          <w:b/>
          <w:bCs/>
          <w:szCs w:val="21"/>
        </w:rPr>
        <w:t>移交日期：</w:t>
      </w:r>
      <w:r>
        <w:rPr>
          <w:rFonts w:eastAsia="仿宋_GB2312"/>
          <w:b/>
          <w:bCs/>
          <w:szCs w:val="21"/>
          <w:u w:val="single"/>
        </w:rPr>
        <w:t xml:space="preserve">                            </w:t>
      </w:r>
    </w:p>
    <w:tbl>
      <w:tblPr>
        <w:tblStyle w:val="8"/>
        <w:tblW w:w="0" w:type="auto"/>
        <w:tblInd w:w="-176" w:type="dxa"/>
        <w:tblLayout w:type="fixed"/>
        <w:tblCellMar>
          <w:top w:w="0" w:type="dxa"/>
          <w:left w:w="108" w:type="dxa"/>
          <w:bottom w:w="0" w:type="dxa"/>
          <w:right w:w="108" w:type="dxa"/>
        </w:tblCellMar>
      </w:tblPr>
      <w:tblGrid>
        <w:gridCol w:w="716"/>
        <w:gridCol w:w="2874"/>
        <w:gridCol w:w="2918"/>
        <w:gridCol w:w="2059"/>
      </w:tblGrid>
      <w:tr>
        <w:tblPrEx>
          <w:tblCellMar>
            <w:top w:w="0" w:type="dxa"/>
            <w:left w:w="108" w:type="dxa"/>
            <w:bottom w:w="0" w:type="dxa"/>
            <w:right w:w="108" w:type="dxa"/>
          </w:tblCellMar>
        </w:tblPrEx>
        <w:trPr>
          <w:trHeight w:val="469" w:hRule="atLeast"/>
        </w:trPr>
        <w:tc>
          <w:tcPr>
            <w:tcW w:w="716" w:type="dxa"/>
            <w:tcBorders>
              <w:top w:val="single" w:color="000000" w:sz="4" w:space="0"/>
              <w:left w:val="single" w:color="000000" w:sz="4" w:space="0"/>
              <w:bottom w:val="single" w:color="000000" w:sz="4" w:space="0"/>
              <w:right w:val="single" w:color="000000" w:sz="4" w:space="0"/>
            </w:tcBorders>
            <w:vAlign w:val="center"/>
          </w:tcPr>
          <w:p>
            <w:pPr>
              <w:jc w:val="center"/>
              <w:rPr>
                <w:rFonts w:eastAsia="仿宋_GB2312"/>
                <w:b/>
                <w:bCs/>
                <w:szCs w:val="21"/>
              </w:rPr>
            </w:pPr>
            <w:r>
              <w:rPr>
                <w:rFonts w:hint="eastAsia" w:eastAsia="仿宋_GB2312"/>
                <w:b/>
                <w:bCs/>
                <w:szCs w:val="21"/>
              </w:rPr>
              <w:t xml:space="preserve">类别                                                                                                                                                </w:t>
            </w:r>
          </w:p>
        </w:tc>
        <w:tc>
          <w:tcPr>
            <w:tcW w:w="2874" w:type="dxa"/>
            <w:tcBorders>
              <w:top w:val="single" w:color="000000" w:sz="4" w:space="0"/>
              <w:left w:val="nil"/>
              <w:bottom w:val="single" w:color="000000" w:sz="4" w:space="0"/>
              <w:right w:val="single" w:color="000000" w:sz="4" w:space="0"/>
            </w:tcBorders>
            <w:vAlign w:val="center"/>
          </w:tcPr>
          <w:p>
            <w:pPr>
              <w:jc w:val="center"/>
              <w:rPr>
                <w:rFonts w:eastAsia="仿宋_GB2312"/>
                <w:b/>
                <w:bCs/>
                <w:szCs w:val="21"/>
              </w:rPr>
            </w:pPr>
            <w:r>
              <w:rPr>
                <w:rFonts w:hint="eastAsia" w:eastAsia="仿宋_GB2312"/>
                <w:b/>
                <w:bCs/>
                <w:szCs w:val="21"/>
              </w:rPr>
              <w:t xml:space="preserve">检验项目                                                                                                                                                                                                             </w:t>
            </w:r>
          </w:p>
        </w:tc>
        <w:tc>
          <w:tcPr>
            <w:tcW w:w="2918" w:type="dxa"/>
            <w:tcBorders>
              <w:top w:val="single" w:color="000000" w:sz="4" w:space="0"/>
              <w:left w:val="nil"/>
              <w:bottom w:val="single" w:color="000000" w:sz="4" w:space="0"/>
              <w:right w:val="single" w:color="000000" w:sz="4" w:space="0"/>
            </w:tcBorders>
            <w:vAlign w:val="center"/>
          </w:tcPr>
          <w:p>
            <w:pPr>
              <w:jc w:val="center"/>
              <w:rPr>
                <w:rFonts w:eastAsia="仿宋_GB2312"/>
                <w:b/>
                <w:bCs/>
                <w:szCs w:val="21"/>
              </w:rPr>
            </w:pPr>
            <w:r>
              <w:rPr>
                <w:rFonts w:hint="eastAsia" w:eastAsia="仿宋_GB2312"/>
                <w:b/>
                <w:bCs/>
                <w:szCs w:val="21"/>
              </w:rPr>
              <w:t>验收情况</w:t>
            </w:r>
            <w:r>
              <w:rPr>
                <w:rFonts w:eastAsia="仿宋_GB2312"/>
                <w:b/>
                <w:bCs/>
                <w:szCs w:val="21"/>
              </w:rPr>
              <w:t xml:space="preserve">                                                                     </w:t>
            </w:r>
          </w:p>
        </w:tc>
        <w:tc>
          <w:tcPr>
            <w:tcW w:w="2059" w:type="dxa"/>
            <w:tcBorders>
              <w:top w:val="single" w:color="000000" w:sz="4" w:space="0"/>
              <w:bottom w:val="single" w:color="000000" w:sz="4" w:space="0"/>
              <w:right w:val="single" w:color="000000" w:sz="4" w:space="0"/>
            </w:tcBorders>
            <w:vAlign w:val="center"/>
          </w:tcPr>
          <w:p>
            <w:pPr>
              <w:jc w:val="center"/>
              <w:rPr>
                <w:rFonts w:eastAsia="仿宋_GB2312"/>
                <w:b/>
                <w:bCs/>
                <w:szCs w:val="21"/>
              </w:rPr>
            </w:pPr>
            <w:r>
              <w:rPr>
                <w:rFonts w:hint="eastAsia" w:eastAsia="仿宋_GB2312"/>
                <w:b/>
                <w:bCs/>
                <w:szCs w:val="21"/>
              </w:rPr>
              <w:t xml:space="preserve">备注                                                                                  </w:t>
            </w:r>
          </w:p>
        </w:tc>
      </w:tr>
      <w:tr>
        <w:tblPrEx>
          <w:tblCellMar>
            <w:top w:w="0" w:type="dxa"/>
            <w:left w:w="108" w:type="dxa"/>
            <w:bottom w:w="0" w:type="dxa"/>
            <w:right w:w="108" w:type="dxa"/>
          </w:tblCellMar>
        </w:tblPrEx>
        <w:trPr>
          <w:trHeight w:val="342" w:hRule="atLeast"/>
        </w:trPr>
        <w:tc>
          <w:tcPr>
            <w:tcW w:w="716" w:type="dxa"/>
            <w:vMerge w:val="restart"/>
            <w:tcBorders>
              <w:top w:val="nil"/>
              <w:left w:val="single" w:color="000000" w:sz="4" w:space="0"/>
              <w:right w:val="single" w:color="000000" w:sz="4" w:space="0"/>
            </w:tcBorders>
            <w:vAlign w:val="center"/>
          </w:tcPr>
          <w:p>
            <w:pPr>
              <w:jc w:val="center"/>
              <w:rPr>
                <w:rFonts w:eastAsia="仿宋_GB2312"/>
                <w:szCs w:val="21"/>
              </w:rPr>
            </w:pPr>
            <w:r>
              <w:rPr>
                <w:rFonts w:hint="eastAsia" w:eastAsia="仿宋_GB2312"/>
                <w:szCs w:val="21"/>
              </w:rPr>
              <w:t>土</w:t>
            </w:r>
            <w:r>
              <w:rPr>
                <w:rFonts w:eastAsia="仿宋_GB2312"/>
                <w:szCs w:val="21"/>
              </w:rPr>
              <w:t xml:space="preserve">      </w:t>
            </w:r>
            <w:r>
              <w:rPr>
                <w:rFonts w:hint="eastAsia" w:eastAsia="仿宋_GB2312"/>
                <w:szCs w:val="21"/>
              </w:rPr>
              <w:t>建</w:t>
            </w:r>
          </w:p>
        </w:tc>
        <w:tc>
          <w:tcPr>
            <w:tcW w:w="2874" w:type="dxa"/>
            <w:tcBorders>
              <w:top w:val="nil"/>
              <w:left w:val="nil"/>
              <w:bottom w:val="single" w:color="000000" w:sz="4" w:space="0"/>
              <w:right w:val="single" w:color="000000" w:sz="4" w:space="0"/>
            </w:tcBorders>
            <w:vAlign w:val="center"/>
          </w:tcPr>
          <w:p>
            <w:pPr>
              <w:rPr>
                <w:rFonts w:eastAsia="仿宋_GB2312"/>
                <w:szCs w:val="21"/>
              </w:rPr>
            </w:pPr>
            <w:r>
              <w:rPr>
                <w:rFonts w:hint="eastAsia" w:eastAsia="仿宋_GB2312"/>
                <w:szCs w:val="21"/>
              </w:rPr>
              <w:t>1.外墙、幕墙</w:t>
            </w:r>
          </w:p>
        </w:tc>
        <w:tc>
          <w:tcPr>
            <w:tcW w:w="2918" w:type="dxa"/>
            <w:tcBorders>
              <w:top w:val="nil"/>
              <w:left w:val="nil"/>
              <w:bottom w:val="single" w:color="000000" w:sz="4" w:space="0"/>
              <w:right w:val="single" w:color="000000" w:sz="4" w:space="0"/>
            </w:tcBorders>
            <w:vAlign w:val="center"/>
          </w:tcPr>
          <w:p>
            <w:pPr>
              <w:rPr>
                <w:rFonts w:eastAsia="仿宋_GB2312"/>
                <w:szCs w:val="21"/>
              </w:rPr>
            </w:pPr>
          </w:p>
        </w:tc>
        <w:tc>
          <w:tcPr>
            <w:tcW w:w="2059" w:type="dxa"/>
            <w:tcBorders>
              <w:top w:val="single" w:color="000000" w:sz="4" w:space="0"/>
              <w:bottom w:val="single" w:color="000000" w:sz="4" w:space="0"/>
              <w:right w:val="single" w:color="000000" w:sz="4" w:space="0"/>
            </w:tcBorders>
            <w:vAlign w:val="center"/>
          </w:tcPr>
          <w:p>
            <w:pPr>
              <w:rPr>
                <w:rFonts w:eastAsia="仿宋_GB2312"/>
                <w:szCs w:val="21"/>
              </w:rPr>
            </w:pPr>
          </w:p>
        </w:tc>
      </w:tr>
      <w:tr>
        <w:tblPrEx>
          <w:tblCellMar>
            <w:top w:w="0" w:type="dxa"/>
            <w:left w:w="108" w:type="dxa"/>
            <w:bottom w:w="0" w:type="dxa"/>
            <w:right w:w="108" w:type="dxa"/>
          </w:tblCellMar>
        </w:tblPrEx>
        <w:trPr>
          <w:trHeight w:val="342" w:hRule="atLeast"/>
        </w:trPr>
        <w:tc>
          <w:tcPr>
            <w:tcW w:w="716" w:type="dxa"/>
            <w:vMerge w:val="continue"/>
            <w:tcBorders>
              <w:top w:val="nil"/>
              <w:left w:val="single" w:color="000000" w:sz="4" w:space="0"/>
              <w:right w:val="single" w:color="000000" w:sz="4" w:space="0"/>
            </w:tcBorders>
            <w:vAlign w:val="center"/>
          </w:tcPr>
          <w:p>
            <w:pPr>
              <w:rPr>
                <w:rFonts w:eastAsia="仿宋_GB2312"/>
                <w:szCs w:val="21"/>
              </w:rPr>
            </w:pPr>
          </w:p>
        </w:tc>
        <w:tc>
          <w:tcPr>
            <w:tcW w:w="2874" w:type="dxa"/>
            <w:tcBorders>
              <w:top w:val="nil"/>
              <w:left w:val="nil"/>
              <w:bottom w:val="single" w:color="000000" w:sz="4" w:space="0"/>
              <w:right w:val="single" w:color="000000" w:sz="4" w:space="0"/>
            </w:tcBorders>
            <w:vAlign w:val="center"/>
          </w:tcPr>
          <w:p>
            <w:pPr>
              <w:rPr>
                <w:rFonts w:eastAsia="仿宋_GB2312"/>
                <w:szCs w:val="21"/>
              </w:rPr>
            </w:pPr>
            <w:r>
              <w:rPr>
                <w:rFonts w:hint="eastAsia" w:eastAsia="仿宋_GB2312"/>
                <w:szCs w:val="21"/>
              </w:rPr>
              <w:t>2.内墙、隔墙</w:t>
            </w:r>
          </w:p>
        </w:tc>
        <w:tc>
          <w:tcPr>
            <w:tcW w:w="2918" w:type="dxa"/>
            <w:tcBorders>
              <w:top w:val="nil"/>
              <w:left w:val="nil"/>
              <w:bottom w:val="single" w:color="000000" w:sz="4" w:space="0"/>
              <w:right w:val="single" w:color="000000" w:sz="4" w:space="0"/>
            </w:tcBorders>
            <w:vAlign w:val="center"/>
          </w:tcPr>
          <w:p>
            <w:pPr>
              <w:rPr>
                <w:rFonts w:eastAsia="仿宋_GB2312"/>
                <w:szCs w:val="21"/>
              </w:rPr>
            </w:pPr>
          </w:p>
        </w:tc>
        <w:tc>
          <w:tcPr>
            <w:tcW w:w="2059" w:type="dxa"/>
            <w:tcBorders>
              <w:top w:val="single" w:color="000000" w:sz="4" w:space="0"/>
              <w:bottom w:val="single" w:color="000000" w:sz="4" w:space="0"/>
              <w:right w:val="single" w:color="000000" w:sz="4" w:space="0"/>
            </w:tcBorders>
            <w:vAlign w:val="center"/>
          </w:tcPr>
          <w:p>
            <w:pPr>
              <w:rPr>
                <w:rFonts w:eastAsia="仿宋_GB2312"/>
                <w:szCs w:val="21"/>
              </w:rPr>
            </w:pPr>
          </w:p>
        </w:tc>
      </w:tr>
      <w:tr>
        <w:tblPrEx>
          <w:tblCellMar>
            <w:top w:w="0" w:type="dxa"/>
            <w:left w:w="108" w:type="dxa"/>
            <w:bottom w:w="0" w:type="dxa"/>
            <w:right w:w="108" w:type="dxa"/>
          </w:tblCellMar>
        </w:tblPrEx>
        <w:trPr>
          <w:trHeight w:val="342" w:hRule="atLeast"/>
        </w:trPr>
        <w:tc>
          <w:tcPr>
            <w:tcW w:w="716" w:type="dxa"/>
            <w:vMerge w:val="continue"/>
            <w:tcBorders>
              <w:top w:val="nil"/>
              <w:left w:val="single" w:color="000000" w:sz="4" w:space="0"/>
              <w:right w:val="single" w:color="000000" w:sz="4" w:space="0"/>
            </w:tcBorders>
            <w:vAlign w:val="center"/>
          </w:tcPr>
          <w:p>
            <w:pPr>
              <w:rPr>
                <w:rFonts w:eastAsia="仿宋_GB2312"/>
                <w:szCs w:val="21"/>
              </w:rPr>
            </w:pPr>
          </w:p>
        </w:tc>
        <w:tc>
          <w:tcPr>
            <w:tcW w:w="2874" w:type="dxa"/>
            <w:tcBorders>
              <w:top w:val="nil"/>
              <w:left w:val="nil"/>
              <w:bottom w:val="single" w:color="000000" w:sz="4" w:space="0"/>
              <w:right w:val="single" w:color="000000" w:sz="4" w:space="0"/>
            </w:tcBorders>
            <w:vAlign w:val="center"/>
          </w:tcPr>
          <w:p>
            <w:pPr>
              <w:rPr>
                <w:rFonts w:eastAsia="仿宋_GB2312"/>
                <w:szCs w:val="21"/>
              </w:rPr>
            </w:pPr>
            <w:r>
              <w:rPr>
                <w:rFonts w:eastAsia="仿宋_GB2312"/>
                <w:szCs w:val="21"/>
              </w:rPr>
              <w:t>3.</w:t>
            </w:r>
            <w:r>
              <w:rPr>
                <w:rFonts w:hint="eastAsia" w:eastAsia="仿宋_GB2312"/>
                <w:szCs w:val="21"/>
              </w:rPr>
              <w:t>地面</w:t>
            </w:r>
          </w:p>
        </w:tc>
        <w:tc>
          <w:tcPr>
            <w:tcW w:w="2918" w:type="dxa"/>
            <w:tcBorders>
              <w:top w:val="nil"/>
              <w:left w:val="nil"/>
              <w:bottom w:val="single" w:color="000000" w:sz="4" w:space="0"/>
              <w:right w:val="single" w:color="000000" w:sz="4" w:space="0"/>
            </w:tcBorders>
            <w:vAlign w:val="center"/>
          </w:tcPr>
          <w:p>
            <w:pPr>
              <w:rPr>
                <w:rFonts w:eastAsia="仿宋_GB2312"/>
                <w:szCs w:val="21"/>
              </w:rPr>
            </w:pPr>
          </w:p>
        </w:tc>
        <w:tc>
          <w:tcPr>
            <w:tcW w:w="2059" w:type="dxa"/>
            <w:tcBorders>
              <w:top w:val="single" w:color="000000" w:sz="4" w:space="0"/>
              <w:bottom w:val="single" w:color="000000" w:sz="4" w:space="0"/>
              <w:right w:val="single" w:color="000000" w:sz="4" w:space="0"/>
            </w:tcBorders>
            <w:vAlign w:val="center"/>
          </w:tcPr>
          <w:p>
            <w:pPr>
              <w:rPr>
                <w:rFonts w:eastAsia="仿宋_GB2312"/>
                <w:szCs w:val="21"/>
              </w:rPr>
            </w:pPr>
          </w:p>
        </w:tc>
      </w:tr>
      <w:tr>
        <w:tblPrEx>
          <w:tblCellMar>
            <w:top w:w="0" w:type="dxa"/>
            <w:left w:w="108" w:type="dxa"/>
            <w:bottom w:w="0" w:type="dxa"/>
            <w:right w:w="108" w:type="dxa"/>
          </w:tblCellMar>
        </w:tblPrEx>
        <w:trPr>
          <w:trHeight w:val="342" w:hRule="atLeast"/>
        </w:trPr>
        <w:tc>
          <w:tcPr>
            <w:tcW w:w="716" w:type="dxa"/>
            <w:vMerge w:val="continue"/>
            <w:tcBorders>
              <w:top w:val="nil"/>
              <w:left w:val="single" w:color="000000" w:sz="4" w:space="0"/>
              <w:right w:val="single" w:color="000000" w:sz="4" w:space="0"/>
            </w:tcBorders>
            <w:vAlign w:val="center"/>
          </w:tcPr>
          <w:p>
            <w:pPr>
              <w:rPr>
                <w:rFonts w:eastAsia="仿宋_GB2312"/>
                <w:szCs w:val="21"/>
              </w:rPr>
            </w:pPr>
          </w:p>
        </w:tc>
        <w:tc>
          <w:tcPr>
            <w:tcW w:w="2874" w:type="dxa"/>
            <w:tcBorders>
              <w:top w:val="nil"/>
              <w:left w:val="nil"/>
              <w:bottom w:val="single" w:color="000000" w:sz="4" w:space="0"/>
              <w:right w:val="single" w:color="000000" w:sz="4" w:space="0"/>
            </w:tcBorders>
            <w:vAlign w:val="center"/>
          </w:tcPr>
          <w:p>
            <w:pPr>
              <w:rPr>
                <w:rFonts w:eastAsia="仿宋_GB2312"/>
                <w:szCs w:val="21"/>
              </w:rPr>
            </w:pPr>
            <w:r>
              <w:rPr>
                <w:rFonts w:hint="eastAsia" w:eastAsia="仿宋_GB2312"/>
                <w:szCs w:val="21"/>
              </w:rPr>
              <w:t>4.顶板</w:t>
            </w:r>
          </w:p>
        </w:tc>
        <w:tc>
          <w:tcPr>
            <w:tcW w:w="2918" w:type="dxa"/>
            <w:tcBorders>
              <w:top w:val="nil"/>
              <w:left w:val="nil"/>
              <w:bottom w:val="single" w:color="000000" w:sz="4" w:space="0"/>
              <w:right w:val="single" w:color="000000" w:sz="4" w:space="0"/>
            </w:tcBorders>
            <w:vAlign w:val="center"/>
          </w:tcPr>
          <w:p>
            <w:pPr>
              <w:rPr>
                <w:rFonts w:eastAsia="仿宋_GB2312"/>
                <w:szCs w:val="21"/>
              </w:rPr>
            </w:pPr>
          </w:p>
        </w:tc>
        <w:tc>
          <w:tcPr>
            <w:tcW w:w="2059" w:type="dxa"/>
            <w:tcBorders>
              <w:top w:val="single" w:color="000000" w:sz="4" w:space="0"/>
              <w:bottom w:val="single" w:color="000000" w:sz="4" w:space="0"/>
              <w:right w:val="single" w:color="000000" w:sz="4" w:space="0"/>
            </w:tcBorders>
            <w:vAlign w:val="center"/>
          </w:tcPr>
          <w:p>
            <w:pPr>
              <w:rPr>
                <w:rFonts w:eastAsia="仿宋_GB2312"/>
                <w:szCs w:val="21"/>
              </w:rPr>
            </w:pPr>
          </w:p>
        </w:tc>
      </w:tr>
      <w:tr>
        <w:tblPrEx>
          <w:tblCellMar>
            <w:top w:w="0" w:type="dxa"/>
            <w:left w:w="108" w:type="dxa"/>
            <w:bottom w:w="0" w:type="dxa"/>
            <w:right w:w="108" w:type="dxa"/>
          </w:tblCellMar>
        </w:tblPrEx>
        <w:trPr>
          <w:trHeight w:val="407" w:hRule="atLeast"/>
        </w:trPr>
        <w:tc>
          <w:tcPr>
            <w:tcW w:w="716" w:type="dxa"/>
            <w:vMerge w:val="continue"/>
            <w:tcBorders>
              <w:top w:val="nil"/>
              <w:left w:val="single" w:color="000000" w:sz="4" w:space="0"/>
              <w:bottom w:val="single" w:color="auto" w:sz="4" w:space="0"/>
              <w:right w:val="single" w:color="000000" w:sz="4" w:space="0"/>
            </w:tcBorders>
            <w:vAlign w:val="center"/>
          </w:tcPr>
          <w:p>
            <w:pPr>
              <w:rPr>
                <w:rFonts w:eastAsia="仿宋_GB2312"/>
                <w:szCs w:val="21"/>
              </w:rPr>
            </w:pPr>
          </w:p>
        </w:tc>
        <w:tc>
          <w:tcPr>
            <w:tcW w:w="2874" w:type="dxa"/>
            <w:tcBorders>
              <w:top w:val="single" w:color="000000" w:sz="4" w:space="0"/>
              <w:left w:val="nil"/>
              <w:bottom w:val="nil"/>
              <w:right w:val="nil"/>
            </w:tcBorders>
            <w:vAlign w:val="center"/>
          </w:tcPr>
          <w:p>
            <w:pPr>
              <w:spacing w:line="127" w:lineRule="atLeast"/>
              <w:rPr>
                <w:rFonts w:eastAsia="仿宋_GB2312"/>
                <w:szCs w:val="21"/>
              </w:rPr>
            </w:pPr>
            <w:r>
              <w:rPr>
                <w:rFonts w:eastAsia="仿宋_GB2312"/>
                <w:szCs w:val="21"/>
              </w:rPr>
              <w:t>5</w:t>
            </w:r>
            <w:r>
              <w:rPr>
                <w:rFonts w:hint="eastAsia" w:eastAsia="仿宋_GB2312"/>
                <w:szCs w:val="21"/>
              </w:rPr>
              <w:t>.其它</w:t>
            </w:r>
          </w:p>
        </w:tc>
        <w:tc>
          <w:tcPr>
            <w:tcW w:w="2918" w:type="dxa"/>
            <w:tcBorders>
              <w:top w:val="single" w:color="000000" w:sz="4" w:space="0"/>
              <w:left w:val="single" w:color="000000" w:sz="4" w:space="0"/>
              <w:bottom w:val="single" w:color="000000" w:sz="4" w:space="0"/>
              <w:right w:val="single" w:color="000000" w:sz="4" w:space="0"/>
            </w:tcBorders>
            <w:vAlign w:val="center"/>
          </w:tcPr>
          <w:p>
            <w:pPr>
              <w:rPr>
                <w:rFonts w:eastAsia="仿宋_GB2312"/>
                <w:szCs w:val="21"/>
              </w:rPr>
            </w:pPr>
          </w:p>
        </w:tc>
        <w:tc>
          <w:tcPr>
            <w:tcW w:w="2059" w:type="dxa"/>
            <w:tcBorders>
              <w:top w:val="single" w:color="000000" w:sz="4" w:space="0"/>
              <w:bottom w:val="single" w:color="000000" w:sz="4" w:space="0"/>
              <w:right w:val="single" w:color="000000" w:sz="4" w:space="0"/>
            </w:tcBorders>
            <w:vAlign w:val="center"/>
          </w:tcPr>
          <w:p>
            <w:pPr>
              <w:rPr>
                <w:rFonts w:eastAsia="仿宋_GB2312"/>
                <w:szCs w:val="21"/>
              </w:rPr>
            </w:pPr>
          </w:p>
        </w:tc>
      </w:tr>
      <w:tr>
        <w:tblPrEx>
          <w:tblCellMar>
            <w:top w:w="0" w:type="dxa"/>
            <w:left w:w="108" w:type="dxa"/>
            <w:bottom w:w="0" w:type="dxa"/>
            <w:right w:w="108" w:type="dxa"/>
          </w:tblCellMar>
        </w:tblPrEx>
        <w:trPr>
          <w:trHeight w:val="342" w:hRule="atLeast"/>
        </w:trPr>
        <w:tc>
          <w:tcPr>
            <w:tcW w:w="716" w:type="dxa"/>
            <w:tcBorders>
              <w:top w:val="single" w:color="auto" w:sz="4" w:space="0"/>
              <w:left w:val="single" w:color="000000" w:sz="4" w:space="0"/>
              <w:right w:val="single" w:color="000000" w:sz="4" w:space="0"/>
            </w:tcBorders>
            <w:vAlign w:val="center"/>
          </w:tcPr>
          <w:p>
            <w:pPr>
              <w:jc w:val="center"/>
              <w:rPr>
                <w:rFonts w:eastAsia="仿宋_GB2312"/>
                <w:szCs w:val="21"/>
              </w:rPr>
            </w:pPr>
            <w:r>
              <w:rPr>
                <w:rFonts w:hint="eastAsia" w:eastAsia="仿宋_GB2312"/>
                <w:szCs w:val="21"/>
              </w:rPr>
              <w:t xml:space="preserve">  给  排  水</w:t>
            </w:r>
          </w:p>
        </w:tc>
        <w:tc>
          <w:tcPr>
            <w:tcW w:w="2874" w:type="dxa"/>
            <w:tcBorders>
              <w:top w:val="single" w:color="000000" w:sz="4" w:space="0"/>
              <w:left w:val="nil"/>
              <w:bottom w:val="single" w:color="000000" w:sz="4" w:space="0"/>
              <w:right w:val="single" w:color="000000" w:sz="4" w:space="0"/>
            </w:tcBorders>
            <w:vAlign w:val="center"/>
          </w:tcPr>
          <w:p>
            <w:pPr>
              <w:rPr>
                <w:rFonts w:eastAsia="仿宋_GB2312"/>
                <w:szCs w:val="21"/>
              </w:rPr>
            </w:pPr>
            <w:r>
              <w:rPr>
                <w:rFonts w:hint="eastAsia" w:eastAsia="仿宋_GB2312"/>
                <w:szCs w:val="21"/>
              </w:rPr>
              <w:t>水表（初始读数</w:t>
            </w:r>
            <w:r>
              <w:rPr>
                <w:rFonts w:eastAsia="仿宋_GB2312"/>
                <w:szCs w:val="21"/>
                <w:u w:val="single"/>
              </w:rPr>
              <w:t xml:space="preserve">            </w:t>
            </w:r>
            <w:r>
              <w:rPr>
                <w:rFonts w:hint="eastAsia" w:eastAsia="仿宋_GB2312"/>
                <w:szCs w:val="21"/>
              </w:rPr>
              <w:t>）</w:t>
            </w:r>
          </w:p>
        </w:tc>
        <w:tc>
          <w:tcPr>
            <w:tcW w:w="2918" w:type="dxa"/>
            <w:tcBorders>
              <w:top w:val="nil"/>
              <w:left w:val="nil"/>
              <w:bottom w:val="single" w:color="000000" w:sz="4" w:space="0"/>
              <w:right w:val="single" w:color="000000" w:sz="4" w:space="0"/>
            </w:tcBorders>
            <w:vAlign w:val="center"/>
          </w:tcPr>
          <w:p>
            <w:pPr>
              <w:rPr>
                <w:rFonts w:eastAsia="仿宋_GB2312"/>
                <w:szCs w:val="21"/>
              </w:rPr>
            </w:pPr>
          </w:p>
        </w:tc>
        <w:tc>
          <w:tcPr>
            <w:tcW w:w="2059" w:type="dxa"/>
            <w:tcBorders>
              <w:top w:val="single" w:color="000000" w:sz="4" w:space="0"/>
              <w:bottom w:val="single" w:color="000000" w:sz="4" w:space="0"/>
              <w:right w:val="single" w:color="000000" w:sz="4" w:space="0"/>
            </w:tcBorders>
            <w:vAlign w:val="center"/>
          </w:tcPr>
          <w:p>
            <w:pPr>
              <w:rPr>
                <w:rFonts w:eastAsia="仿宋_GB2312"/>
                <w:szCs w:val="21"/>
              </w:rPr>
            </w:pPr>
          </w:p>
        </w:tc>
      </w:tr>
      <w:tr>
        <w:tblPrEx>
          <w:tblCellMar>
            <w:top w:w="0" w:type="dxa"/>
            <w:left w:w="108" w:type="dxa"/>
            <w:bottom w:w="0" w:type="dxa"/>
            <w:right w:w="108" w:type="dxa"/>
          </w:tblCellMar>
        </w:tblPrEx>
        <w:trPr>
          <w:trHeight w:val="342" w:hRule="atLeast"/>
        </w:trPr>
        <w:tc>
          <w:tcPr>
            <w:tcW w:w="716" w:type="dxa"/>
            <w:vMerge w:val="restart"/>
            <w:tcBorders>
              <w:top w:val="single" w:color="auto" w:sz="4" w:space="0"/>
              <w:left w:val="single" w:color="000000" w:sz="4" w:space="0"/>
              <w:right w:val="single" w:color="000000" w:sz="4" w:space="0"/>
            </w:tcBorders>
            <w:vAlign w:val="center"/>
          </w:tcPr>
          <w:p>
            <w:pPr>
              <w:jc w:val="center"/>
              <w:rPr>
                <w:rFonts w:eastAsia="仿宋_GB2312"/>
                <w:szCs w:val="21"/>
              </w:rPr>
            </w:pPr>
            <w:r>
              <w:rPr>
                <w:rFonts w:hint="eastAsia" w:eastAsia="仿宋_GB2312"/>
                <w:szCs w:val="21"/>
              </w:rPr>
              <w:t>消</w:t>
            </w:r>
            <w:r>
              <w:rPr>
                <w:rFonts w:eastAsia="仿宋_GB2312"/>
                <w:szCs w:val="21"/>
              </w:rPr>
              <w:t xml:space="preserve">    </w:t>
            </w:r>
            <w:r>
              <w:rPr>
                <w:rFonts w:hint="eastAsia" w:eastAsia="仿宋_GB2312"/>
                <w:szCs w:val="21"/>
              </w:rPr>
              <w:t>防</w:t>
            </w:r>
          </w:p>
        </w:tc>
        <w:tc>
          <w:tcPr>
            <w:tcW w:w="2874" w:type="dxa"/>
            <w:tcBorders>
              <w:top w:val="single" w:color="000000" w:sz="4" w:space="0"/>
              <w:left w:val="nil"/>
              <w:bottom w:val="single" w:color="000000" w:sz="4" w:space="0"/>
              <w:right w:val="single" w:color="000000" w:sz="4" w:space="0"/>
            </w:tcBorders>
            <w:vAlign w:val="center"/>
          </w:tcPr>
          <w:p>
            <w:pPr>
              <w:rPr>
                <w:rFonts w:eastAsia="仿宋_GB2312"/>
                <w:szCs w:val="21"/>
              </w:rPr>
            </w:pPr>
            <w:r>
              <w:rPr>
                <w:rFonts w:hint="eastAsia" w:eastAsia="仿宋_GB2312"/>
                <w:szCs w:val="21"/>
              </w:rPr>
              <w:t>1.烟感、温感、喷淋头</w:t>
            </w:r>
          </w:p>
        </w:tc>
        <w:tc>
          <w:tcPr>
            <w:tcW w:w="2918" w:type="dxa"/>
            <w:tcBorders>
              <w:top w:val="nil"/>
              <w:left w:val="nil"/>
              <w:bottom w:val="single" w:color="000000" w:sz="4" w:space="0"/>
              <w:right w:val="single" w:color="000000" w:sz="4" w:space="0"/>
            </w:tcBorders>
            <w:vAlign w:val="center"/>
          </w:tcPr>
          <w:p>
            <w:pPr>
              <w:jc w:val="center"/>
              <w:rPr>
                <w:rFonts w:eastAsia="仿宋_GB2312"/>
                <w:b/>
                <w:bCs/>
                <w:szCs w:val="21"/>
              </w:rPr>
            </w:pPr>
          </w:p>
        </w:tc>
        <w:tc>
          <w:tcPr>
            <w:tcW w:w="2059" w:type="dxa"/>
            <w:tcBorders>
              <w:top w:val="single" w:color="000000" w:sz="4" w:space="0"/>
              <w:bottom w:val="single" w:color="000000" w:sz="4" w:space="0"/>
              <w:right w:val="single" w:color="000000" w:sz="4" w:space="0"/>
            </w:tcBorders>
            <w:vAlign w:val="center"/>
          </w:tcPr>
          <w:p>
            <w:pPr>
              <w:rPr>
                <w:rFonts w:eastAsia="仿宋_GB2312"/>
                <w:szCs w:val="21"/>
              </w:rPr>
            </w:pPr>
          </w:p>
        </w:tc>
      </w:tr>
      <w:tr>
        <w:tblPrEx>
          <w:tblCellMar>
            <w:top w:w="0" w:type="dxa"/>
            <w:left w:w="108" w:type="dxa"/>
            <w:bottom w:w="0" w:type="dxa"/>
            <w:right w:w="108" w:type="dxa"/>
          </w:tblCellMar>
        </w:tblPrEx>
        <w:trPr>
          <w:trHeight w:val="330" w:hRule="atLeast"/>
        </w:trPr>
        <w:tc>
          <w:tcPr>
            <w:tcW w:w="716" w:type="dxa"/>
            <w:vMerge w:val="continue"/>
            <w:tcBorders>
              <w:top w:val="nil"/>
              <w:left w:val="single" w:color="000000" w:sz="4" w:space="0"/>
              <w:bottom w:val="single" w:color="auto" w:sz="4" w:space="0"/>
              <w:right w:val="single" w:color="000000" w:sz="4" w:space="0"/>
            </w:tcBorders>
            <w:vAlign w:val="center"/>
          </w:tcPr>
          <w:p>
            <w:pPr>
              <w:rPr>
                <w:rFonts w:eastAsia="仿宋_GB2312"/>
                <w:szCs w:val="21"/>
              </w:rPr>
            </w:pPr>
          </w:p>
        </w:tc>
        <w:tc>
          <w:tcPr>
            <w:tcW w:w="2874" w:type="dxa"/>
            <w:tcBorders>
              <w:top w:val="single" w:color="000000" w:sz="4" w:space="0"/>
              <w:left w:val="nil"/>
              <w:bottom w:val="nil"/>
              <w:right w:val="nil"/>
            </w:tcBorders>
            <w:vAlign w:val="center"/>
          </w:tcPr>
          <w:p>
            <w:pPr>
              <w:rPr>
                <w:rFonts w:eastAsia="仿宋_GB2312"/>
                <w:szCs w:val="21"/>
              </w:rPr>
            </w:pPr>
            <w:r>
              <w:rPr>
                <w:rFonts w:eastAsia="仿宋_GB2312"/>
                <w:szCs w:val="21"/>
              </w:rPr>
              <w:t>2</w:t>
            </w:r>
            <w:r>
              <w:rPr>
                <w:rFonts w:hint="eastAsia" w:eastAsia="仿宋_GB2312"/>
                <w:szCs w:val="21"/>
              </w:rPr>
              <w:t>.其它</w:t>
            </w:r>
          </w:p>
        </w:tc>
        <w:tc>
          <w:tcPr>
            <w:tcW w:w="2918" w:type="dxa"/>
            <w:tcBorders>
              <w:top w:val="single" w:color="000000" w:sz="4" w:space="0"/>
              <w:left w:val="single" w:color="000000" w:sz="4" w:space="0"/>
              <w:bottom w:val="single" w:color="000000" w:sz="4" w:space="0"/>
              <w:right w:val="single" w:color="000000" w:sz="4" w:space="0"/>
            </w:tcBorders>
            <w:vAlign w:val="center"/>
          </w:tcPr>
          <w:p>
            <w:pPr>
              <w:jc w:val="center"/>
              <w:rPr>
                <w:rFonts w:eastAsia="仿宋_GB2312"/>
                <w:b/>
                <w:bCs/>
                <w:szCs w:val="21"/>
              </w:rPr>
            </w:pPr>
          </w:p>
        </w:tc>
        <w:tc>
          <w:tcPr>
            <w:tcW w:w="2059" w:type="dxa"/>
            <w:tcBorders>
              <w:top w:val="single" w:color="000000" w:sz="4" w:space="0"/>
              <w:bottom w:val="single" w:color="000000" w:sz="4" w:space="0"/>
              <w:right w:val="single" w:color="000000" w:sz="4" w:space="0"/>
            </w:tcBorders>
            <w:vAlign w:val="center"/>
          </w:tcPr>
          <w:p>
            <w:pPr>
              <w:rPr>
                <w:rFonts w:eastAsia="仿宋_GB2312"/>
                <w:szCs w:val="21"/>
              </w:rPr>
            </w:pPr>
          </w:p>
        </w:tc>
      </w:tr>
      <w:tr>
        <w:tblPrEx>
          <w:tblCellMar>
            <w:top w:w="0" w:type="dxa"/>
            <w:left w:w="108" w:type="dxa"/>
            <w:bottom w:w="0" w:type="dxa"/>
            <w:right w:w="108" w:type="dxa"/>
          </w:tblCellMar>
        </w:tblPrEx>
        <w:trPr>
          <w:trHeight w:val="342" w:hRule="atLeast"/>
        </w:trPr>
        <w:tc>
          <w:tcPr>
            <w:tcW w:w="716" w:type="dxa"/>
            <w:vMerge w:val="restart"/>
            <w:tcBorders>
              <w:top w:val="single" w:color="auto" w:sz="4" w:space="0"/>
              <w:left w:val="single" w:color="000000" w:sz="4" w:space="0"/>
              <w:right w:val="single" w:color="000000" w:sz="4" w:space="0"/>
            </w:tcBorders>
            <w:vAlign w:val="center"/>
          </w:tcPr>
          <w:p>
            <w:pPr>
              <w:jc w:val="center"/>
              <w:rPr>
                <w:rFonts w:eastAsia="仿宋_GB2312"/>
                <w:szCs w:val="21"/>
              </w:rPr>
            </w:pPr>
            <w:r>
              <w:rPr>
                <w:rFonts w:hint="eastAsia" w:eastAsia="仿宋_GB2312"/>
                <w:szCs w:val="21"/>
              </w:rPr>
              <w:t>强</w:t>
            </w:r>
            <w:r>
              <w:rPr>
                <w:rFonts w:eastAsia="仿宋_GB2312"/>
                <w:szCs w:val="21"/>
              </w:rPr>
              <w:t xml:space="preserve">   </w:t>
            </w:r>
            <w:r>
              <w:rPr>
                <w:rFonts w:hint="eastAsia" w:eastAsia="仿宋_GB2312"/>
                <w:szCs w:val="21"/>
              </w:rPr>
              <w:t>弱</w:t>
            </w:r>
            <w:r>
              <w:rPr>
                <w:rFonts w:eastAsia="仿宋_GB2312"/>
                <w:szCs w:val="21"/>
              </w:rPr>
              <w:t xml:space="preserve">   </w:t>
            </w:r>
            <w:r>
              <w:rPr>
                <w:rFonts w:hint="eastAsia" w:eastAsia="仿宋_GB2312"/>
                <w:szCs w:val="21"/>
              </w:rPr>
              <w:t>电</w:t>
            </w:r>
          </w:p>
        </w:tc>
        <w:tc>
          <w:tcPr>
            <w:tcW w:w="2874" w:type="dxa"/>
            <w:tcBorders>
              <w:top w:val="single" w:color="000000" w:sz="4" w:space="0"/>
              <w:left w:val="nil"/>
              <w:bottom w:val="single" w:color="000000" w:sz="4" w:space="0"/>
              <w:right w:val="single" w:color="000000" w:sz="4" w:space="0"/>
            </w:tcBorders>
            <w:vAlign w:val="center"/>
          </w:tcPr>
          <w:p>
            <w:pPr>
              <w:rPr>
                <w:rFonts w:eastAsia="仿宋_GB2312"/>
                <w:szCs w:val="21"/>
              </w:rPr>
            </w:pPr>
            <w:r>
              <w:rPr>
                <w:rFonts w:hint="eastAsia" w:eastAsia="仿宋_GB2312"/>
                <w:szCs w:val="21"/>
              </w:rPr>
              <w:t>1.电表（初始读数</w:t>
            </w:r>
            <w:r>
              <w:rPr>
                <w:rFonts w:eastAsia="仿宋_GB2312"/>
                <w:szCs w:val="21"/>
                <w:u w:val="single"/>
              </w:rPr>
              <w:t xml:space="preserve">            </w:t>
            </w:r>
            <w:r>
              <w:rPr>
                <w:rFonts w:eastAsia="仿宋_GB2312"/>
                <w:szCs w:val="21"/>
              </w:rPr>
              <w:t> </w:t>
            </w:r>
            <w:r>
              <w:rPr>
                <w:rFonts w:hint="eastAsia" w:eastAsia="仿宋_GB2312"/>
                <w:szCs w:val="21"/>
              </w:rPr>
              <w:t>）</w:t>
            </w:r>
          </w:p>
        </w:tc>
        <w:tc>
          <w:tcPr>
            <w:tcW w:w="2918" w:type="dxa"/>
            <w:tcBorders>
              <w:top w:val="nil"/>
              <w:left w:val="nil"/>
              <w:bottom w:val="single" w:color="000000" w:sz="4" w:space="0"/>
              <w:right w:val="single" w:color="000000" w:sz="4" w:space="0"/>
            </w:tcBorders>
            <w:vAlign w:val="center"/>
          </w:tcPr>
          <w:p>
            <w:pPr>
              <w:jc w:val="center"/>
              <w:rPr>
                <w:rFonts w:eastAsia="仿宋_GB2312"/>
                <w:b/>
                <w:bCs/>
                <w:szCs w:val="21"/>
              </w:rPr>
            </w:pPr>
          </w:p>
        </w:tc>
        <w:tc>
          <w:tcPr>
            <w:tcW w:w="2059" w:type="dxa"/>
            <w:tcBorders>
              <w:top w:val="single" w:color="000000" w:sz="4" w:space="0"/>
              <w:bottom w:val="single" w:color="000000" w:sz="4" w:space="0"/>
              <w:right w:val="single" w:color="000000" w:sz="4" w:space="0"/>
            </w:tcBorders>
            <w:vAlign w:val="center"/>
          </w:tcPr>
          <w:p>
            <w:pPr>
              <w:rPr>
                <w:rFonts w:eastAsia="仿宋_GB2312"/>
                <w:szCs w:val="21"/>
              </w:rPr>
            </w:pPr>
          </w:p>
        </w:tc>
      </w:tr>
      <w:tr>
        <w:tblPrEx>
          <w:tblCellMar>
            <w:top w:w="0" w:type="dxa"/>
            <w:left w:w="108" w:type="dxa"/>
            <w:bottom w:w="0" w:type="dxa"/>
            <w:right w:w="108" w:type="dxa"/>
          </w:tblCellMar>
        </w:tblPrEx>
        <w:trPr>
          <w:trHeight w:val="342" w:hRule="atLeast"/>
        </w:trPr>
        <w:tc>
          <w:tcPr>
            <w:tcW w:w="716" w:type="dxa"/>
            <w:vMerge w:val="continue"/>
            <w:tcBorders>
              <w:top w:val="nil"/>
              <w:left w:val="single" w:color="000000" w:sz="4" w:space="0"/>
              <w:right w:val="single" w:color="000000" w:sz="4" w:space="0"/>
            </w:tcBorders>
            <w:vAlign w:val="center"/>
          </w:tcPr>
          <w:p>
            <w:pPr>
              <w:rPr>
                <w:rFonts w:eastAsia="仿宋_GB2312"/>
                <w:szCs w:val="21"/>
              </w:rPr>
            </w:pPr>
          </w:p>
        </w:tc>
        <w:tc>
          <w:tcPr>
            <w:tcW w:w="2874" w:type="dxa"/>
            <w:tcBorders>
              <w:top w:val="nil"/>
              <w:left w:val="nil"/>
              <w:bottom w:val="single" w:color="000000" w:sz="4" w:space="0"/>
              <w:right w:val="single" w:color="000000" w:sz="4" w:space="0"/>
            </w:tcBorders>
            <w:vAlign w:val="center"/>
          </w:tcPr>
          <w:p>
            <w:pPr>
              <w:rPr>
                <w:rFonts w:eastAsia="仿宋_GB2312"/>
                <w:szCs w:val="21"/>
              </w:rPr>
            </w:pPr>
            <w:r>
              <w:rPr>
                <w:rFonts w:hint="eastAsia" w:eastAsia="仿宋_GB2312"/>
                <w:szCs w:val="21"/>
              </w:rPr>
              <w:t>2.配电箱及隔离开关</w:t>
            </w:r>
          </w:p>
        </w:tc>
        <w:tc>
          <w:tcPr>
            <w:tcW w:w="2918" w:type="dxa"/>
            <w:tcBorders>
              <w:top w:val="nil"/>
              <w:left w:val="nil"/>
              <w:bottom w:val="single" w:color="000000" w:sz="4" w:space="0"/>
              <w:right w:val="single" w:color="000000" w:sz="4" w:space="0"/>
            </w:tcBorders>
            <w:vAlign w:val="center"/>
          </w:tcPr>
          <w:p>
            <w:pPr>
              <w:jc w:val="center"/>
              <w:rPr>
                <w:rFonts w:eastAsia="仿宋_GB2312"/>
                <w:b/>
                <w:bCs/>
                <w:szCs w:val="21"/>
              </w:rPr>
            </w:pPr>
          </w:p>
        </w:tc>
        <w:tc>
          <w:tcPr>
            <w:tcW w:w="2059" w:type="dxa"/>
            <w:tcBorders>
              <w:top w:val="single" w:color="000000" w:sz="4" w:space="0"/>
              <w:bottom w:val="single" w:color="000000" w:sz="4" w:space="0"/>
              <w:right w:val="single" w:color="000000" w:sz="4" w:space="0"/>
            </w:tcBorders>
            <w:vAlign w:val="center"/>
          </w:tcPr>
          <w:p>
            <w:pPr>
              <w:rPr>
                <w:rFonts w:eastAsia="仿宋_GB2312"/>
                <w:szCs w:val="21"/>
              </w:rPr>
            </w:pPr>
          </w:p>
        </w:tc>
      </w:tr>
      <w:tr>
        <w:tblPrEx>
          <w:tblCellMar>
            <w:top w:w="0" w:type="dxa"/>
            <w:left w:w="108" w:type="dxa"/>
            <w:bottom w:w="0" w:type="dxa"/>
            <w:right w:w="108" w:type="dxa"/>
          </w:tblCellMar>
        </w:tblPrEx>
        <w:trPr>
          <w:trHeight w:val="342" w:hRule="atLeast"/>
        </w:trPr>
        <w:tc>
          <w:tcPr>
            <w:tcW w:w="716" w:type="dxa"/>
            <w:vMerge w:val="continue"/>
            <w:tcBorders>
              <w:top w:val="nil"/>
              <w:left w:val="single" w:color="000000" w:sz="4" w:space="0"/>
              <w:right w:val="single" w:color="000000" w:sz="4" w:space="0"/>
            </w:tcBorders>
            <w:vAlign w:val="center"/>
          </w:tcPr>
          <w:p>
            <w:pPr>
              <w:rPr>
                <w:rFonts w:eastAsia="仿宋_GB2312"/>
                <w:szCs w:val="21"/>
              </w:rPr>
            </w:pPr>
          </w:p>
        </w:tc>
        <w:tc>
          <w:tcPr>
            <w:tcW w:w="2874" w:type="dxa"/>
            <w:tcBorders>
              <w:top w:val="nil"/>
              <w:left w:val="nil"/>
              <w:bottom w:val="single" w:color="000000" w:sz="4" w:space="0"/>
              <w:right w:val="single" w:color="000000" w:sz="4" w:space="0"/>
            </w:tcBorders>
            <w:vAlign w:val="center"/>
          </w:tcPr>
          <w:p>
            <w:pPr>
              <w:rPr>
                <w:rFonts w:eastAsia="仿宋_GB2312"/>
                <w:szCs w:val="21"/>
              </w:rPr>
            </w:pPr>
            <w:r>
              <w:rPr>
                <w:rFonts w:hint="eastAsia" w:eastAsia="仿宋_GB2312"/>
                <w:szCs w:val="21"/>
              </w:rPr>
              <w:t>3.地插</w:t>
            </w:r>
          </w:p>
        </w:tc>
        <w:tc>
          <w:tcPr>
            <w:tcW w:w="2918" w:type="dxa"/>
            <w:tcBorders>
              <w:top w:val="nil"/>
              <w:left w:val="nil"/>
              <w:bottom w:val="single" w:color="000000" w:sz="4" w:space="0"/>
              <w:right w:val="single" w:color="000000" w:sz="4" w:space="0"/>
            </w:tcBorders>
            <w:vAlign w:val="center"/>
          </w:tcPr>
          <w:p>
            <w:pPr>
              <w:jc w:val="center"/>
              <w:rPr>
                <w:rFonts w:eastAsia="仿宋_GB2312"/>
                <w:b/>
                <w:bCs/>
                <w:szCs w:val="21"/>
              </w:rPr>
            </w:pPr>
          </w:p>
        </w:tc>
        <w:tc>
          <w:tcPr>
            <w:tcW w:w="2059" w:type="dxa"/>
            <w:tcBorders>
              <w:top w:val="single" w:color="000000" w:sz="4" w:space="0"/>
              <w:bottom w:val="single" w:color="000000" w:sz="4" w:space="0"/>
              <w:right w:val="single" w:color="000000" w:sz="4" w:space="0"/>
            </w:tcBorders>
            <w:vAlign w:val="center"/>
          </w:tcPr>
          <w:p>
            <w:pPr>
              <w:rPr>
                <w:rFonts w:eastAsia="仿宋_GB2312"/>
                <w:szCs w:val="21"/>
              </w:rPr>
            </w:pPr>
          </w:p>
        </w:tc>
      </w:tr>
      <w:tr>
        <w:tblPrEx>
          <w:tblCellMar>
            <w:top w:w="0" w:type="dxa"/>
            <w:left w:w="108" w:type="dxa"/>
            <w:bottom w:w="0" w:type="dxa"/>
            <w:right w:w="108" w:type="dxa"/>
          </w:tblCellMar>
        </w:tblPrEx>
        <w:trPr>
          <w:trHeight w:val="315" w:hRule="atLeast"/>
        </w:trPr>
        <w:tc>
          <w:tcPr>
            <w:tcW w:w="716" w:type="dxa"/>
            <w:vMerge w:val="continue"/>
            <w:tcBorders>
              <w:top w:val="nil"/>
              <w:left w:val="single" w:color="000000" w:sz="4" w:space="0"/>
              <w:bottom w:val="single" w:color="auto" w:sz="4" w:space="0"/>
              <w:right w:val="single" w:color="000000" w:sz="4" w:space="0"/>
            </w:tcBorders>
            <w:vAlign w:val="center"/>
          </w:tcPr>
          <w:p>
            <w:pPr>
              <w:rPr>
                <w:rFonts w:eastAsia="仿宋_GB2312"/>
                <w:szCs w:val="21"/>
              </w:rPr>
            </w:pPr>
          </w:p>
        </w:tc>
        <w:tc>
          <w:tcPr>
            <w:tcW w:w="2874" w:type="dxa"/>
            <w:tcBorders>
              <w:top w:val="single" w:color="000000" w:sz="4" w:space="0"/>
              <w:left w:val="nil"/>
              <w:bottom w:val="single" w:color="000000" w:sz="4" w:space="0"/>
              <w:right w:val="nil"/>
            </w:tcBorders>
            <w:vAlign w:val="center"/>
          </w:tcPr>
          <w:p>
            <w:pPr>
              <w:rPr>
                <w:rFonts w:eastAsia="仿宋_GB2312"/>
                <w:szCs w:val="21"/>
              </w:rPr>
            </w:pPr>
            <w:r>
              <w:rPr>
                <w:rFonts w:eastAsia="仿宋_GB2312"/>
                <w:szCs w:val="21"/>
              </w:rPr>
              <w:t>4</w:t>
            </w:r>
            <w:r>
              <w:rPr>
                <w:rFonts w:hint="eastAsia" w:eastAsia="仿宋_GB2312"/>
                <w:szCs w:val="21"/>
              </w:rPr>
              <w:t>.其它</w:t>
            </w:r>
          </w:p>
        </w:tc>
        <w:tc>
          <w:tcPr>
            <w:tcW w:w="2918" w:type="dxa"/>
            <w:tcBorders>
              <w:top w:val="single" w:color="000000" w:sz="4" w:space="0"/>
              <w:left w:val="single" w:color="000000" w:sz="4" w:space="0"/>
              <w:bottom w:val="single" w:color="000000" w:sz="4" w:space="0"/>
              <w:right w:val="single" w:color="000000" w:sz="4" w:space="0"/>
            </w:tcBorders>
            <w:vAlign w:val="center"/>
          </w:tcPr>
          <w:p>
            <w:pPr>
              <w:jc w:val="center"/>
              <w:rPr>
                <w:rFonts w:eastAsia="仿宋_GB2312"/>
                <w:b/>
                <w:bCs/>
                <w:szCs w:val="21"/>
              </w:rPr>
            </w:pPr>
          </w:p>
        </w:tc>
        <w:tc>
          <w:tcPr>
            <w:tcW w:w="2059" w:type="dxa"/>
            <w:tcBorders>
              <w:top w:val="single" w:color="000000" w:sz="4" w:space="0"/>
              <w:bottom w:val="single" w:color="000000" w:sz="4" w:space="0"/>
              <w:right w:val="single" w:color="000000" w:sz="4" w:space="0"/>
            </w:tcBorders>
            <w:vAlign w:val="center"/>
          </w:tcPr>
          <w:p>
            <w:pPr>
              <w:rPr>
                <w:rFonts w:eastAsia="仿宋_GB2312"/>
                <w:szCs w:val="21"/>
              </w:rPr>
            </w:pPr>
          </w:p>
        </w:tc>
      </w:tr>
      <w:tr>
        <w:tblPrEx>
          <w:tblCellMar>
            <w:top w:w="0" w:type="dxa"/>
            <w:left w:w="108" w:type="dxa"/>
            <w:bottom w:w="0" w:type="dxa"/>
            <w:right w:w="108" w:type="dxa"/>
          </w:tblCellMar>
        </w:tblPrEx>
        <w:trPr>
          <w:trHeight w:val="416" w:hRule="atLeast"/>
        </w:trPr>
        <w:tc>
          <w:tcPr>
            <w:tcW w:w="716" w:type="dxa"/>
            <w:vMerge w:val="restart"/>
            <w:tcBorders>
              <w:top w:val="single" w:color="auto" w:sz="4" w:space="0"/>
              <w:left w:val="single" w:color="000000" w:sz="4" w:space="0"/>
              <w:bottom w:val="single" w:color="000000" w:sz="4" w:space="0"/>
              <w:right w:val="single" w:color="000000" w:sz="4" w:space="0"/>
            </w:tcBorders>
            <w:vAlign w:val="center"/>
          </w:tcPr>
          <w:p>
            <w:pPr>
              <w:jc w:val="center"/>
              <w:rPr>
                <w:rFonts w:eastAsia="仿宋_GB2312"/>
                <w:szCs w:val="21"/>
              </w:rPr>
            </w:pPr>
            <w:r>
              <w:rPr>
                <w:rFonts w:hint="eastAsia" w:eastAsia="仿宋_GB2312"/>
                <w:szCs w:val="21"/>
              </w:rPr>
              <w:t>空</w:t>
            </w:r>
            <w:r>
              <w:rPr>
                <w:rFonts w:eastAsia="仿宋_GB2312"/>
                <w:szCs w:val="21"/>
              </w:rPr>
              <w:t xml:space="preserve">    </w:t>
            </w:r>
            <w:r>
              <w:rPr>
                <w:rFonts w:hint="eastAsia" w:eastAsia="仿宋_GB2312"/>
                <w:szCs w:val="21"/>
              </w:rPr>
              <w:t>调</w:t>
            </w:r>
          </w:p>
        </w:tc>
        <w:tc>
          <w:tcPr>
            <w:tcW w:w="2874" w:type="dxa"/>
            <w:tcBorders>
              <w:top w:val="single" w:color="000000" w:sz="4" w:space="0"/>
              <w:left w:val="nil"/>
              <w:bottom w:val="single" w:color="000000" w:sz="4" w:space="0"/>
              <w:right w:val="single" w:color="000000" w:sz="4" w:space="0"/>
            </w:tcBorders>
            <w:vAlign w:val="center"/>
          </w:tcPr>
          <w:p>
            <w:pPr>
              <w:rPr>
                <w:rFonts w:eastAsia="仿宋_GB2312"/>
                <w:szCs w:val="21"/>
              </w:rPr>
            </w:pPr>
            <w:r>
              <w:rPr>
                <w:rFonts w:hint="eastAsia" w:eastAsia="仿宋_GB2312"/>
                <w:szCs w:val="21"/>
              </w:rPr>
              <w:t>1.空调</w:t>
            </w:r>
          </w:p>
        </w:tc>
        <w:tc>
          <w:tcPr>
            <w:tcW w:w="2918" w:type="dxa"/>
            <w:tcBorders>
              <w:top w:val="single" w:color="000000" w:sz="4" w:space="0"/>
              <w:left w:val="nil"/>
              <w:bottom w:val="single" w:color="000000" w:sz="4" w:space="0"/>
              <w:right w:val="single" w:color="000000" w:sz="4" w:space="0"/>
            </w:tcBorders>
            <w:vAlign w:val="center"/>
          </w:tcPr>
          <w:p>
            <w:pPr>
              <w:jc w:val="center"/>
              <w:rPr>
                <w:rFonts w:eastAsia="仿宋_GB2312"/>
                <w:b/>
                <w:bCs/>
                <w:szCs w:val="21"/>
              </w:rPr>
            </w:pPr>
          </w:p>
        </w:tc>
        <w:tc>
          <w:tcPr>
            <w:tcW w:w="2059" w:type="dxa"/>
            <w:tcBorders>
              <w:top w:val="single" w:color="000000" w:sz="4" w:space="0"/>
              <w:left w:val="nil"/>
              <w:bottom w:val="single" w:color="000000" w:sz="4" w:space="0"/>
              <w:right w:val="single" w:color="000000" w:sz="4" w:space="0"/>
            </w:tcBorders>
            <w:vAlign w:val="center"/>
          </w:tcPr>
          <w:p>
            <w:pPr>
              <w:rPr>
                <w:rFonts w:eastAsia="仿宋_GB2312"/>
                <w:szCs w:val="21"/>
              </w:rPr>
            </w:pPr>
          </w:p>
        </w:tc>
      </w:tr>
      <w:tr>
        <w:tblPrEx>
          <w:tblCellMar>
            <w:top w:w="0" w:type="dxa"/>
            <w:left w:w="108" w:type="dxa"/>
            <w:bottom w:w="0" w:type="dxa"/>
            <w:right w:w="108" w:type="dxa"/>
          </w:tblCellMar>
        </w:tblPrEx>
        <w:trPr>
          <w:trHeight w:val="422" w:hRule="atLeast"/>
        </w:trPr>
        <w:tc>
          <w:tcPr>
            <w:tcW w:w="716" w:type="dxa"/>
            <w:vMerge w:val="continue"/>
            <w:tcBorders>
              <w:top w:val="nil"/>
              <w:left w:val="single" w:color="000000" w:sz="4" w:space="0"/>
              <w:bottom w:val="single" w:color="000000" w:sz="4" w:space="0"/>
              <w:right w:val="single" w:color="000000" w:sz="4" w:space="0"/>
            </w:tcBorders>
            <w:vAlign w:val="center"/>
          </w:tcPr>
          <w:p>
            <w:pPr>
              <w:rPr>
                <w:rFonts w:eastAsia="仿宋_GB2312"/>
                <w:szCs w:val="21"/>
              </w:rPr>
            </w:pPr>
          </w:p>
        </w:tc>
        <w:tc>
          <w:tcPr>
            <w:tcW w:w="2874" w:type="dxa"/>
            <w:tcBorders>
              <w:top w:val="single" w:color="000000" w:sz="4" w:space="0"/>
              <w:left w:val="nil"/>
              <w:bottom w:val="single" w:color="000000" w:sz="4" w:space="0"/>
              <w:right w:val="single" w:color="000000" w:sz="4" w:space="0"/>
            </w:tcBorders>
            <w:vAlign w:val="center"/>
          </w:tcPr>
          <w:p>
            <w:pPr>
              <w:rPr>
                <w:rFonts w:eastAsia="仿宋_GB2312"/>
                <w:szCs w:val="21"/>
              </w:rPr>
            </w:pPr>
            <w:r>
              <w:rPr>
                <w:rFonts w:eastAsia="仿宋_GB2312"/>
                <w:szCs w:val="21"/>
              </w:rPr>
              <w:t>2</w:t>
            </w:r>
            <w:r>
              <w:rPr>
                <w:rFonts w:hint="eastAsia" w:eastAsia="仿宋_GB2312"/>
                <w:szCs w:val="21"/>
              </w:rPr>
              <w:t>.消防排烟预留接口</w:t>
            </w:r>
          </w:p>
        </w:tc>
        <w:tc>
          <w:tcPr>
            <w:tcW w:w="2918" w:type="dxa"/>
            <w:tcBorders>
              <w:top w:val="single" w:color="000000" w:sz="4" w:space="0"/>
              <w:left w:val="nil"/>
              <w:bottom w:val="single" w:color="000000" w:sz="4" w:space="0"/>
              <w:right w:val="single" w:color="000000" w:sz="4" w:space="0"/>
            </w:tcBorders>
            <w:vAlign w:val="center"/>
          </w:tcPr>
          <w:p>
            <w:pPr>
              <w:jc w:val="center"/>
              <w:rPr>
                <w:rFonts w:eastAsia="仿宋_GB2312"/>
                <w:b/>
                <w:bCs/>
                <w:szCs w:val="21"/>
              </w:rPr>
            </w:pPr>
          </w:p>
        </w:tc>
        <w:tc>
          <w:tcPr>
            <w:tcW w:w="2059" w:type="dxa"/>
            <w:tcBorders>
              <w:top w:val="single" w:color="000000" w:sz="4" w:space="0"/>
              <w:left w:val="nil"/>
              <w:bottom w:val="single" w:color="000000" w:sz="4" w:space="0"/>
              <w:right w:val="single" w:color="000000" w:sz="4" w:space="0"/>
            </w:tcBorders>
            <w:vAlign w:val="center"/>
          </w:tcPr>
          <w:p>
            <w:pPr>
              <w:rPr>
                <w:rFonts w:eastAsia="仿宋_GB2312"/>
                <w:szCs w:val="21"/>
              </w:rPr>
            </w:pPr>
          </w:p>
        </w:tc>
      </w:tr>
      <w:tr>
        <w:tblPrEx>
          <w:tblCellMar>
            <w:top w:w="0" w:type="dxa"/>
            <w:left w:w="108" w:type="dxa"/>
            <w:bottom w:w="0" w:type="dxa"/>
            <w:right w:w="108" w:type="dxa"/>
          </w:tblCellMar>
        </w:tblPrEx>
        <w:trPr>
          <w:trHeight w:val="413" w:hRule="atLeast"/>
        </w:trPr>
        <w:tc>
          <w:tcPr>
            <w:tcW w:w="716" w:type="dxa"/>
            <w:vMerge w:val="continue"/>
            <w:tcBorders>
              <w:top w:val="nil"/>
              <w:left w:val="single" w:color="000000" w:sz="4" w:space="0"/>
              <w:bottom w:val="single" w:color="000000" w:sz="4" w:space="0"/>
              <w:right w:val="single" w:color="000000" w:sz="4" w:space="0"/>
            </w:tcBorders>
            <w:vAlign w:val="center"/>
          </w:tcPr>
          <w:p>
            <w:pPr>
              <w:rPr>
                <w:rFonts w:eastAsia="仿宋_GB2312"/>
                <w:szCs w:val="21"/>
              </w:rPr>
            </w:pPr>
          </w:p>
        </w:tc>
        <w:tc>
          <w:tcPr>
            <w:tcW w:w="2874" w:type="dxa"/>
            <w:tcBorders>
              <w:top w:val="single" w:color="000000" w:sz="4" w:space="0"/>
              <w:left w:val="nil"/>
              <w:bottom w:val="single" w:color="000000" w:sz="4" w:space="0"/>
              <w:right w:val="single" w:color="000000" w:sz="4" w:space="0"/>
            </w:tcBorders>
            <w:vAlign w:val="center"/>
          </w:tcPr>
          <w:p>
            <w:pPr>
              <w:rPr>
                <w:rFonts w:eastAsia="仿宋_GB2312"/>
                <w:szCs w:val="21"/>
              </w:rPr>
            </w:pPr>
            <w:r>
              <w:rPr>
                <w:rFonts w:eastAsia="仿宋_GB2312"/>
                <w:szCs w:val="21"/>
              </w:rPr>
              <w:t>3</w:t>
            </w:r>
            <w:r>
              <w:rPr>
                <w:rFonts w:hint="eastAsia" w:eastAsia="仿宋_GB2312"/>
                <w:szCs w:val="21"/>
              </w:rPr>
              <w:t>.其它</w:t>
            </w:r>
          </w:p>
        </w:tc>
        <w:tc>
          <w:tcPr>
            <w:tcW w:w="2918" w:type="dxa"/>
            <w:tcBorders>
              <w:top w:val="single" w:color="000000" w:sz="4" w:space="0"/>
              <w:left w:val="nil"/>
              <w:bottom w:val="single" w:color="000000" w:sz="4" w:space="0"/>
              <w:right w:val="single" w:color="000000" w:sz="4" w:space="0"/>
            </w:tcBorders>
            <w:vAlign w:val="center"/>
          </w:tcPr>
          <w:p>
            <w:pPr>
              <w:jc w:val="center"/>
              <w:rPr>
                <w:rFonts w:eastAsia="仿宋_GB2312"/>
                <w:b/>
                <w:bCs/>
                <w:szCs w:val="21"/>
              </w:rPr>
            </w:pPr>
          </w:p>
        </w:tc>
        <w:tc>
          <w:tcPr>
            <w:tcW w:w="2059" w:type="dxa"/>
            <w:tcBorders>
              <w:top w:val="single" w:color="000000" w:sz="4" w:space="0"/>
              <w:left w:val="nil"/>
              <w:bottom w:val="single" w:color="000000" w:sz="4" w:space="0"/>
              <w:right w:val="single" w:color="000000" w:sz="4" w:space="0"/>
            </w:tcBorders>
            <w:vAlign w:val="center"/>
          </w:tcPr>
          <w:p>
            <w:pPr>
              <w:rPr>
                <w:rFonts w:eastAsia="仿宋_GB2312"/>
                <w:szCs w:val="21"/>
              </w:rPr>
            </w:pPr>
          </w:p>
        </w:tc>
      </w:tr>
    </w:tbl>
    <w:p>
      <w:pPr>
        <w:rPr>
          <w:rFonts w:eastAsia="仿宋_GB2312"/>
          <w:b/>
          <w:bCs/>
          <w:szCs w:val="21"/>
        </w:rPr>
      </w:pPr>
      <w:r>
        <w:rPr>
          <w:rFonts w:eastAsia="仿宋_GB2312"/>
          <w:b/>
          <w:bCs/>
          <w:szCs w:val="21"/>
        </w:rPr>
        <w:t xml:space="preserve"> </w:t>
      </w:r>
    </w:p>
    <w:p>
      <w:pPr>
        <w:rPr>
          <w:rFonts w:eastAsia="仿宋_GB2312"/>
          <w:szCs w:val="21"/>
        </w:rPr>
      </w:pPr>
      <w:r>
        <w:rPr>
          <w:rFonts w:hint="eastAsia" w:eastAsia="仿宋_GB2312"/>
          <w:b/>
          <w:bCs/>
          <w:szCs w:val="21"/>
        </w:rPr>
        <w:t>备注声明</w:t>
      </w:r>
      <w:r>
        <w:rPr>
          <w:rFonts w:hint="eastAsia" w:eastAsia="仿宋_GB2312"/>
          <w:szCs w:val="21"/>
        </w:rPr>
        <w:t>：本人/本公司在</w:t>
      </w:r>
      <w:r>
        <w:rPr>
          <w:rFonts w:hint="eastAsia" w:eastAsia="仿宋_GB2312"/>
          <w:b/>
          <w:bCs/>
          <w:szCs w:val="21"/>
        </w:rPr>
        <w:t>资产集团</w:t>
      </w:r>
      <w:r>
        <w:rPr>
          <w:rFonts w:hint="eastAsia" w:eastAsia="仿宋_GB2312"/>
          <w:szCs w:val="21"/>
        </w:rPr>
        <w:t>同意交付物业的情况下，证明已于_____年</w:t>
      </w:r>
      <w:r>
        <w:rPr>
          <w:rFonts w:eastAsia="仿宋_GB2312"/>
          <w:szCs w:val="21"/>
          <w:u w:val="single"/>
        </w:rPr>
        <w:t xml:space="preserve">      </w:t>
      </w:r>
      <w:r>
        <w:rPr>
          <w:rFonts w:hint="eastAsia" w:eastAsia="仿宋_GB2312"/>
          <w:szCs w:val="21"/>
        </w:rPr>
        <w:t>月</w:t>
      </w:r>
      <w:r>
        <w:rPr>
          <w:rFonts w:eastAsia="仿宋_GB2312"/>
          <w:szCs w:val="21"/>
          <w:u w:val="single"/>
        </w:rPr>
        <w:t xml:space="preserve">     </w:t>
      </w:r>
      <w:r>
        <w:rPr>
          <w:rFonts w:hint="eastAsia" w:eastAsia="仿宋_GB2312"/>
          <w:szCs w:val="21"/>
        </w:rPr>
        <w:t>日收到上述物业内上表所列之各项设施设备及物品，并确认完好。本人/本公司同意自即日起接受该物业，同时确认资产集团已按照合同约定履行交付该单元义务，不存在任何违约责任。</w:t>
      </w:r>
    </w:p>
    <w:p>
      <w:pPr>
        <w:ind w:left="440" w:hanging="440"/>
        <w:rPr>
          <w:rFonts w:eastAsia="仿宋_GB2312"/>
          <w:szCs w:val="21"/>
        </w:rPr>
      </w:pPr>
      <w:r>
        <w:rPr>
          <w:rFonts w:eastAsia="仿宋_GB2312"/>
          <w:szCs w:val="21"/>
        </w:rPr>
        <w:t xml:space="preserve"> </w:t>
      </w:r>
    </w:p>
    <w:p>
      <w:pPr>
        <w:spacing w:line="480" w:lineRule="auto"/>
        <w:rPr>
          <w:rFonts w:eastAsia="仿宋_GB2312"/>
          <w:b/>
          <w:bCs/>
          <w:szCs w:val="21"/>
          <w:u w:val="single"/>
        </w:rPr>
      </w:pPr>
      <w:r>
        <w:rPr>
          <w:rFonts w:hint="eastAsia" w:eastAsia="仿宋_GB2312"/>
          <w:b/>
          <w:bCs/>
          <w:szCs w:val="21"/>
        </w:rPr>
        <w:t>承租单位签署：</w:t>
      </w:r>
      <w:r>
        <w:rPr>
          <w:rFonts w:eastAsia="仿宋_GB2312"/>
          <w:b/>
          <w:bCs/>
          <w:szCs w:val="21"/>
          <w:u w:val="single"/>
        </w:rPr>
        <w:t xml:space="preserve">                  </w:t>
      </w:r>
      <w:r>
        <w:rPr>
          <w:rFonts w:hint="eastAsia" w:eastAsia="仿宋_GB2312"/>
          <w:b/>
          <w:bCs/>
          <w:szCs w:val="21"/>
        </w:rPr>
        <w:t xml:space="preserve">     物业接收日期：</w:t>
      </w:r>
      <w:r>
        <w:rPr>
          <w:rFonts w:eastAsia="仿宋_GB2312"/>
          <w:b/>
          <w:bCs/>
          <w:szCs w:val="21"/>
          <w:u w:val="single"/>
        </w:rPr>
        <w:t xml:space="preserve">               </w:t>
      </w:r>
      <w:r>
        <w:rPr>
          <w:rFonts w:hint="eastAsia" w:eastAsia="仿宋_GB2312"/>
          <w:b/>
          <w:bCs/>
          <w:szCs w:val="21"/>
        </w:rPr>
        <w:t>（签</w:t>
      </w:r>
      <w:r>
        <w:rPr>
          <w:rFonts w:hint="eastAsia" w:ascii="仿宋" w:hAnsi="仿宋" w:eastAsia="仿宋" w:cs="仿宋"/>
          <w:b/>
          <w:bCs/>
          <w:szCs w:val="21"/>
        </w:rPr>
        <w:t>字或</w:t>
      </w:r>
      <w:r>
        <w:rPr>
          <w:rFonts w:hint="eastAsia" w:eastAsia="仿宋_GB2312"/>
          <w:b/>
          <w:bCs/>
          <w:szCs w:val="21"/>
        </w:rPr>
        <w:t>盖章）</w:t>
      </w:r>
    </w:p>
    <w:p>
      <w:pPr>
        <w:rPr>
          <w:rFonts w:eastAsia="仿宋_GB2312"/>
          <w:b/>
          <w:bCs/>
          <w:szCs w:val="21"/>
        </w:rPr>
      </w:pPr>
    </w:p>
    <w:p>
      <w:pPr>
        <w:rPr>
          <w:rFonts w:eastAsia="仿宋_GB2312"/>
          <w:b/>
          <w:bCs/>
          <w:szCs w:val="21"/>
        </w:rPr>
      </w:pPr>
    </w:p>
    <w:p>
      <w:pPr>
        <w:rPr>
          <w:rFonts w:eastAsia="仿宋_GB2312"/>
          <w:szCs w:val="21"/>
        </w:rPr>
      </w:pPr>
      <w:r>
        <w:rPr>
          <w:rFonts w:hint="eastAsia" w:eastAsia="仿宋_GB2312"/>
          <w:b/>
          <w:bCs/>
          <w:szCs w:val="21"/>
        </w:rPr>
        <w:t xml:space="preserve">移交单位：   </w:t>
      </w:r>
      <w:r>
        <w:rPr>
          <w:rFonts w:eastAsia="仿宋_GB2312"/>
          <w:b/>
          <w:bCs/>
          <w:szCs w:val="21"/>
          <w:u w:val="single"/>
        </w:rPr>
        <w:t xml:space="preserve">                  </w:t>
      </w:r>
      <w:r>
        <w:rPr>
          <w:rFonts w:hint="eastAsia" w:eastAsia="仿宋_GB2312"/>
          <w:b/>
          <w:bCs/>
          <w:szCs w:val="21"/>
        </w:rPr>
        <w:t xml:space="preserve">      物业移交时间：</w:t>
      </w:r>
      <w:r>
        <w:rPr>
          <w:rFonts w:eastAsia="仿宋_GB2312"/>
          <w:b/>
          <w:bCs/>
          <w:szCs w:val="21"/>
          <w:u w:val="single"/>
        </w:rPr>
        <w:t xml:space="preserve">                     </w:t>
      </w:r>
      <w:r>
        <w:rPr>
          <w:rFonts w:hint="eastAsia" w:eastAsia="仿宋_GB2312"/>
          <w:b/>
          <w:bCs/>
          <w:szCs w:val="21"/>
        </w:rPr>
        <w:t xml:space="preserve">（盖章） </w:t>
      </w:r>
    </w:p>
    <w:p>
      <w:pPr>
        <w:widowControl/>
        <w:textAlignment w:val="center"/>
        <w:rPr>
          <w:rFonts w:eastAsia="黑体"/>
          <w:b/>
          <w:kern w:val="0"/>
          <w:sz w:val="32"/>
          <w:szCs w:val="32"/>
          <w:lang w:bidi="ar"/>
        </w:rPr>
        <w:sectPr>
          <w:pgSz w:w="11906" w:h="16838"/>
          <w:pgMar w:top="1440" w:right="1800" w:bottom="1440" w:left="1800" w:header="851" w:footer="992" w:gutter="0"/>
          <w:cols w:space="720" w:num="1"/>
          <w:docGrid w:type="lines" w:linePitch="312" w:charSpace="0"/>
        </w:sectPr>
      </w:pPr>
    </w:p>
    <w:p>
      <w:pPr>
        <w:jc w:val="left"/>
        <w:rPr>
          <w:rFonts w:hint="eastAsia" w:ascii="楷体" w:hAnsi="楷体" w:eastAsia="楷体" w:cs="楷体"/>
          <w:sz w:val="28"/>
          <w:szCs w:val="28"/>
        </w:rPr>
      </w:pPr>
      <w:r>
        <w:rPr>
          <w:rFonts w:hint="eastAsia" w:ascii="楷体" w:hAnsi="楷体" w:eastAsia="楷体" w:cs="楷体"/>
          <w:sz w:val="28"/>
          <w:szCs w:val="28"/>
        </w:rPr>
        <w:t>附件五</w:t>
      </w:r>
    </w:p>
    <w:p>
      <w:pPr>
        <w:jc w:val="center"/>
        <w:rPr>
          <w:rFonts w:hint="eastAsia" w:ascii="楷体" w:hAnsi="楷体" w:eastAsia="楷体" w:cs="楷体"/>
          <w:sz w:val="28"/>
          <w:szCs w:val="28"/>
        </w:rPr>
      </w:pPr>
      <w:r>
        <w:rPr>
          <w:rFonts w:hint="eastAsia" w:ascii="楷体" w:hAnsi="楷体" w:eastAsia="楷体" w:cs="楷体"/>
          <w:sz w:val="28"/>
          <w:szCs w:val="28"/>
        </w:rPr>
        <w:t>反不正当竞争与反商业贿赂约定书</w:t>
      </w:r>
    </w:p>
    <w:p>
      <w:pPr>
        <w:rPr>
          <w:rFonts w:hint="eastAsia" w:ascii="楷体" w:hAnsi="楷体" w:eastAsia="楷体" w:cs="楷体"/>
          <w:sz w:val="28"/>
          <w:szCs w:val="28"/>
        </w:rPr>
      </w:pPr>
      <w:r>
        <w:rPr>
          <w:rFonts w:hint="eastAsia" w:ascii="楷体" w:hAnsi="楷体" w:eastAsia="楷体" w:cs="楷体"/>
          <w:sz w:val="28"/>
          <w:szCs w:val="28"/>
        </w:rPr>
        <w:t>甲方：</w:t>
      </w:r>
    </w:p>
    <w:p>
      <w:pPr>
        <w:rPr>
          <w:rFonts w:hint="eastAsia" w:ascii="楷体" w:hAnsi="楷体" w:eastAsia="楷体" w:cs="楷体"/>
          <w:sz w:val="28"/>
          <w:szCs w:val="28"/>
        </w:rPr>
      </w:pPr>
      <w:r>
        <w:rPr>
          <w:rFonts w:hint="eastAsia" w:ascii="楷体" w:hAnsi="楷体" w:eastAsia="楷体" w:cs="楷体"/>
          <w:sz w:val="28"/>
          <w:szCs w:val="28"/>
        </w:rPr>
        <w:t xml:space="preserve">乙方：         </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为认真贯彻落实中央、省、市及集团公司、资产集团关于党风廉政责任制相关规定要求，保证公司各项运营活动公开、公平、公正，推动打造企业与合作方真诚亲密，清白纯洁的“亲·清”关系，保护国家、集体和当事人的合法权益，防止发生各种不正当竞争以及商业贿赂等违法违纪行为，特订立本约定书。</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第一条 双方责任</w:t>
      </w:r>
    </w:p>
    <w:p>
      <w:pPr>
        <w:rPr>
          <w:rFonts w:hint="eastAsia" w:ascii="楷体" w:hAnsi="楷体" w:eastAsia="楷体" w:cs="楷体"/>
          <w:sz w:val="28"/>
          <w:szCs w:val="28"/>
        </w:rPr>
      </w:pPr>
      <w:r>
        <w:rPr>
          <w:rFonts w:hint="eastAsia" w:ascii="楷体" w:hAnsi="楷体" w:eastAsia="楷体" w:cs="楷体"/>
          <w:sz w:val="28"/>
          <w:szCs w:val="28"/>
        </w:rPr>
        <w:t>　　1.1甲乙双方应严格遵守国家关于市场准入、招标投标、招商招租、物业管理和市场经营活动等有关法律、法规，相关政策，以及廉政建设的各项规定。</w:t>
      </w:r>
    </w:p>
    <w:p>
      <w:pPr>
        <w:rPr>
          <w:rFonts w:hint="eastAsia" w:ascii="楷体" w:hAnsi="楷体" w:eastAsia="楷体" w:cs="楷体"/>
          <w:sz w:val="28"/>
          <w:szCs w:val="28"/>
        </w:rPr>
      </w:pPr>
      <w:r>
        <w:rPr>
          <w:rFonts w:hint="eastAsia" w:ascii="楷体" w:hAnsi="楷体" w:eastAsia="楷体" w:cs="楷体"/>
          <w:sz w:val="28"/>
          <w:szCs w:val="28"/>
        </w:rPr>
        <w:t>　　1.2甲乙双方应严格执行合同所约定的各项权利义务，自觉按合同办事。</w:t>
      </w:r>
    </w:p>
    <w:p>
      <w:pPr>
        <w:rPr>
          <w:rFonts w:hint="eastAsia" w:ascii="楷体" w:hAnsi="楷体" w:eastAsia="楷体" w:cs="楷体"/>
          <w:sz w:val="28"/>
          <w:szCs w:val="28"/>
        </w:rPr>
      </w:pPr>
      <w:r>
        <w:rPr>
          <w:rFonts w:hint="eastAsia" w:ascii="楷体" w:hAnsi="楷体" w:eastAsia="楷体" w:cs="楷体"/>
          <w:sz w:val="28"/>
          <w:szCs w:val="28"/>
        </w:rPr>
        <w:t>　　1.3甲乙双方在商业活动中应始终坚持公开、公平、公正、诚信、透明的原则，不得为获取不正当的利益，违反规章制度，损害国家、集体、其他任意第三方和合同对方的利益。</w:t>
      </w:r>
    </w:p>
    <w:p>
      <w:pPr>
        <w:rPr>
          <w:rFonts w:hint="eastAsia" w:ascii="楷体" w:hAnsi="楷体" w:eastAsia="楷体" w:cs="楷体"/>
          <w:sz w:val="28"/>
          <w:szCs w:val="28"/>
        </w:rPr>
      </w:pPr>
      <w:r>
        <w:rPr>
          <w:rFonts w:hint="eastAsia" w:ascii="楷体" w:hAnsi="楷体" w:eastAsia="楷体" w:cs="楷体"/>
          <w:sz w:val="28"/>
          <w:szCs w:val="28"/>
        </w:rPr>
        <w:t>　　1.4甲乙双方发现合同对方在业务活动中有违规、违纪、违法行为的，应及时提醒，情节严重的，应向其主管部门或公司纪检监察、司法等有关机关举报。</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第二条 甲方责任</w:t>
      </w:r>
    </w:p>
    <w:p>
      <w:pPr>
        <w:rPr>
          <w:rFonts w:hint="eastAsia" w:ascii="楷体" w:hAnsi="楷体" w:eastAsia="楷体" w:cs="楷体"/>
          <w:sz w:val="28"/>
          <w:szCs w:val="28"/>
        </w:rPr>
      </w:pPr>
      <w:r>
        <w:rPr>
          <w:rFonts w:hint="eastAsia" w:ascii="楷体" w:hAnsi="楷体" w:eastAsia="楷体" w:cs="楷体"/>
          <w:sz w:val="28"/>
          <w:szCs w:val="28"/>
        </w:rPr>
        <w:t>　　甲方从事商业运营活动的工作人员，应始终遵守以下规定：</w:t>
      </w:r>
    </w:p>
    <w:p>
      <w:pPr>
        <w:rPr>
          <w:rFonts w:hint="eastAsia" w:ascii="楷体" w:hAnsi="楷体" w:eastAsia="楷体" w:cs="楷体"/>
          <w:sz w:val="28"/>
          <w:szCs w:val="28"/>
        </w:rPr>
      </w:pPr>
      <w:r>
        <w:rPr>
          <w:rFonts w:hint="eastAsia" w:ascii="楷体" w:hAnsi="楷体" w:eastAsia="楷体" w:cs="楷体"/>
          <w:sz w:val="28"/>
          <w:szCs w:val="28"/>
        </w:rPr>
        <w:t>　　2.1不向乙方和相关单位索要或接受任何回扣、礼金、有价证券、贵重物品和好处费、感谢费等账外财产。</w:t>
      </w:r>
    </w:p>
    <w:p>
      <w:pPr>
        <w:rPr>
          <w:rFonts w:hint="eastAsia" w:ascii="楷体" w:hAnsi="楷体" w:eastAsia="楷体" w:cs="楷体"/>
          <w:sz w:val="28"/>
          <w:szCs w:val="28"/>
        </w:rPr>
      </w:pPr>
      <w:r>
        <w:rPr>
          <w:rFonts w:hint="eastAsia" w:ascii="楷体" w:hAnsi="楷体" w:eastAsia="楷体" w:cs="楷体"/>
          <w:sz w:val="28"/>
          <w:szCs w:val="28"/>
        </w:rPr>
        <w:t>　　2.2不在乙方和相关单位报销任何应由甲方或个人支付的费用。</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2.3不要求、暗示和接受乙方和相关单位为其装修住房、婚丧嫁娶、近亲属的工作安排以及出国（境）、旅游等提供方便。</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2.4不参加有可能影响乙方和相关单位公正执行商业活动的宴请和健身、娱乐等活动。</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2.5不准接受管理和服务对象违规转让、赠与的股份及其红利，或擅自投资入股。</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2.6不准在业务活动中设置障碍，敷衍推诿，态度粗鲁，刁难管理和服务对象。</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2.7不准安排亲属在管理和服务对象单位担任职务或接受报酬；</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2.8不准利用职权便利为亲朋好友谋取非法利益或从事营利性经营活动提供便利条件。</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第三条 乙方责任</w:t>
      </w:r>
    </w:p>
    <w:p>
      <w:pPr>
        <w:rPr>
          <w:rFonts w:hint="eastAsia" w:ascii="楷体" w:hAnsi="楷体" w:eastAsia="楷体" w:cs="楷体"/>
          <w:sz w:val="28"/>
          <w:szCs w:val="28"/>
        </w:rPr>
      </w:pPr>
      <w:r>
        <w:rPr>
          <w:rFonts w:hint="eastAsia" w:ascii="楷体" w:hAnsi="楷体" w:eastAsia="楷体" w:cs="楷体"/>
          <w:sz w:val="28"/>
          <w:szCs w:val="28"/>
        </w:rPr>
        <w:t>　　3.1不以任何理由任何方式向甲方、相关单位及其工作人员提供、赠送或给予回扣、礼金、有价证券、贵重物品和好处费、感谢费等账外财产。</w:t>
      </w:r>
    </w:p>
    <w:p>
      <w:pPr>
        <w:rPr>
          <w:rFonts w:hint="eastAsia" w:ascii="楷体" w:hAnsi="楷体" w:eastAsia="楷体" w:cs="楷体"/>
          <w:sz w:val="28"/>
          <w:szCs w:val="28"/>
        </w:rPr>
      </w:pPr>
      <w:r>
        <w:rPr>
          <w:rFonts w:hint="eastAsia" w:ascii="楷体" w:hAnsi="楷体" w:eastAsia="楷体" w:cs="楷体"/>
          <w:sz w:val="28"/>
          <w:szCs w:val="28"/>
        </w:rPr>
        <w:t>　　3.2不以任何理由任何方式为甲方和相关单位报销应由对方或个人支付的费用。</w:t>
      </w:r>
    </w:p>
    <w:p>
      <w:pPr>
        <w:rPr>
          <w:rFonts w:hint="eastAsia" w:ascii="楷体" w:hAnsi="楷体" w:eastAsia="楷体" w:cs="楷体"/>
          <w:sz w:val="28"/>
          <w:szCs w:val="28"/>
        </w:rPr>
      </w:pPr>
      <w:r>
        <w:rPr>
          <w:rFonts w:hint="eastAsia" w:ascii="楷体" w:hAnsi="楷体" w:eastAsia="楷体" w:cs="楷体"/>
          <w:sz w:val="28"/>
          <w:szCs w:val="28"/>
        </w:rPr>
        <w:t>　　3.3不以任何理由任何方式为甲方或相关单位个人装修住房、婚丧嫁娶、近亲属的工作安排以及出国（境）、旅游等提供方便。</w:t>
      </w:r>
    </w:p>
    <w:p>
      <w:pPr>
        <w:rPr>
          <w:rFonts w:hint="eastAsia" w:ascii="楷体" w:hAnsi="楷体" w:eastAsia="楷体" w:cs="楷体"/>
          <w:sz w:val="28"/>
          <w:szCs w:val="28"/>
        </w:rPr>
      </w:pPr>
      <w:r>
        <w:rPr>
          <w:rFonts w:hint="eastAsia" w:ascii="楷体" w:hAnsi="楷体" w:eastAsia="楷体" w:cs="楷体"/>
          <w:sz w:val="28"/>
          <w:szCs w:val="28"/>
        </w:rPr>
        <w:t>　　3.4不以任何理由任何方式为甲方或相关单位组织有可能影响甲方公正执行商业活动的宴请、健身、娱乐等活动。</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3.5不得以任何不正当方式诋毁、排挤第三方，执行合同过程中不得以不正当手段获取不当利益，对知悉的甲方情况予以保密。</w:t>
      </w:r>
    </w:p>
    <w:p>
      <w:pPr>
        <w:rPr>
          <w:rFonts w:hint="eastAsia" w:ascii="楷体" w:hAnsi="楷体" w:eastAsia="楷体" w:cs="楷体"/>
          <w:sz w:val="28"/>
          <w:szCs w:val="28"/>
        </w:rPr>
      </w:pPr>
      <w:r>
        <w:rPr>
          <w:rFonts w:hint="eastAsia" w:ascii="楷体" w:hAnsi="楷体" w:eastAsia="楷体" w:cs="楷体"/>
          <w:sz w:val="28"/>
          <w:szCs w:val="28"/>
        </w:rPr>
        <w:t>　　第四条 违约责任</w:t>
      </w:r>
    </w:p>
    <w:p>
      <w:pPr>
        <w:rPr>
          <w:rFonts w:hint="eastAsia" w:ascii="楷体" w:hAnsi="楷体" w:eastAsia="楷体" w:cs="楷体"/>
          <w:sz w:val="28"/>
          <w:szCs w:val="28"/>
        </w:rPr>
      </w:pPr>
      <w:r>
        <w:rPr>
          <w:rFonts w:hint="eastAsia" w:ascii="楷体" w:hAnsi="楷体" w:eastAsia="楷体" w:cs="楷体"/>
          <w:sz w:val="28"/>
          <w:szCs w:val="28"/>
        </w:rPr>
        <w:t>　　4.1甲方工作人员有违反本约定书第一、二条责任行为的，按照管理权限，依据有关法律法规和规定给予党纪、政纪处分或组织处理；涉嫌犯罪的，移交司法机关追究刑事责任；给乙方单位造成经济损失的，应予以赔偿。</w:t>
      </w:r>
    </w:p>
    <w:p>
      <w:pPr>
        <w:rPr>
          <w:rFonts w:hint="eastAsia" w:ascii="楷体" w:hAnsi="楷体" w:eastAsia="楷体" w:cs="楷体"/>
          <w:sz w:val="28"/>
          <w:szCs w:val="28"/>
        </w:rPr>
      </w:pPr>
      <w:r>
        <w:rPr>
          <w:rFonts w:hint="eastAsia" w:ascii="楷体" w:hAnsi="楷体" w:eastAsia="楷体" w:cs="楷体"/>
          <w:sz w:val="28"/>
          <w:szCs w:val="28"/>
        </w:rPr>
        <w:t>　　4.2乙方工作人员有违反本约定书第一、三条责任行为的，甲方有权单方解除房屋租赁合同并将乙方暂时或永久列入承租人黑名单，同时乙方须向甲方无条件支付合同总金额10%或行贿金额5倍（以金额高者为准）的违约金；涉嫌犯罪的，移交司法机关追究刑事责任；给甲方单位造成经济损失的，应予以赔偿。</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第五条 其他</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5.1本约定书经双方签字或盖章后立即生效，至租赁合同结束时终止。</w:t>
      </w:r>
    </w:p>
    <w:p>
      <w:pPr>
        <w:rPr>
          <w:rFonts w:hint="eastAsia" w:ascii="楷体" w:hAnsi="楷体" w:eastAsia="楷体" w:cs="楷体"/>
          <w:sz w:val="28"/>
          <w:szCs w:val="28"/>
        </w:rPr>
      </w:pPr>
      <w:r>
        <w:rPr>
          <w:rFonts w:hint="eastAsia" w:ascii="楷体" w:hAnsi="楷体" w:eastAsia="楷体" w:cs="楷体"/>
          <w:sz w:val="28"/>
          <w:szCs w:val="28"/>
        </w:rPr>
        <w:t>（以下无正文）</w:t>
      </w:r>
    </w:p>
    <w:p>
      <w:pPr>
        <w:rPr>
          <w:rFonts w:hint="eastAsia" w:ascii="楷体" w:hAnsi="楷体" w:eastAsia="楷体" w:cs="楷体"/>
          <w:sz w:val="28"/>
          <w:szCs w:val="28"/>
        </w:rPr>
      </w:pPr>
    </w:p>
    <w:p>
      <w:pPr>
        <w:rPr>
          <w:rFonts w:hint="eastAsia" w:ascii="楷体" w:hAnsi="楷体" w:eastAsia="楷体" w:cs="楷体"/>
          <w:sz w:val="28"/>
          <w:szCs w:val="28"/>
        </w:rPr>
      </w:pPr>
      <w:r>
        <w:rPr>
          <w:rFonts w:hint="eastAsia" w:ascii="楷体" w:hAnsi="楷体" w:eastAsia="楷体" w:cs="楷体"/>
          <w:sz w:val="28"/>
          <w:szCs w:val="28"/>
        </w:rPr>
        <w:br w:type="page"/>
      </w:r>
    </w:p>
    <w:p>
      <w:pPr>
        <w:rPr>
          <w:rFonts w:hint="eastAsia" w:ascii="楷体" w:hAnsi="楷体" w:eastAsia="楷体" w:cs="楷体"/>
          <w:sz w:val="28"/>
          <w:szCs w:val="28"/>
        </w:rPr>
      </w:pPr>
      <w:r>
        <w:rPr>
          <w:rFonts w:hint="eastAsia" w:ascii="楷体" w:hAnsi="楷体" w:eastAsia="楷体" w:cs="楷体"/>
          <w:sz w:val="28"/>
          <w:szCs w:val="28"/>
        </w:rPr>
        <w:t>（合同签署页）</w:t>
      </w:r>
    </w:p>
    <w:p>
      <w:pPr>
        <w:rPr>
          <w:rFonts w:hint="eastAsia" w:ascii="楷体" w:hAnsi="楷体" w:eastAsia="楷体" w:cs="楷体"/>
          <w:sz w:val="28"/>
          <w:szCs w:val="28"/>
        </w:rPr>
      </w:pPr>
    </w:p>
    <w:p>
      <w:pPr>
        <w:rPr>
          <w:rFonts w:hint="eastAsia" w:ascii="楷体" w:hAnsi="楷体" w:eastAsia="楷体" w:cs="楷体"/>
          <w:sz w:val="28"/>
          <w:szCs w:val="28"/>
        </w:rPr>
      </w:pPr>
      <w:r>
        <w:rPr>
          <w:rFonts w:hint="eastAsia" w:ascii="楷体" w:hAnsi="楷体" w:eastAsia="楷体" w:cs="楷体"/>
          <w:sz w:val="28"/>
          <w:szCs w:val="28"/>
        </w:rPr>
        <w:t>甲方（盖章）：</w:t>
      </w:r>
    </w:p>
    <w:p>
      <w:pPr>
        <w:rPr>
          <w:rFonts w:hint="eastAsia" w:ascii="楷体" w:hAnsi="楷体" w:eastAsia="楷体" w:cs="楷体"/>
          <w:sz w:val="28"/>
          <w:szCs w:val="28"/>
        </w:rPr>
      </w:pPr>
      <w:r>
        <w:rPr>
          <w:rFonts w:hint="eastAsia" w:ascii="楷体" w:hAnsi="楷体" w:eastAsia="楷体" w:cs="楷体"/>
          <w:sz w:val="28"/>
          <w:szCs w:val="28"/>
        </w:rPr>
        <w:t xml:space="preserve">法定代表人或授权代表：　　　　　　　　                  </w:t>
      </w:r>
    </w:p>
    <w:p>
      <w:pPr>
        <w:rPr>
          <w:rFonts w:hint="eastAsia" w:ascii="楷体" w:hAnsi="楷体" w:eastAsia="楷体" w:cs="楷体"/>
          <w:sz w:val="28"/>
          <w:szCs w:val="28"/>
        </w:rPr>
      </w:pPr>
      <w:r>
        <w:rPr>
          <w:rFonts w:hint="eastAsia" w:ascii="楷体" w:hAnsi="楷体" w:eastAsia="楷体" w:cs="楷体"/>
          <w:sz w:val="28"/>
          <w:szCs w:val="28"/>
        </w:rPr>
        <w:t>经办人：</w:t>
      </w:r>
    </w:p>
    <w:p>
      <w:pPr>
        <w:rPr>
          <w:rFonts w:hint="eastAsia" w:ascii="楷体" w:hAnsi="楷体" w:eastAsia="楷体" w:cs="楷体"/>
          <w:sz w:val="28"/>
          <w:szCs w:val="28"/>
        </w:rPr>
      </w:pPr>
      <w:r>
        <w:rPr>
          <w:rFonts w:hint="eastAsia" w:ascii="楷体" w:hAnsi="楷体" w:eastAsia="楷体" w:cs="楷体"/>
          <w:sz w:val="28"/>
          <w:szCs w:val="28"/>
        </w:rPr>
        <w:t>地址：</w:t>
      </w:r>
    </w:p>
    <w:p>
      <w:pPr>
        <w:rPr>
          <w:rFonts w:hint="eastAsia" w:ascii="楷体" w:hAnsi="楷体" w:eastAsia="楷体" w:cs="楷体"/>
          <w:sz w:val="28"/>
          <w:szCs w:val="28"/>
        </w:rPr>
      </w:pPr>
      <w:r>
        <w:rPr>
          <w:rFonts w:hint="eastAsia" w:ascii="楷体" w:hAnsi="楷体" w:eastAsia="楷体" w:cs="楷体"/>
          <w:sz w:val="28"/>
          <w:szCs w:val="28"/>
        </w:rPr>
        <w:t xml:space="preserve">监督电话：0571-87769591           </w:t>
      </w:r>
    </w:p>
    <w:p>
      <w:pPr>
        <w:rPr>
          <w:rFonts w:hint="eastAsia" w:ascii="楷体" w:hAnsi="楷体" w:eastAsia="楷体" w:cs="楷体"/>
          <w:sz w:val="28"/>
          <w:szCs w:val="28"/>
        </w:rPr>
      </w:pPr>
      <w:r>
        <w:rPr>
          <w:rFonts w:hint="eastAsia" w:ascii="楷体" w:hAnsi="楷体" w:eastAsia="楷体" w:cs="楷体"/>
          <w:sz w:val="28"/>
          <w:szCs w:val="28"/>
        </w:rPr>
        <w:t xml:space="preserve">日期:          年 　  月 　  日           </w:t>
      </w:r>
    </w:p>
    <w:p>
      <w:pPr>
        <w:rPr>
          <w:rFonts w:hint="eastAsia" w:ascii="楷体" w:hAnsi="楷体" w:eastAsia="楷体" w:cs="楷体"/>
          <w:sz w:val="28"/>
          <w:szCs w:val="28"/>
        </w:rPr>
      </w:pPr>
    </w:p>
    <w:p>
      <w:pPr>
        <w:rPr>
          <w:rFonts w:hint="eastAsia" w:ascii="楷体" w:hAnsi="楷体" w:eastAsia="楷体" w:cs="楷体"/>
          <w:sz w:val="28"/>
          <w:szCs w:val="28"/>
        </w:rPr>
      </w:pPr>
    </w:p>
    <w:p>
      <w:pPr>
        <w:rPr>
          <w:rFonts w:hint="eastAsia" w:ascii="楷体" w:hAnsi="楷体" w:eastAsia="楷体" w:cs="楷体"/>
          <w:sz w:val="28"/>
          <w:szCs w:val="28"/>
        </w:rPr>
      </w:pPr>
      <w:r>
        <w:rPr>
          <w:rFonts w:hint="eastAsia" w:ascii="楷体" w:hAnsi="楷体" w:eastAsia="楷体" w:cs="楷体"/>
          <w:sz w:val="28"/>
          <w:szCs w:val="28"/>
        </w:rPr>
        <w:t xml:space="preserve">乙方（签字或盖章）：    </w:t>
      </w:r>
    </w:p>
    <w:p>
      <w:pPr>
        <w:rPr>
          <w:rFonts w:hint="eastAsia" w:ascii="楷体" w:hAnsi="楷体" w:eastAsia="楷体" w:cs="楷体"/>
          <w:sz w:val="28"/>
          <w:szCs w:val="28"/>
        </w:rPr>
      </w:pPr>
      <w:r>
        <w:rPr>
          <w:rFonts w:hint="eastAsia" w:ascii="楷体" w:hAnsi="楷体" w:eastAsia="楷体" w:cs="楷体"/>
          <w:sz w:val="28"/>
          <w:szCs w:val="28"/>
        </w:rPr>
        <w:t>法定代表人或授权代表：</w:t>
      </w:r>
    </w:p>
    <w:p>
      <w:pPr>
        <w:rPr>
          <w:rFonts w:hint="eastAsia" w:ascii="楷体" w:hAnsi="楷体" w:eastAsia="楷体" w:cs="楷体"/>
          <w:sz w:val="28"/>
          <w:szCs w:val="28"/>
        </w:rPr>
      </w:pPr>
      <w:r>
        <w:rPr>
          <w:rFonts w:hint="eastAsia" w:ascii="楷体" w:hAnsi="楷体" w:eastAsia="楷体" w:cs="楷体"/>
          <w:sz w:val="28"/>
          <w:szCs w:val="28"/>
        </w:rPr>
        <w:t>日期：         年   　月 　  日　</w:t>
      </w:r>
    </w:p>
    <w:p>
      <w:pPr>
        <w:rPr>
          <w:rFonts w:hint="eastAsia" w:ascii="楷体" w:hAnsi="楷体" w:eastAsia="楷体" w:cs="楷体"/>
          <w:sz w:val="28"/>
          <w:szCs w:val="28"/>
        </w:rPr>
      </w:pPr>
    </w:p>
    <w:sectPr>
      <w:pgSz w:w="11906" w:h="16838"/>
      <w:pgMar w:top="1440" w:right="1466" w:bottom="1440" w:left="1736"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710253D-DFBF-4EB3-920E-74655C73642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embedRegular r:id="rId2" w:fontKey="{CEF828FD-624E-41BC-9012-EFAAD3512A83}"/>
  </w:font>
  <w:font w:name="楷体">
    <w:panose1 w:val="02010609060101010101"/>
    <w:charset w:val="86"/>
    <w:family w:val="modern"/>
    <w:pitch w:val="default"/>
    <w:sig w:usb0="800002BF" w:usb1="38CF7CFA" w:usb2="00000016" w:usb3="00000000" w:csb0="00040001" w:csb1="00000000"/>
    <w:embedRegular r:id="rId3" w:fontKey="{9DACE866-E272-4F0A-A2F0-276B417585D2}"/>
  </w:font>
  <w:font w:name="仿宋_GB2312">
    <w:panose1 w:val="02010609030101010101"/>
    <w:charset w:val="86"/>
    <w:family w:val="modern"/>
    <w:pitch w:val="default"/>
    <w:sig w:usb0="00000001" w:usb1="080E0000" w:usb2="00000000" w:usb3="00000000" w:csb0="00040000" w:csb1="00000000"/>
    <w:embedRegular r:id="rId4" w:fontKey="{4E5917D2-5045-4112-8FD4-F5BB98A5D4F9}"/>
  </w:font>
  <w:font w:name="仿宋">
    <w:panose1 w:val="02010609060101010101"/>
    <w:charset w:val="86"/>
    <w:family w:val="modern"/>
    <w:pitch w:val="default"/>
    <w:sig w:usb0="800002BF" w:usb1="38CF7CFA" w:usb2="00000016" w:usb3="00000000" w:csb0="00040001" w:csb1="00000000"/>
    <w:embedRegular r:id="rId5" w:fontKey="{876F2D86-9992-4C16-8282-B67E476A19E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pPr>
                            <w:pStyle w:val="5"/>
                            <w:rPr>
                              <w:rFonts w:hint="eastAsia" w:ascii="楷体" w:hAnsi="楷体" w:eastAsia="楷体" w:cs="楷体"/>
                            </w:rPr>
                          </w:pPr>
                          <w:r>
                            <w:rPr>
                              <w:rFonts w:hint="eastAsia" w:ascii="楷体" w:hAnsi="楷体" w:eastAsia="楷体" w:cs="楷体"/>
                            </w:rPr>
                            <w:t xml:space="preserve">第 </w:t>
                          </w:r>
                          <w:r>
                            <w:rPr>
                              <w:rFonts w:hint="eastAsia" w:ascii="楷体" w:hAnsi="楷体" w:eastAsia="楷体" w:cs="楷体"/>
                            </w:rPr>
                            <w:fldChar w:fldCharType="begin"/>
                          </w:r>
                          <w:r>
                            <w:rPr>
                              <w:rFonts w:hint="eastAsia" w:ascii="楷体" w:hAnsi="楷体" w:eastAsia="楷体" w:cs="楷体"/>
                            </w:rPr>
                            <w:instrText xml:space="preserve"> PAGE  \* MERGEFORMAT </w:instrText>
                          </w:r>
                          <w:r>
                            <w:rPr>
                              <w:rFonts w:hint="eastAsia" w:ascii="楷体" w:hAnsi="楷体" w:eastAsia="楷体" w:cs="楷体"/>
                            </w:rPr>
                            <w:fldChar w:fldCharType="separate"/>
                          </w:r>
                          <w:r>
                            <w:rPr>
                              <w:rFonts w:hint="eastAsia" w:ascii="楷体" w:hAnsi="楷体" w:eastAsia="楷体" w:cs="楷体"/>
                            </w:rPr>
                            <w:t>- 2 -</w:t>
                          </w:r>
                          <w:r>
                            <w:rPr>
                              <w:rFonts w:hint="eastAsia" w:ascii="楷体" w:hAnsi="楷体" w:eastAsia="楷体" w:cs="楷体"/>
                            </w:rPr>
                            <w:fldChar w:fldCharType="end"/>
                          </w:r>
                          <w:r>
                            <w:rPr>
                              <w:rFonts w:hint="eastAsia" w:ascii="楷体" w:hAnsi="楷体" w:eastAsia="楷体" w:cs="楷体"/>
                            </w:rPr>
                            <w:t xml:space="preserve"> 页       共 </w:t>
                          </w:r>
                          <w:r>
                            <w:rPr>
                              <w:rFonts w:hint="eastAsia" w:ascii="楷体" w:hAnsi="楷体" w:eastAsia="楷体" w:cs="楷体"/>
                            </w:rPr>
                            <w:fldChar w:fldCharType="begin"/>
                          </w:r>
                          <w:r>
                            <w:rPr>
                              <w:rFonts w:hint="eastAsia" w:ascii="楷体" w:hAnsi="楷体" w:eastAsia="楷体" w:cs="楷体"/>
                            </w:rPr>
                            <w:instrText xml:space="preserve"> NUMPAGES  \* MERGEFORMAT </w:instrText>
                          </w:r>
                          <w:r>
                            <w:rPr>
                              <w:rFonts w:hint="eastAsia" w:ascii="楷体" w:hAnsi="楷体" w:eastAsia="楷体" w:cs="楷体"/>
                            </w:rPr>
                            <w:fldChar w:fldCharType="separate"/>
                          </w:r>
                          <w:r>
                            <w:rPr>
                              <w:rFonts w:hint="eastAsia" w:ascii="楷体" w:hAnsi="楷体" w:eastAsia="楷体" w:cs="楷体"/>
                            </w:rPr>
                            <w:t>36</w:t>
                          </w:r>
                          <w:r>
                            <w:rPr>
                              <w:rFonts w:hint="eastAsia" w:ascii="楷体" w:hAnsi="楷体" w:eastAsia="楷体" w:cs="楷体"/>
                            </w:rPr>
                            <w:fldChar w:fldCharType="end"/>
                          </w:r>
                          <w:r>
                            <w:rPr>
                              <w:rFonts w:hint="eastAsia" w:ascii="楷体" w:hAnsi="楷体" w:eastAsia="楷体" w:cs="楷体"/>
                            </w:rPr>
                            <w:t xml:space="preserve"> 页</w:t>
                          </w:r>
                        </w:p>
                      </w:txbxContent>
                    </wps:txbx>
                    <wps:bodyPr rot="0" vert="horz"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OqXm5zwAAAAUB&#10;AAAPAAAAAAAAAAEAIAAAACIAAABkcnMvZG93bnJldi54bWxQSwECFAAUAAAACACHTuJAQobvE+sB&#10;AADUAwAADgAAAAAAAAABACAAAAAeAQAAZHJzL2Uyb0RvYy54bWxQSwUGAAAAAAYABgBZAQAAewUA&#10;AAAA&#10;">
              <v:fill on="f" focussize="0,0"/>
              <v:stroke on="f"/>
              <v:imagedata o:title=""/>
              <o:lock v:ext="edit" aspectratio="f"/>
              <v:textbox inset="0mm,0mm,0mm,0mm" style="mso-fit-shape-to-text:t;">
                <w:txbxContent>
                  <w:p>
                    <w:pPr>
                      <w:pStyle w:val="5"/>
                      <w:rPr>
                        <w:rFonts w:hint="eastAsia" w:ascii="楷体" w:hAnsi="楷体" w:eastAsia="楷体" w:cs="楷体"/>
                      </w:rPr>
                    </w:pPr>
                    <w:r>
                      <w:rPr>
                        <w:rFonts w:hint="eastAsia" w:ascii="楷体" w:hAnsi="楷体" w:eastAsia="楷体" w:cs="楷体"/>
                      </w:rPr>
                      <w:t xml:space="preserve">第 </w:t>
                    </w:r>
                    <w:r>
                      <w:rPr>
                        <w:rFonts w:hint="eastAsia" w:ascii="楷体" w:hAnsi="楷体" w:eastAsia="楷体" w:cs="楷体"/>
                      </w:rPr>
                      <w:fldChar w:fldCharType="begin"/>
                    </w:r>
                    <w:r>
                      <w:rPr>
                        <w:rFonts w:hint="eastAsia" w:ascii="楷体" w:hAnsi="楷体" w:eastAsia="楷体" w:cs="楷体"/>
                      </w:rPr>
                      <w:instrText xml:space="preserve"> PAGE  \* MERGEFORMAT </w:instrText>
                    </w:r>
                    <w:r>
                      <w:rPr>
                        <w:rFonts w:hint="eastAsia" w:ascii="楷体" w:hAnsi="楷体" w:eastAsia="楷体" w:cs="楷体"/>
                      </w:rPr>
                      <w:fldChar w:fldCharType="separate"/>
                    </w:r>
                    <w:r>
                      <w:rPr>
                        <w:rFonts w:hint="eastAsia" w:ascii="楷体" w:hAnsi="楷体" w:eastAsia="楷体" w:cs="楷体"/>
                      </w:rPr>
                      <w:t>- 2 -</w:t>
                    </w:r>
                    <w:r>
                      <w:rPr>
                        <w:rFonts w:hint="eastAsia" w:ascii="楷体" w:hAnsi="楷体" w:eastAsia="楷体" w:cs="楷体"/>
                      </w:rPr>
                      <w:fldChar w:fldCharType="end"/>
                    </w:r>
                    <w:r>
                      <w:rPr>
                        <w:rFonts w:hint="eastAsia" w:ascii="楷体" w:hAnsi="楷体" w:eastAsia="楷体" w:cs="楷体"/>
                      </w:rPr>
                      <w:t xml:space="preserve"> 页       共 </w:t>
                    </w:r>
                    <w:r>
                      <w:rPr>
                        <w:rFonts w:hint="eastAsia" w:ascii="楷体" w:hAnsi="楷体" w:eastAsia="楷体" w:cs="楷体"/>
                      </w:rPr>
                      <w:fldChar w:fldCharType="begin"/>
                    </w:r>
                    <w:r>
                      <w:rPr>
                        <w:rFonts w:hint="eastAsia" w:ascii="楷体" w:hAnsi="楷体" w:eastAsia="楷体" w:cs="楷体"/>
                      </w:rPr>
                      <w:instrText xml:space="preserve"> NUMPAGES  \* MERGEFORMAT </w:instrText>
                    </w:r>
                    <w:r>
                      <w:rPr>
                        <w:rFonts w:hint="eastAsia" w:ascii="楷体" w:hAnsi="楷体" w:eastAsia="楷体" w:cs="楷体"/>
                      </w:rPr>
                      <w:fldChar w:fldCharType="separate"/>
                    </w:r>
                    <w:r>
                      <w:rPr>
                        <w:rFonts w:hint="eastAsia" w:ascii="楷体" w:hAnsi="楷体" w:eastAsia="楷体" w:cs="楷体"/>
                      </w:rPr>
                      <w:t>36</w:t>
                    </w:r>
                    <w:r>
                      <w:rPr>
                        <w:rFonts w:hint="eastAsia" w:ascii="楷体" w:hAnsi="楷体" w:eastAsia="楷体" w:cs="楷体"/>
                      </w:rPr>
                      <w:fldChar w:fldCharType="end"/>
                    </w:r>
                    <w:r>
                      <w:rPr>
                        <w:rFonts w:hint="eastAsia" w:ascii="楷体" w:hAnsi="楷体" w:eastAsia="楷体" w:cs="楷体"/>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rPr>
        <w:rStyle w:val="11"/>
      </w:rPr>
    </w:pPr>
    <w:r>
      <w:fldChar w:fldCharType="begin"/>
    </w:r>
    <w:r>
      <w:rPr>
        <w:rStyle w:val="11"/>
      </w:rPr>
      <w:instrText xml:space="preserve">PAGE  </w:instrText>
    </w:r>
    <w:r>
      <w:fldChar w:fldCharType="end"/>
    </w:r>
  </w:p>
  <w:p>
    <w:pPr>
      <w:pStyle w:val="5"/>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pPr>
                            <w:pStyle w:val="5"/>
                          </w:pPr>
                          <w:r>
                            <w:t xml:space="preserve">第 </w:t>
                          </w:r>
                          <w:r>
                            <w:fldChar w:fldCharType="begin"/>
                          </w:r>
                          <w:r>
                            <w:instrText xml:space="preserve"> PAGE  \* MERGEFORMAT </w:instrText>
                          </w:r>
                          <w:r>
                            <w:fldChar w:fldCharType="separate"/>
                          </w:r>
                          <w:r>
                            <w:t>1</w:t>
                          </w:r>
                          <w:r>
                            <w:fldChar w:fldCharType="end"/>
                          </w:r>
                          <w:r>
                            <w:t xml:space="preserve"> 页 </w:t>
                          </w:r>
                          <w:r>
                            <w:rPr>
                              <w:rFonts w:hint="eastAsia"/>
                            </w:rPr>
                            <w:t xml:space="preserve">    </w:t>
                          </w:r>
                          <w:r>
                            <w:t xml:space="preserve">共 </w:t>
                          </w:r>
                          <w:r>
                            <w:fldChar w:fldCharType="begin"/>
                          </w:r>
                          <w:r>
                            <w:instrText xml:space="preserve"> NUMPAGES  \* MERGEFORMAT </w:instrText>
                          </w:r>
                          <w:r>
                            <w:fldChar w:fldCharType="separate"/>
                          </w:r>
                          <w:r>
                            <w:t>36</w:t>
                          </w:r>
                          <w:r>
                            <w:fldChar w:fldCharType="end"/>
                          </w:r>
                          <w:r>
                            <w:t xml:space="preserve"> 页</w:t>
                          </w:r>
                        </w:p>
                      </w:txbxContent>
                    </wps:txbx>
                    <wps:bodyPr rot="0" vert="horz" wrap="none" lIns="0" tIns="0" rIns="0" bIns="0" anchor="t" anchorCtr="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M6pebnPAAAABQEA&#10;AA8AAAAAAAAAAQAgAAAAIgAAAGRycy9kb3ducmV2LnhtbFBLAQIUABQAAAAIAIdO4kAhtNsi6gEA&#10;ANQDAAAOAAAAAAAAAAEAIAAAAB4BAABkcnMvZTJvRG9jLnhtbFBLBQYAAAAABgAGAFkBAAB6BQAA&#10;AAA=&#10;">
              <v:fill on="f" focussize="0,0"/>
              <v:stroke on="f"/>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w:t>
                    </w:r>
                    <w:r>
                      <w:fldChar w:fldCharType="end"/>
                    </w:r>
                    <w:r>
                      <w:t xml:space="preserve"> 页 </w:t>
                    </w:r>
                    <w:r>
                      <w:rPr>
                        <w:rFonts w:hint="eastAsia"/>
                      </w:rPr>
                      <w:t xml:space="preserve">    </w:t>
                    </w:r>
                    <w:r>
                      <w:t xml:space="preserve">共 </w:t>
                    </w:r>
                    <w:r>
                      <w:fldChar w:fldCharType="begin"/>
                    </w:r>
                    <w:r>
                      <w:instrText xml:space="preserve"> NUMPAGES  \* MERGEFORMAT </w:instrText>
                    </w:r>
                    <w:r>
                      <w:fldChar w:fldCharType="separate"/>
                    </w:r>
                    <w:r>
                      <w:t>36</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TrueTypeFonts/>
  <w:saveSubset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MwM2MyYTgxOThkMTcwMzU4ZDYyMTgyMWU3ZTI5MDcifQ=="/>
    <w:docVar w:name="KSO_WPS_MARK_KEY" w:val="e148f49a-444e-41d6-841c-a41914f066a5"/>
  </w:docVars>
  <w:rsids>
    <w:rsidRoot w:val="007859C5"/>
    <w:rsid w:val="000135B6"/>
    <w:rsid w:val="00013F56"/>
    <w:rsid w:val="00014AA5"/>
    <w:rsid w:val="000322AD"/>
    <w:rsid w:val="00035DC3"/>
    <w:rsid w:val="00072813"/>
    <w:rsid w:val="000803B8"/>
    <w:rsid w:val="000A325E"/>
    <w:rsid w:val="000B1441"/>
    <w:rsid w:val="000C20E9"/>
    <w:rsid w:val="000D367A"/>
    <w:rsid w:val="000E5F38"/>
    <w:rsid w:val="000E7560"/>
    <w:rsid w:val="000F190F"/>
    <w:rsid w:val="001253A1"/>
    <w:rsid w:val="00135041"/>
    <w:rsid w:val="00143BB3"/>
    <w:rsid w:val="00143E80"/>
    <w:rsid w:val="0015491D"/>
    <w:rsid w:val="00195007"/>
    <w:rsid w:val="001977F9"/>
    <w:rsid w:val="001A6042"/>
    <w:rsid w:val="001B28B1"/>
    <w:rsid w:val="001C29BA"/>
    <w:rsid w:val="001C5366"/>
    <w:rsid w:val="001D618F"/>
    <w:rsid w:val="001D6FD2"/>
    <w:rsid w:val="001E679E"/>
    <w:rsid w:val="00206409"/>
    <w:rsid w:val="002173C1"/>
    <w:rsid w:val="00224455"/>
    <w:rsid w:val="002427B0"/>
    <w:rsid w:val="00246834"/>
    <w:rsid w:val="002642EB"/>
    <w:rsid w:val="00280F23"/>
    <w:rsid w:val="00284105"/>
    <w:rsid w:val="00294D1A"/>
    <w:rsid w:val="002A1741"/>
    <w:rsid w:val="002C3734"/>
    <w:rsid w:val="002D1524"/>
    <w:rsid w:val="002D6AAC"/>
    <w:rsid w:val="002F1A4C"/>
    <w:rsid w:val="003004D8"/>
    <w:rsid w:val="0030380E"/>
    <w:rsid w:val="003066C1"/>
    <w:rsid w:val="00322AA0"/>
    <w:rsid w:val="00334D4B"/>
    <w:rsid w:val="00341849"/>
    <w:rsid w:val="00364D44"/>
    <w:rsid w:val="00365632"/>
    <w:rsid w:val="003714C5"/>
    <w:rsid w:val="0038612B"/>
    <w:rsid w:val="003905AC"/>
    <w:rsid w:val="00392B21"/>
    <w:rsid w:val="003A7C44"/>
    <w:rsid w:val="003B68E1"/>
    <w:rsid w:val="003C6D13"/>
    <w:rsid w:val="003D1C5E"/>
    <w:rsid w:val="003E20B8"/>
    <w:rsid w:val="003E2486"/>
    <w:rsid w:val="003E7962"/>
    <w:rsid w:val="003F5E2B"/>
    <w:rsid w:val="003F74C1"/>
    <w:rsid w:val="00405F61"/>
    <w:rsid w:val="004565B1"/>
    <w:rsid w:val="00490913"/>
    <w:rsid w:val="00491D64"/>
    <w:rsid w:val="0049403E"/>
    <w:rsid w:val="004C6B4B"/>
    <w:rsid w:val="004E4912"/>
    <w:rsid w:val="004E65F7"/>
    <w:rsid w:val="004F1259"/>
    <w:rsid w:val="00502C4E"/>
    <w:rsid w:val="005207D3"/>
    <w:rsid w:val="00526329"/>
    <w:rsid w:val="005277CA"/>
    <w:rsid w:val="00530CB4"/>
    <w:rsid w:val="00531531"/>
    <w:rsid w:val="00532B24"/>
    <w:rsid w:val="005362AF"/>
    <w:rsid w:val="00537CED"/>
    <w:rsid w:val="005531AB"/>
    <w:rsid w:val="00554166"/>
    <w:rsid w:val="005622ED"/>
    <w:rsid w:val="00563107"/>
    <w:rsid w:val="00564E8B"/>
    <w:rsid w:val="005663A7"/>
    <w:rsid w:val="005903D7"/>
    <w:rsid w:val="005916B1"/>
    <w:rsid w:val="005B296A"/>
    <w:rsid w:val="005C4E65"/>
    <w:rsid w:val="005D45B0"/>
    <w:rsid w:val="005E2A13"/>
    <w:rsid w:val="005E6899"/>
    <w:rsid w:val="00602B94"/>
    <w:rsid w:val="00607D12"/>
    <w:rsid w:val="0065453F"/>
    <w:rsid w:val="00696B53"/>
    <w:rsid w:val="006A05DB"/>
    <w:rsid w:val="006B3E54"/>
    <w:rsid w:val="006D69C2"/>
    <w:rsid w:val="006F38BD"/>
    <w:rsid w:val="0071337B"/>
    <w:rsid w:val="00732250"/>
    <w:rsid w:val="0075655C"/>
    <w:rsid w:val="00757FAF"/>
    <w:rsid w:val="00765B30"/>
    <w:rsid w:val="00770F82"/>
    <w:rsid w:val="00774D7F"/>
    <w:rsid w:val="00777E18"/>
    <w:rsid w:val="007859C5"/>
    <w:rsid w:val="00792031"/>
    <w:rsid w:val="007A0792"/>
    <w:rsid w:val="007C02A4"/>
    <w:rsid w:val="007D03CE"/>
    <w:rsid w:val="007D7920"/>
    <w:rsid w:val="007E6617"/>
    <w:rsid w:val="007F2551"/>
    <w:rsid w:val="00810558"/>
    <w:rsid w:val="00825A23"/>
    <w:rsid w:val="008305C1"/>
    <w:rsid w:val="0084711E"/>
    <w:rsid w:val="00857515"/>
    <w:rsid w:val="00876803"/>
    <w:rsid w:val="00885C49"/>
    <w:rsid w:val="008B09AB"/>
    <w:rsid w:val="008E11A0"/>
    <w:rsid w:val="008F35EC"/>
    <w:rsid w:val="00900F25"/>
    <w:rsid w:val="009113B1"/>
    <w:rsid w:val="0093466F"/>
    <w:rsid w:val="00941787"/>
    <w:rsid w:val="00955433"/>
    <w:rsid w:val="00973550"/>
    <w:rsid w:val="00986C33"/>
    <w:rsid w:val="00996872"/>
    <w:rsid w:val="009A0CC5"/>
    <w:rsid w:val="009A768E"/>
    <w:rsid w:val="009B0205"/>
    <w:rsid w:val="009C0B13"/>
    <w:rsid w:val="009C4EE0"/>
    <w:rsid w:val="009C4FE8"/>
    <w:rsid w:val="009D415E"/>
    <w:rsid w:val="009D76B4"/>
    <w:rsid w:val="009E6FD9"/>
    <w:rsid w:val="009F4CAF"/>
    <w:rsid w:val="009F5020"/>
    <w:rsid w:val="00A05F60"/>
    <w:rsid w:val="00A338F2"/>
    <w:rsid w:val="00A35C9F"/>
    <w:rsid w:val="00A41E99"/>
    <w:rsid w:val="00A42E63"/>
    <w:rsid w:val="00A51CC0"/>
    <w:rsid w:val="00A56E26"/>
    <w:rsid w:val="00A65A80"/>
    <w:rsid w:val="00A760A3"/>
    <w:rsid w:val="00A76591"/>
    <w:rsid w:val="00A77720"/>
    <w:rsid w:val="00A85E80"/>
    <w:rsid w:val="00A8670D"/>
    <w:rsid w:val="00A926A0"/>
    <w:rsid w:val="00A977D4"/>
    <w:rsid w:val="00A97E95"/>
    <w:rsid w:val="00AA3A89"/>
    <w:rsid w:val="00AA6555"/>
    <w:rsid w:val="00AB0574"/>
    <w:rsid w:val="00AB2BEE"/>
    <w:rsid w:val="00AB30F5"/>
    <w:rsid w:val="00AC5417"/>
    <w:rsid w:val="00AC6EA5"/>
    <w:rsid w:val="00AD23FE"/>
    <w:rsid w:val="00AD244B"/>
    <w:rsid w:val="00AF2377"/>
    <w:rsid w:val="00B16CE6"/>
    <w:rsid w:val="00B23206"/>
    <w:rsid w:val="00B67AD7"/>
    <w:rsid w:val="00B80ED8"/>
    <w:rsid w:val="00B86856"/>
    <w:rsid w:val="00B90199"/>
    <w:rsid w:val="00B93C1B"/>
    <w:rsid w:val="00BA79F4"/>
    <w:rsid w:val="00BB5687"/>
    <w:rsid w:val="00BC53B4"/>
    <w:rsid w:val="00BC6255"/>
    <w:rsid w:val="00C000C4"/>
    <w:rsid w:val="00C0281E"/>
    <w:rsid w:val="00C05C8B"/>
    <w:rsid w:val="00C0649F"/>
    <w:rsid w:val="00C2262B"/>
    <w:rsid w:val="00C27FDC"/>
    <w:rsid w:val="00C30C95"/>
    <w:rsid w:val="00C328EC"/>
    <w:rsid w:val="00C43BDA"/>
    <w:rsid w:val="00C7396D"/>
    <w:rsid w:val="00C75E36"/>
    <w:rsid w:val="00C763A8"/>
    <w:rsid w:val="00C825E4"/>
    <w:rsid w:val="00C92F7A"/>
    <w:rsid w:val="00C95B7C"/>
    <w:rsid w:val="00CA17C9"/>
    <w:rsid w:val="00CA278F"/>
    <w:rsid w:val="00CA775C"/>
    <w:rsid w:val="00CB4E09"/>
    <w:rsid w:val="00CB710A"/>
    <w:rsid w:val="00CC0DDC"/>
    <w:rsid w:val="00CD53B2"/>
    <w:rsid w:val="00CE1627"/>
    <w:rsid w:val="00CE68E9"/>
    <w:rsid w:val="00CF118B"/>
    <w:rsid w:val="00D0442E"/>
    <w:rsid w:val="00D1060F"/>
    <w:rsid w:val="00D1131D"/>
    <w:rsid w:val="00D121C6"/>
    <w:rsid w:val="00D30C6E"/>
    <w:rsid w:val="00D37BAB"/>
    <w:rsid w:val="00D51E3B"/>
    <w:rsid w:val="00D55EE1"/>
    <w:rsid w:val="00D74D7F"/>
    <w:rsid w:val="00D86A4A"/>
    <w:rsid w:val="00D91066"/>
    <w:rsid w:val="00D959C6"/>
    <w:rsid w:val="00DA1531"/>
    <w:rsid w:val="00DA7944"/>
    <w:rsid w:val="00E27A1D"/>
    <w:rsid w:val="00E34EDA"/>
    <w:rsid w:val="00E55FA4"/>
    <w:rsid w:val="00E577D9"/>
    <w:rsid w:val="00E639BC"/>
    <w:rsid w:val="00E8552E"/>
    <w:rsid w:val="00E93DFB"/>
    <w:rsid w:val="00EA7268"/>
    <w:rsid w:val="00EC0DE1"/>
    <w:rsid w:val="00EC24D1"/>
    <w:rsid w:val="00EC58C8"/>
    <w:rsid w:val="00EC63D0"/>
    <w:rsid w:val="00EF05E2"/>
    <w:rsid w:val="00EF43D7"/>
    <w:rsid w:val="00F10CE0"/>
    <w:rsid w:val="00F17B73"/>
    <w:rsid w:val="00F22D64"/>
    <w:rsid w:val="00F23546"/>
    <w:rsid w:val="00F277B5"/>
    <w:rsid w:val="00F43D2E"/>
    <w:rsid w:val="00F5731F"/>
    <w:rsid w:val="00F67FDD"/>
    <w:rsid w:val="00F71020"/>
    <w:rsid w:val="00F72AF8"/>
    <w:rsid w:val="00F7722D"/>
    <w:rsid w:val="00F80156"/>
    <w:rsid w:val="00F9749B"/>
    <w:rsid w:val="00FA3F76"/>
    <w:rsid w:val="00FA64B4"/>
    <w:rsid w:val="00FB38A2"/>
    <w:rsid w:val="00FB7EF2"/>
    <w:rsid w:val="00FD55A5"/>
    <w:rsid w:val="00FD62DF"/>
    <w:rsid w:val="00FD7D72"/>
    <w:rsid w:val="00FE4CA4"/>
    <w:rsid w:val="02251CB5"/>
    <w:rsid w:val="0290118E"/>
    <w:rsid w:val="02CE3596"/>
    <w:rsid w:val="031540E3"/>
    <w:rsid w:val="034301C5"/>
    <w:rsid w:val="035F7286"/>
    <w:rsid w:val="059E5BD8"/>
    <w:rsid w:val="06B616D3"/>
    <w:rsid w:val="06FF01C2"/>
    <w:rsid w:val="08A12E48"/>
    <w:rsid w:val="08A172A1"/>
    <w:rsid w:val="091E5D6D"/>
    <w:rsid w:val="09C1735B"/>
    <w:rsid w:val="09D44FC1"/>
    <w:rsid w:val="09F8097E"/>
    <w:rsid w:val="0A46585C"/>
    <w:rsid w:val="0A805ABD"/>
    <w:rsid w:val="0AA80D6A"/>
    <w:rsid w:val="0B3D6797"/>
    <w:rsid w:val="0BE04A65"/>
    <w:rsid w:val="0C882A07"/>
    <w:rsid w:val="0EC8521E"/>
    <w:rsid w:val="0F876300"/>
    <w:rsid w:val="0F955B67"/>
    <w:rsid w:val="0FAE3713"/>
    <w:rsid w:val="10C50D3F"/>
    <w:rsid w:val="11285EF4"/>
    <w:rsid w:val="12A26DB0"/>
    <w:rsid w:val="133408F7"/>
    <w:rsid w:val="138F2F87"/>
    <w:rsid w:val="13D212C3"/>
    <w:rsid w:val="149705AB"/>
    <w:rsid w:val="14C218FA"/>
    <w:rsid w:val="15406095"/>
    <w:rsid w:val="15BB741A"/>
    <w:rsid w:val="15C61F79"/>
    <w:rsid w:val="16036A85"/>
    <w:rsid w:val="16BE3EE0"/>
    <w:rsid w:val="17961D12"/>
    <w:rsid w:val="1797418F"/>
    <w:rsid w:val="181538FB"/>
    <w:rsid w:val="182B17CD"/>
    <w:rsid w:val="183028D1"/>
    <w:rsid w:val="19474A1E"/>
    <w:rsid w:val="1A0C522C"/>
    <w:rsid w:val="1A96309B"/>
    <w:rsid w:val="1BB6377E"/>
    <w:rsid w:val="1DE1690F"/>
    <w:rsid w:val="1DF04F32"/>
    <w:rsid w:val="1F334A54"/>
    <w:rsid w:val="200867E8"/>
    <w:rsid w:val="21A67760"/>
    <w:rsid w:val="21CE5B69"/>
    <w:rsid w:val="22404ED9"/>
    <w:rsid w:val="24D81790"/>
    <w:rsid w:val="252A4D65"/>
    <w:rsid w:val="25FA2770"/>
    <w:rsid w:val="272F1FA5"/>
    <w:rsid w:val="276403CB"/>
    <w:rsid w:val="278C6EA4"/>
    <w:rsid w:val="279270B8"/>
    <w:rsid w:val="2859288D"/>
    <w:rsid w:val="28764087"/>
    <w:rsid w:val="28C72DDD"/>
    <w:rsid w:val="2905396E"/>
    <w:rsid w:val="2A084DBF"/>
    <w:rsid w:val="2A782EBD"/>
    <w:rsid w:val="2AEB1FCF"/>
    <w:rsid w:val="2B681F2A"/>
    <w:rsid w:val="2BC76A39"/>
    <w:rsid w:val="2ED86B0E"/>
    <w:rsid w:val="2F73653C"/>
    <w:rsid w:val="2F7B7A57"/>
    <w:rsid w:val="2FEF6701"/>
    <w:rsid w:val="30D342E9"/>
    <w:rsid w:val="30F0509B"/>
    <w:rsid w:val="31246013"/>
    <w:rsid w:val="31521EF1"/>
    <w:rsid w:val="32230856"/>
    <w:rsid w:val="32824A40"/>
    <w:rsid w:val="32DF0A5D"/>
    <w:rsid w:val="343B1565"/>
    <w:rsid w:val="3477117B"/>
    <w:rsid w:val="347B2CCE"/>
    <w:rsid w:val="355575E0"/>
    <w:rsid w:val="35A677DF"/>
    <w:rsid w:val="35E64082"/>
    <w:rsid w:val="36851BE2"/>
    <w:rsid w:val="37194ECE"/>
    <w:rsid w:val="375F668E"/>
    <w:rsid w:val="37A739D4"/>
    <w:rsid w:val="37D22C05"/>
    <w:rsid w:val="38233460"/>
    <w:rsid w:val="38571BCD"/>
    <w:rsid w:val="38A73623"/>
    <w:rsid w:val="39551FA1"/>
    <w:rsid w:val="395CB793"/>
    <w:rsid w:val="39E811EB"/>
    <w:rsid w:val="3A267238"/>
    <w:rsid w:val="3A7C48FD"/>
    <w:rsid w:val="3BC0137E"/>
    <w:rsid w:val="3BD76AC6"/>
    <w:rsid w:val="3DB00F27"/>
    <w:rsid w:val="3E143861"/>
    <w:rsid w:val="3EFFDCD9"/>
    <w:rsid w:val="3FD14A0E"/>
    <w:rsid w:val="41A40581"/>
    <w:rsid w:val="41F42FCE"/>
    <w:rsid w:val="42043080"/>
    <w:rsid w:val="428C60A6"/>
    <w:rsid w:val="42C25B10"/>
    <w:rsid w:val="430A4998"/>
    <w:rsid w:val="432C4745"/>
    <w:rsid w:val="43412211"/>
    <w:rsid w:val="44A64CC8"/>
    <w:rsid w:val="44DB3C1C"/>
    <w:rsid w:val="45376F1C"/>
    <w:rsid w:val="45806396"/>
    <w:rsid w:val="46051C71"/>
    <w:rsid w:val="462E594E"/>
    <w:rsid w:val="464F7765"/>
    <w:rsid w:val="46AF53E9"/>
    <w:rsid w:val="46FA3F26"/>
    <w:rsid w:val="47895517"/>
    <w:rsid w:val="48B42328"/>
    <w:rsid w:val="48C76A3D"/>
    <w:rsid w:val="49F067AF"/>
    <w:rsid w:val="4B6C5F5F"/>
    <w:rsid w:val="4BA91A77"/>
    <w:rsid w:val="4BCE4EC9"/>
    <w:rsid w:val="4C86434F"/>
    <w:rsid w:val="4F07613E"/>
    <w:rsid w:val="4FE17A31"/>
    <w:rsid w:val="502C1E79"/>
    <w:rsid w:val="50330BE6"/>
    <w:rsid w:val="50FB0FC7"/>
    <w:rsid w:val="51704A25"/>
    <w:rsid w:val="52412577"/>
    <w:rsid w:val="52FC4B82"/>
    <w:rsid w:val="53DF1099"/>
    <w:rsid w:val="54947571"/>
    <w:rsid w:val="5588094F"/>
    <w:rsid w:val="574F1ACC"/>
    <w:rsid w:val="57F75901"/>
    <w:rsid w:val="58AD0DF8"/>
    <w:rsid w:val="58F03289"/>
    <w:rsid w:val="59AB7B9C"/>
    <w:rsid w:val="5A89319F"/>
    <w:rsid w:val="5A8C24B2"/>
    <w:rsid w:val="5B931316"/>
    <w:rsid w:val="5B9F45CC"/>
    <w:rsid w:val="5BBC0651"/>
    <w:rsid w:val="5C735424"/>
    <w:rsid w:val="5CD74C43"/>
    <w:rsid w:val="5DAA5506"/>
    <w:rsid w:val="5E9406BE"/>
    <w:rsid w:val="5EB32EE1"/>
    <w:rsid w:val="5EF402B8"/>
    <w:rsid w:val="5F011E9E"/>
    <w:rsid w:val="60732927"/>
    <w:rsid w:val="61306A6A"/>
    <w:rsid w:val="6238444A"/>
    <w:rsid w:val="626208C7"/>
    <w:rsid w:val="626A79D9"/>
    <w:rsid w:val="62E93AFB"/>
    <w:rsid w:val="63A14DBD"/>
    <w:rsid w:val="63C50D83"/>
    <w:rsid w:val="64690602"/>
    <w:rsid w:val="657038D9"/>
    <w:rsid w:val="65EE13E0"/>
    <w:rsid w:val="66B72759"/>
    <w:rsid w:val="67780823"/>
    <w:rsid w:val="685A6B84"/>
    <w:rsid w:val="68925AA2"/>
    <w:rsid w:val="69011CAF"/>
    <w:rsid w:val="69F41A32"/>
    <w:rsid w:val="6A2E5793"/>
    <w:rsid w:val="6BC53CE9"/>
    <w:rsid w:val="6BEB4E22"/>
    <w:rsid w:val="6BED16F7"/>
    <w:rsid w:val="6C586093"/>
    <w:rsid w:val="6CFC2481"/>
    <w:rsid w:val="6D5910F7"/>
    <w:rsid w:val="6E114623"/>
    <w:rsid w:val="6E2C46CD"/>
    <w:rsid w:val="6F9B084B"/>
    <w:rsid w:val="6F9E5721"/>
    <w:rsid w:val="70A624FE"/>
    <w:rsid w:val="717D61F2"/>
    <w:rsid w:val="71B20F9E"/>
    <w:rsid w:val="71CB5BE5"/>
    <w:rsid w:val="71E75F84"/>
    <w:rsid w:val="72837006"/>
    <w:rsid w:val="73846116"/>
    <w:rsid w:val="738E634B"/>
    <w:rsid w:val="741C66DE"/>
    <w:rsid w:val="75EFFD4A"/>
    <w:rsid w:val="761E6F93"/>
    <w:rsid w:val="79A8346A"/>
    <w:rsid w:val="79FD0B59"/>
    <w:rsid w:val="7B0D5B90"/>
    <w:rsid w:val="7BAC5560"/>
    <w:rsid w:val="7BEB0A04"/>
    <w:rsid w:val="7C887303"/>
    <w:rsid w:val="7DE93DD1"/>
    <w:rsid w:val="7DFD47EA"/>
    <w:rsid w:val="7E3ECBE5"/>
    <w:rsid w:val="7E7C3015"/>
    <w:rsid w:val="7E953F59"/>
    <w:rsid w:val="7EF02F3D"/>
    <w:rsid w:val="7EFF097D"/>
    <w:rsid w:val="7F3207F2"/>
    <w:rsid w:val="7FD7AA5E"/>
    <w:rsid w:val="8DBB0798"/>
    <w:rsid w:val="8FBDA64B"/>
    <w:rsid w:val="9BDBAB4E"/>
    <w:rsid w:val="B7FB7348"/>
    <w:rsid w:val="BE57FC10"/>
    <w:rsid w:val="BFF4AFE8"/>
    <w:rsid w:val="DBE3262F"/>
    <w:rsid w:val="E37F81A1"/>
    <w:rsid w:val="EEEDBD05"/>
    <w:rsid w:val="F76F8A92"/>
    <w:rsid w:val="FDBE2A35"/>
    <w:rsid w:val="FEAF98DD"/>
    <w:rsid w:val="FF362E1A"/>
    <w:rsid w:val="FFCD68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unhideWhenUsed/>
    <w:qFormat/>
    <w:uiPriority w:val="99"/>
    <w:pPr>
      <w:spacing w:after="120"/>
      <w:ind w:left="420" w:leftChars="200"/>
    </w:pPr>
  </w:style>
  <w:style w:type="paragraph" w:styleId="4">
    <w:name w:val="Balloon Text"/>
    <w:basedOn w:val="1"/>
    <w:link w:val="14"/>
    <w:qFormat/>
    <w:uiPriority w:val="0"/>
    <w:rPr>
      <w:sz w:val="18"/>
      <w:szCs w:val="18"/>
    </w:rPr>
  </w:style>
  <w:style w:type="paragraph" w:styleId="5">
    <w:name w:val="footer"/>
    <w:basedOn w:val="1"/>
    <w:link w:val="15"/>
    <w:unhideWhenUsed/>
    <w:qFormat/>
    <w:uiPriority w:val="0"/>
    <w:pPr>
      <w:tabs>
        <w:tab w:val="center" w:pos="4153"/>
        <w:tab w:val="right" w:pos="8306"/>
      </w:tabs>
      <w:snapToGrid w:val="0"/>
      <w:jc w:val="left"/>
    </w:pPr>
    <w:rPr>
      <w:sz w:val="18"/>
      <w:szCs w:val="18"/>
    </w:rPr>
  </w:style>
  <w:style w:type="paragraph" w:styleId="6">
    <w:name w:val="header"/>
    <w:basedOn w:val="1"/>
    <w:link w:val="16"/>
    <w:unhideWhenUsed/>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jc w:val="left"/>
    </w:pPr>
    <w:rPr>
      <w:rFonts w:ascii="宋体" w:hAnsi="宋体"/>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character" w:styleId="12">
    <w:name w:val="Hyperlink"/>
    <w:unhideWhenUsed/>
    <w:qFormat/>
    <w:uiPriority w:val="0"/>
    <w:rPr>
      <w:color w:val="4646A3"/>
      <w:u w:val="none"/>
    </w:rPr>
  </w:style>
  <w:style w:type="character" w:styleId="13">
    <w:name w:val="annotation reference"/>
    <w:basedOn w:val="10"/>
    <w:qFormat/>
    <w:uiPriority w:val="0"/>
    <w:rPr>
      <w:sz w:val="21"/>
      <w:szCs w:val="21"/>
    </w:rPr>
  </w:style>
  <w:style w:type="character" w:customStyle="1" w:styleId="14">
    <w:name w:val="批注框文本 字符"/>
    <w:link w:val="4"/>
    <w:qFormat/>
    <w:uiPriority w:val="0"/>
    <w:rPr>
      <w:rFonts w:ascii="Calibri" w:hAnsi="Calibri"/>
      <w:kern w:val="2"/>
      <w:sz w:val="18"/>
      <w:szCs w:val="18"/>
    </w:rPr>
  </w:style>
  <w:style w:type="character" w:customStyle="1" w:styleId="15">
    <w:name w:val="页脚 字符"/>
    <w:link w:val="5"/>
    <w:semiHidden/>
    <w:qFormat/>
    <w:uiPriority w:val="0"/>
    <w:rPr>
      <w:rFonts w:ascii="Calibri" w:hAnsi="Calibri" w:eastAsia="宋体"/>
      <w:kern w:val="2"/>
      <w:sz w:val="18"/>
      <w:szCs w:val="18"/>
      <w:lang w:val="en-US" w:eastAsia="zh-CN" w:bidi="ar-SA"/>
    </w:rPr>
  </w:style>
  <w:style w:type="character" w:customStyle="1" w:styleId="16">
    <w:name w:val="页眉 字符"/>
    <w:link w:val="6"/>
    <w:semiHidden/>
    <w:qFormat/>
    <w:uiPriority w:val="0"/>
    <w:rPr>
      <w:rFonts w:ascii="Calibri" w:hAnsi="Calibri" w:eastAsia="宋体"/>
      <w:kern w:val="2"/>
      <w:sz w:val="18"/>
      <w:szCs w:val="18"/>
      <w:lang w:val="en-US" w:eastAsia="zh-CN" w:bidi="ar-SA"/>
    </w:rPr>
  </w:style>
  <w:style w:type="paragraph" w:styleId="17">
    <w:name w:val="List Paragraph"/>
    <w:basedOn w:val="1"/>
    <w:qFormat/>
    <w:uiPriority w:val="0"/>
    <w:pPr>
      <w:ind w:firstLine="420" w:firstLineChars="200"/>
    </w:pPr>
  </w:style>
  <w:style w:type="paragraph" w:customStyle="1" w:styleId="18">
    <w:name w:val="修订1"/>
    <w:unhideWhenUsed/>
    <w:qFormat/>
    <w:uiPriority w:val="99"/>
    <w:rPr>
      <w:rFonts w:ascii="Calibri" w:hAnsi="Calibri" w:eastAsia="宋体" w:cs="Times New Roman"/>
      <w:kern w:val="2"/>
      <w:sz w:val="21"/>
      <w:szCs w:val="22"/>
      <w:lang w:val="en-US" w:eastAsia="zh-CN" w:bidi="ar-SA"/>
    </w:rPr>
  </w:style>
  <w:style w:type="paragraph" w:customStyle="1" w:styleId="19">
    <w:name w:val="Revision"/>
    <w:hidden/>
    <w:unhideWhenUsed/>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BGS</Company>
  <Pages>37</Pages>
  <Words>9028</Words>
  <Characters>9210</Characters>
  <Lines>484</Lines>
  <Paragraphs>364</Paragraphs>
  <TotalTime>65</TotalTime>
  <ScaleCrop>false</ScaleCrop>
  <LinksUpToDate>false</LinksUpToDate>
  <CharactersWithSpaces>17874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2023-01-02T15:06:00Z</dcterms:created>
  <dc:creator>HeZe</dc:creator>
  <cp:lastModifiedBy>HJS-CL</cp:lastModifiedBy>
  <cp:lastPrinted>2025-04-17T07:16:00Z</cp:lastPrinted>
  <dcterms:modified xsi:type="dcterms:W3CDTF">2026-09-16T09:30:27Z</dcterms:modified>
  <dc:title>房屋租赁合同</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A7215BA1772043C9B86FD297DE8AB1FD</vt:lpwstr>
  </property>
  <property fmtid="{D5CDD505-2E9C-101B-9397-08002B2CF9AE}" pid="4" name="KSOTemplateDocerSaveRecord">
    <vt:lpwstr>eyJoZGlkIjoiNzIyYWFjNDUxNzBjZDA0MGY4ODY5ZDM0NThkYWM3NjUiLCJ1c2VySWQiOiIzMjE5MTUyMDcifQ==</vt:lpwstr>
  </property>
</Properties>
</file>