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lang w:val="en-US" w:eastAsia="zh-CN"/>
        </w:rPr>
        <w:t>杭州市上城区红普路1号1号楼负一楼编号1-A-B1-84房屋5年租赁权</w:t>
      </w:r>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6968BE9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 （1）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装修保证金及交易服务费等交易资金（以到账时间为准）。</w:t>
      </w:r>
    </w:p>
    <w:p w14:paraId="0A90275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（2）同意杭交所经出租方申请之日起3个工作日内将承租方已交纳的交易价款全部划转至出租方指定账户。</w:t>
      </w:r>
    </w:p>
    <w:p w14:paraId="3FA2103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3）租赁房屋尚未完成竣工验收备案，尚未办理不动产权证，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  </w:t>
      </w:r>
    </w:p>
    <w:p w14:paraId="139EEFB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交付与装修：租赁房屋按现状交付，意向承租方自行踏勘现场并预判全部经营成本。装修方案须书面报送出租方审核同意后方可施工，所有行政审批手续、相关费用由承租方自行承担并完成院内备案；装修严格执行 “先审批、后施工，先验收、后营业” 要求。</w:t>
      </w:r>
    </w:p>
    <w:p w14:paraId="27E24542">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（5）费用缴纳：租金按年度预付，水电费据实结算；租金标准不得低于遴选文件最低租金标准，租赁期内全部运营成本（装修、设备、人力、耗材、消杀、监控、消防维保等）由承租方自行承担。</w:t>
      </w:r>
    </w:p>
    <w:p w14:paraId="770502B2">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价格与经营管控：商品明码标价，售价不得高于院外同品牌直营店，同步执行直营店优惠活动；严禁售卖储值现金卡、代金券、包年预付类产品；所有商品须为正规合格正品，出租方有权随机抽检，检测费用由承租方承担，严禁三无、临期、假冒伪劣食品。</w:t>
      </w:r>
    </w:p>
    <w:p w14:paraId="2599B9E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（7）食品安全与环境卫生：配齐防鼠、防蝇、防尘 “三防” 设施，全年病媒生物消杀不少于 12 次，垃圾日产日清；从业人员持有效健康证、每日晨检、规范穿戴工服；店内及公共区域卫生、门前三包由承租方全权负责。</w:t>
      </w:r>
    </w:p>
    <w:p w14:paraId="1035BBD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（8）安防与消防：店内内外加装监控并接入出租方安防系统，费用自理；按规范配齐灭火器并定期维保换粉，定期组织员工消防演练；须签订《安全责任书》，承担租赁期间全部治安、消防、食品安全责任。</w:t>
      </w:r>
    </w:p>
    <w:p w14:paraId="78FE210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9）运营报备要求：营业时间调整、停业均须提前向出租方提交书面申请，获批后方可执行；未经出租方许可，不得与外部外卖平台开展配送合作；承租期内原则上不得变更经营品类，确需调整须提前书面报备。</w:t>
      </w:r>
    </w:p>
    <w:p w14:paraId="7A80F7FE">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10）合同终止与交接：租赁期满，若出租方确定新运营单位，原承租方须按期完成租赁房屋、物资、手续完整交接；因不可抗力、院区规划调整等不可归责双方事由提前终止合同的，租金按实际使用天数结算，互不追究违约责任。</w:t>
      </w:r>
    </w:p>
    <w:p w14:paraId="5EC8F36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风险承担约定：意向承租方提交响应文件即视为已充分踏勘租赁房屋、知悉全部经营条件；因房屋规划、审批政策、同业竞争等各类因素导致无法开店、经营亏损、装修投入损失的，全部经营风险由承租方自行承担，出租方不承担任何补偿、赔偿责任。 若成交后逾期未签订《杭州市市直机关事业单位房屋租赁合同》、未足额缴纳首期租金，取消承租资格并可视情况纳入出租方供应商黑名单。</w:t>
      </w:r>
    </w:p>
    <w:p w14:paraId="286A402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本次租赁房屋的经营业态仅为对承租方经营业态的限定，承租方并不享有该经营业态的排他性或独占性经营权，即院内其他经营场所也有可能会经营与《杭州市市直机关事业单位房屋租赁合同》约定相同或相交叉的经营业态。</w:t>
      </w:r>
    </w:p>
    <w:p w14:paraId="2947409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（13）承租方须保证于租赁房屋交付次日起一个月内开张营业。</w:t>
      </w:r>
    </w:p>
    <w:p w14:paraId="5EE9645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（14）承租方须保证不得经营重油烟餐饮，不得售卖烟酒、医疗器械耗材等，否则视承租方违约，出租方有权解除本合同，对承租方缴纳的履约保证金不予返还。</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（15）承租方保证在该租赁房屋所规定的用途范围内，按国家规定依法经营，自行负责办理相关手续和支付相关费用。承租方须保证本租赁房屋的营业时间为夏季 7:30-19:00，冬季 8:00-18:30，节假日正常营业，须在甲方要求的时间内同时提供西点、咖啡、饮料服务。   </w:t>
      </w:r>
    </w:p>
    <w:p w14:paraId="72B02D8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4、租赁房屋的交付：</w:t>
      </w:r>
    </w:p>
    <w:p w14:paraId="0FA4412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出租房屋的移交在出租方和承租方之间进行。承租方按期付清首年房屋租金、交易服务费、装修保证金及履约保证金且该房屋具备使用条件（房屋竣工验收）的，出租方应在起租日将出租房屋交付承租方。如承租方逾期付款，出租方有权延期交房。出租方发出交付通知，仅代表该房屋满足基础交付标准。承租方知悉并确认，该房屋的最终合法开业经营，取决于包括但不限于承租方完成其专属区域的消防改造、通过开业前消防安全检查、取得经营许可等承租方自身义务。因前述原因导致承租方无法开业或延迟开业的，不影响租金的起算与支付，亦不影响租期计算，相关风险与损失由承租方自行承担。</w:t>
      </w:r>
    </w:p>
    <w:p w14:paraId="33533F4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采取“公开遴选+公开竞价”的方式进行，本次公开招租按以下方式确定是否成交：意向承租方的承租资格经杭交所审核，出租方或其指定的第三方机构牵头组织公开遴选，组建专家评审组，围绕品牌实力与知名度、经营业绩与行业口碑、业态适配与定位匹配、场地改造与投入方案、运营管理与服务保障、安全合规与风险防控等维度量化打分（具体详见附件《评审评分细则》）。按总分排名择优确定 3 家入围竞价的意向承租方，结果进行公示，无异议后正式确定入围名单。出租方在信息披露结束之日起3个工作日内完成意向承租方的资格审核及评审，并将资格确认结果书面反馈杭交所，杭交所向获得承租资格的意向承租方出具《承租资格确认通知书》，获得杭交所出具的《承租资格确认通知书》的意向承租方为合格意向承租方，按《承租资格确认通知书》通知的时间参与本次公开招租的在线报价。具体如下：</w:t>
      </w:r>
    </w:p>
    <w:p w14:paraId="1BC0561E">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（一）信息披露期满，无人报名承租或承租资格经杭交所审核均未通过的，则本次交易不成交。</w:t>
      </w:r>
    </w:p>
    <w:p w14:paraId="20A7D91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（二）信息披露期满，仅有3个以下的意向承租方的承租资格经杭交所审核符合资格条件要求的，则本次交易不成交。</w:t>
      </w:r>
    </w:p>
    <w:p w14:paraId="03CE02C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（三）信息披露期满，产生3个及以上意向承租方的承租资格经杭交所审核符合资格条件要求的，在不变更信息公告内容的前提下，采取“公开遴选+公开竞价”的方式进行。由</w:t>
      </w:r>
      <w:r>
        <w:rPr>
          <w:rFonts w:hint="eastAsia" w:ascii="宋体" w:hAnsi="宋体"/>
          <w:sz w:val="21"/>
          <w:szCs w:val="21"/>
          <w:highlight w:val="none"/>
          <w:lang w:val="en-US" w:eastAsia="zh-CN"/>
        </w:rPr>
        <w:t>出租方或其指定的第三方机构</w:t>
      </w:r>
      <w:r>
        <w:rPr>
          <w:rFonts w:hint="eastAsia" w:asciiTheme="minorEastAsia" w:hAnsiTheme="minorEastAsia" w:eastAsiaTheme="minorEastAsia"/>
          <w:sz w:val="20"/>
          <w:szCs w:val="20"/>
          <w:highlight w:val="none"/>
          <w:lang w:val="en-US" w:eastAsia="zh-CN"/>
        </w:rPr>
        <w:t>组建</w:t>
      </w:r>
      <w:bookmarkStart w:id="0" w:name="_GoBack"/>
      <w:bookmarkEnd w:id="0"/>
      <w:r>
        <w:rPr>
          <w:rFonts w:hint="eastAsia" w:asciiTheme="minorEastAsia" w:hAnsiTheme="minorEastAsia" w:eastAsiaTheme="minorEastAsia"/>
          <w:sz w:val="20"/>
          <w:szCs w:val="20"/>
          <w:highlight w:val="none"/>
          <w:lang w:val="en-US" w:eastAsia="zh-CN"/>
        </w:rPr>
        <w:t>专家评审组对符合资格条件的意向承租方递交的响应文件进行评审并打分后，总分排名择优确定 3 家入围竞价的意向承租方为合格意向承租方进入竞价阶段。该3个合格意向承租方按杭州产权交易所的相关竞价实施办法在杭州产权交易所进行在线报价，竞价出价最高者为承租方，其出价为本次交易的成交价。</w:t>
      </w:r>
    </w:p>
    <w:p w14:paraId="09A3B41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意向承租方须承诺满足以下资格要求（任一条件不满足，直接否决响应文件）：</w:t>
      </w:r>
    </w:p>
    <w:p w14:paraId="7CF64B25">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（1）企业经营状态稳定，商业信用良好；</w:t>
      </w:r>
    </w:p>
    <w:p w14:paraId="5842203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（2）无失信被执行人记录、无重大税收违法记录、无重大食品药品安全行政处罚记录（需提供证明材料或承诺函）；</w:t>
      </w:r>
    </w:p>
    <w:p w14:paraId="2B4A665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（3）提供承诺函，承诺经营方案符合出租方院感、消防、噪音、异味管控等医疗环境管理要求（格式自拟）；</w:t>
      </w:r>
    </w:p>
    <w:p w14:paraId="056A33D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（4）提供承诺函，承诺成交后须自行办理食品经营许可证，投保保额不低于100万元食品安全责任险，响应文件中须附对应承诺函（格式自拟）。</w:t>
      </w:r>
    </w:p>
    <w:p w14:paraId="27113322">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7、遴选流程详见附件《公开遴选文件》。</w:t>
      </w:r>
    </w:p>
    <w:p w14:paraId="2FA8E85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宋体" w:hAnsi="宋体"/>
          <w:sz w:val="21"/>
          <w:szCs w:val="21"/>
          <w:highlight w:val="none"/>
          <w:lang w:val="en-US" w:eastAsia="zh-CN"/>
        </w:rPr>
      </w:pPr>
      <w:r>
        <w:rPr>
          <w:rFonts w:hint="eastAsia" w:asciiTheme="minorEastAsia" w:hAnsiTheme="minorEastAsia" w:eastAsiaTheme="minorEastAsia"/>
          <w:sz w:val="20"/>
          <w:szCs w:val="20"/>
          <w:highlight w:val="none"/>
          <w:lang w:val="en-US" w:eastAsia="zh-CN"/>
        </w:rPr>
        <w:t>8、</w:t>
      </w:r>
      <w:r>
        <w:rPr>
          <w:rFonts w:hint="eastAsia" w:ascii="宋体" w:hAnsi="宋体"/>
          <w:sz w:val="21"/>
          <w:szCs w:val="21"/>
          <w:highlight w:val="none"/>
          <w:lang w:val="en-US" w:eastAsia="zh-CN"/>
        </w:rPr>
        <w:t>出租方与承租方的权利义务及租赁房屋交付详见《杭州市市直机关事业单位房屋租赁合同》及其附件等交易合同。</w:t>
      </w:r>
    </w:p>
    <w:p w14:paraId="34BDBFB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 w:val="21"/>
          <w:szCs w:val="21"/>
          <w:highlight w:val="none"/>
          <w:lang w:val="en-US" w:eastAsia="zh-CN"/>
        </w:rPr>
      </w:pPr>
      <w:r>
        <w:rPr>
          <w:rFonts w:hint="eastAsia" w:ascii="宋体" w:hAnsi="宋体"/>
          <w:sz w:val="21"/>
          <w:szCs w:val="21"/>
          <w:highlight w:val="none"/>
          <w:lang w:val="en-US" w:eastAsia="zh-CN"/>
        </w:rPr>
        <w:t>9、</w:t>
      </w:r>
      <w:r>
        <w:rPr>
          <w:rFonts w:hint="eastAsia" w:ascii="宋体" w:hAnsi="宋体"/>
          <w:sz w:val="21"/>
          <w:szCs w:val="21"/>
          <w:highlight w:val="none"/>
        </w:rPr>
        <w:t>本项目承租方须交纳成交总价（</w:t>
      </w:r>
      <w:r>
        <w:rPr>
          <w:rFonts w:hint="eastAsia" w:ascii="宋体" w:hAnsi="宋体"/>
          <w:sz w:val="21"/>
          <w:szCs w:val="21"/>
          <w:highlight w:val="none"/>
          <w:lang w:val="en-US" w:eastAsia="zh-CN"/>
        </w:rPr>
        <w:t>5年</w:t>
      </w:r>
      <w:r>
        <w:rPr>
          <w:rFonts w:hint="eastAsia" w:ascii="宋体" w:hAnsi="宋体"/>
          <w:sz w:val="21"/>
          <w:szCs w:val="21"/>
          <w:highlight w:val="none"/>
          <w:lang w:eastAsia="zh-CN"/>
        </w:rPr>
        <w:t>租金</w:t>
      </w:r>
      <w:r>
        <w:rPr>
          <w:rFonts w:hint="eastAsia" w:ascii="宋体" w:hAnsi="宋体"/>
          <w:sz w:val="21"/>
          <w:szCs w:val="21"/>
          <w:highlight w:val="none"/>
        </w:rPr>
        <w:t>）4%的交易服务费</w:t>
      </w:r>
      <w:r>
        <w:rPr>
          <w:rFonts w:hint="eastAsia" w:ascii="宋体" w:hAnsi="宋体"/>
          <w:sz w:val="21"/>
          <w:szCs w:val="21"/>
          <w:highlight w:val="none"/>
          <w:lang w:eastAsia="zh-CN"/>
        </w:rPr>
        <w:t>。</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10、</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val="en-US" w:eastAsia="zh-CN"/>
        </w:rPr>
        <w:t>《杭州市市直机关事业单位房屋租赁合同》</w:t>
      </w:r>
      <w:r>
        <w:rPr>
          <w:rFonts w:hint="eastAsia" w:asciiTheme="minorEastAsia" w:hAnsiTheme="minorEastAsia" w:eastAsiaTheme="minorEastAsia"/>
          <w:sz w:val="20"/>
          <w:szCs w:val="20"/>
          <w:highlight w:val="none"/>
        </w:rPr>
        <w:t>及其附件等交易合同的或未按约定支付交易服务费、履约保证金</w:t>
      </w:r>
      <w:r>
        <w:rPr>
          <w:rFonts w:hint="eastAsia" w:asciiTheme="minorEastAsia" w:hAnsiTheme="minorEastAsia" w:eastAsiaTheme="minorEastAsia"/>
          <w:sz w:val="20"/>
          <w:szCs w:val="20"/>
          <w:highlight w:val="none"/>
          <w:lang w:eastAsia="zh-CN"/>
        </w:rPr>
        <w:t>、装修保证金</w:t>
      </w:r>
      <w:r>
        <w:rPr>
          <w:rFonts w:hint="eastAsia" w:asciiTheme="minorEastAsia" w:hAnsiTheme="minorEastAsia" w:eastAsiaTheme="minorEastAsia"/>
          <w:sz w:val="20"/>
          <w:szCs w:val="20"/>
          <w:highlight w:val="none"/>
        </w:rPr>
        <w:t>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5FBDD4A4"/>
    <w:rsid w:val="627A2493"/>
    <w:rsid w:val="63C12C87"/>
    <w:rsid w:val="64BF4C96"/>
    <w:rsid w:val="659F7A99"/>
    <w:rsid w:val="66FDF44A"/>
    <w:rsid w:val="6B7C4F72"/>
    <w:rsid w:val="6BBC636F"/>
    <w:rsid w:val="6C8A5B48"/>
    <w:rsid w:val="6DCC02D7"/>
    <w:rsid w:val="6EF7C10C"/>
    <w:rsid w:val="6F54011C"/>
    <w:rsid w:val="6F77EB57"/>
    <w:rsid w:val="6FEB24FF"/>
    <w:rsid w:val="714C77AC"/>
    <w:rsid w:val="71D57417"/>
    <w:rsid w:val="71D777AF"/>
    <w:rsid w:val="779041CA"/>
    <w:rsid w:val="795E558F"/>
    <w:rsid w:val="7BF1A80A"/>
    <w:rsid w:val="7BF7E7D6"/>
    <w:rsid w:val="7DAD8DA0"/>
    <w:rsid w:val="7FB72E77"/>
    <w:rsid w:val="7FBDD061"/>
    <w:rsid w:val="7FFE13C5"/>
    <w:rsid w:val="7FFFC482"/>
    <w:rsid w:val="95FFF3FC"/>
    <w:rsid w:val="9EFE4B51"/>
    <w:rsid w:val="A7AC8918"/>
    <w:rsid w:val="ABCFA43F"/>
    <w:rsid w:val="B7BFCC69"/>
    <w:rsid w:val="BBFF7D8A"/>
    <w:rsid w:val="BDF7692C"/>
    <w:rsid w:val="DFFB05E1"/>
    <w:rsid w:val="ED6F7D31"/>
    <w:rsid w:val="EEFB1518"/>
    <w:rsid w:val="F4EF488A"/>
    <w:rsid w:val="F7FD6DEF"/>
    <w:rsid w:val="FBBF6243"/>
    <w:rsid w:val="FBCE655F"/>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7">
    <w:name w:val="NormalIndent"/>
    <w:basedOn w:val="1"/>
    <w:qFormat/>
    <w:uiPriority w:val="0"/>
    <w:pPr>
      <w:ind w:firstLine="420"/>
    </w:pPr>
    <w:rPr>
      <w:rFonts w:ascii="Calibri" w:hAnsi="Calibri"/>
      <w:szCs w:val="22"/>
    </w:rPr>
  </w:style>
  <w:style w:type="character" w:customStyle="1" w:styleId="8">
    <w:name w:val="页眉 Char"/>
    <w:basedOn w:val="6"/>
    <w:link w:val="3"/>
    <w:semiHidden/>
    <w:qFormat/>
    <w:uiPriority w:val="99"/>
    <w:rPr>
      <w:rFonts w:ascii="Times New Roman" w:hAnsi="Times New Roman" w:eastAsia="宋体" w:cs="Times New Roman"/>
      <w:sz w:val="18"/>
      <w:szCs w:val="18"/>
    </w:rPr>
  </w:style>
  <w:style w:type="character" w:customStyle="1" w:styleId="9">
    <w:name w:val="页脚 Char"/>
    <w:basedOn w:val="6"/>
    <w:link w:val="2"/>
    <w:semiHidden/>
    <w:qFormat/>
    <w:uiPriority w:val="99"/>
    <w:rPr>
      <w:rFonts w:ascii="Times New Roman" w:hAnsi="Times New Roman" w:eastAsia="宋体"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1934</Words>
  <Characters>1938</Characters>
  <Lines>8</Lines>
  <Paragraphs>2</Paragraphs>
  <TotalTime>0</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2020-04-18T17:14:00Z</dcterms:created>
  <dc:creator>zxy</dc:creator>
  <cp:lastModifiedBy>宣佳妮</cp:lastModifiedBy>
  <dcterms:modified xsi:type="dcterms:W3CDTF">2026-09-15T16:49:54Z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