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C0C17B">
      <w:pPr>
        <w:spacing w:line="360" w:lineRule="auto"/>
        <w:jc w:val="center"/>
        <w:rPr>
          <w:rFonts w:ascii="黑体" w:hAnsi="黑体" w:eastAsia="黑体"/>
          <w:b/>
          <w:sz w:val="36"/>
          <w:szCs w:val="36"/>
        </w:rPr>
      </w:pPr>
      <w:r>
        <w:rPr>
          <w:rFonts w:hint="eastAsia" w:ascii="黑体" w:hAnsi="黑体" w:eastAsia="黑体"/>
          <w:b/>
          <w:sz w:val="36"/>
          <w:szCs w:val="36"/>
        </w:rPr>
        <w:t>承诺函</w:t>
      </w:r>
    </w:p>
    <w:p w14:paraId="58A042FC">
      <w:pPr>
        <w:keepNext w:val="0"/>
        <w:keepLines w:val="0"/>
        <w:pageBreakBefore w:val="0"/>
        <w:widowControl w:val="0"/>
        <w:kinsoku/>
        <w:wordWrap/>
        <w:overflowPunct/>
        <w:topLinePunct w:val="0"/>
        <w:autoSpaceDE/>
        <w:autoSpaceDN/>
        <w:bidi w:val="0"/>
        <w:adjustRightInd/>
        <w:snapToGrid/>
        <w:spacing w:line="440" w:lineRule="exact"/>
        <w:textAlignment w:val="auto"/>
        <w:rPr>
          <w:rFonts w:asciiTheme="minorEastAsia" w:hAnsiTheme="minorEastAsia" w:eastAsiaTheme="minorEastAsia"/>
          <w:szCs w:val="21"/>
        </w:rPr>
      </w:pPr>
      <w:r>
        <w:rPr>
          <w:rFonts w:hint="eastAsia" w:asciiTheme="minorEastAsia" w:hAnsiTheme="minorEastAsia" w:eastAsiaTheme="minorEastAsia"/>
          <w:szCs w:val="21"/>
        </w:rPr>
        <w:t>杭州</w:t>
      </w:r>
      <w:r>
        <w:rPr>
          <w:rFonts w:asciiTheme="minorEastAsia" w:hAnsiTheme="minorEastAsia" w:eastAsiaTheme="minorEastAsia"/>
          <w:szCs w:val="21"/>
        </w:rPr>
        <w:t>产权交易所</w:t>
      </w:r>
      <w:r>
        <w:rPr>
          <w:rFonts w:hint="eastAsia" w:asciiTheme="minorEastAsia" w:hAnsiTheme="minorEastAsia" w:eastAsiaTheme="minorEastAsia"/>
          <w:szCs w:val="21"/>
        </w:rPr>
        <w:t>有限责任公司</w:t>
      </w:r>
      <w:r>
        <w:rPr>
          <w:rFonts w:asciiTheme="minorEastAsia" w:hAnsiTheme="minorEastAsia" w:eastAsiaTheme="minorEastAsia"/>
          <w:szCs w:val="21"/>
        </w:rPr>
        <w:t>：</w:t>
      </w:r>
    </w:p>
    <w:p w14:paraId="19538FC0">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我方拟</w:t>
      </w:r>
      <w:r>
        <w:rPr>
          <w:rFonts w:asciiTheme="minorEastAsia" w:hAnsiTheme="minorEastAsia" w:eastAsiaTheme="minorEastAsia"/>
          <w:szCs w:val="21"/>
        </w:rPr>
        <w:t>受让</w:t>
      </w:r>
      <w:r>
        <w:rPr>
          <w:rFonts w:hint="eastAsia" w:asciiTheme="minorEastAsia" w:hAnsiTheme="minorEastAsia" w:eastAsiaTheme="minorEastAsia"/>
          <w:szCs w:val="21"/>
          <w:u w:val="single"/>
          <w:lang w:val="en-US" w:eastAsia="zh-CN"/>
        </w:rPr>
        <w:t>一批报废物资项目</w:t>
      </w:r>
      <w:r>
        <w:rPr>
          <w:rFonts w:hint="eastAsia" w:asciiTheme="minorEastAsia" w:hAnsiTheme="minorEastAsia" w:eastAsiaTheme="minorEastAsia"/>
          <w:szCs w:val="21"/>
        </w:rPr>
        <w:t>，现做</w:t>
      </w:r>
      <w:r>
        <w:rPr>
          <w:rFonts w:asciiTheme="minorEastAsia" w:hAnsiTheme="minorEastAsia" w:eastAsiaTheme="minorEastAsia"/>
          <w:szCs w:val="21"/>
        </w:rPr>
        <w:t>如下承诺：</w:t>
      </w:r>
    </w:p>
    <w:p w14:paraId="3E4A27B1">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1、我方已认真阅读、知悉并自愿遵守杭州产权交易所《国有资产转让交易规则》、《在线报价实施办法》和《杭州产权交易所在线报价交易须知》等文件的规定，同意按照相关规定参加本项目竞价活动。</w:t>
      </w:r>
    </w:p>
    <w:p w14:paraId="23442502">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2、我方</w:t>
      </w:r>
      <w:r>
        <w:rPr>
          <w:rFonts w:hint="eastAsia" w:asciiTheme="minorEastAsia" w:hAnsiTheme="minorEastAsia"/>
          <w:szCs w:val="21"/>
        </w:rPr>
        <w:t>提交</w:t>
      </w:r>
      <w:r>
        <w:rPr>
          <w:rFonts w:asciiTheme="minorEastAsia" w:hAnsiTheme="minorEastAsia"/>
          <w:szCs w:val="21"/>
          <w:u w:val="single"/>
        </w:rPr>
        <w:t>受让</w:t>
      </w:r>
      <w:r>
        <w:rPr>
          <w:rFonts w:asciiTheme="minorEastAsia" w:hAnsiTheme="minorEastAsia"/>
          <w:szCs w:val="21"/>
        </w:rPr>
        <w:t>申请并且</w:t>
      </w:r>
      <w:r>
        <w:rPr>
          <w:rFonts w:hint="eastAsia" w:asciiTheme="minorEastAsia" w:hAnsiTheme="minorEastAsia"/>
          <w:szCs w:val="21"/>
        </w:rPr>
        <w:t>交纳交易</w:t>
      </w:r>
      <w:r>
        <w:rPr>
          <w:rFonts w:asciiTheme="minorEastAsia" w:hAnsiTheme="minorEastAsia"/>
          <w:szCs w:val="21"/>
        </w:rPr>
        <w:t>保证金后，即视为已详细阅读并完全认可本项目所披露内容以及已完成对标的的现场踏勘，表明已完全了解</w:t>
      </w:r>
      <w:r>
        <w:rPr>
          <w:rFonts w:hint="eastAsia" w:asciiTheme="minorEastAsia" w:hAnsiTheme="minorEastAsia"/>
          <w:szCs w:val="21"/>
        </w:rPr>
        <w:t>并</w:t>
      </w:r>
      <w:r>
        <w:rPr>
          <w:rFonts w:asciiTheme="minorEastAsia" w:hAnsiTheme="minorEastAsia"/>
          <w:szCs w:val="21"/>
        </w:rPr>
        <w:t>自愿接受标的的全部现状及瑕疵，并自</w:t>
      </w:r>
      <w:r>
        <w:rPr>
          <w:rFonts w:hint="eastAsia" w:asciiTheme="minorEastAsia" w:hAnsiTheme="minorEastAsia" w:eastAsiaTheme="minorEastAsia"/>
          <w:szCs w:val="21"/>
        </w:rPr>
        <w:t>愿承担一切交易风险。</w:t>
      </w:r>
    </w:p>
    <w:p w14:paraId="7B5C1453">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3、</w:t>
      </w:r>
      <w:r>
        <w:rPr>
          <w:rFonts w:hint="eastAsia" w:asciiTheme="minorEastAsia" w:hAnsiTheme="minorEastAsia" w:eastAsiaTheme="minorEastAsia"/>
          <w:szCs w:val="21"/>
          <w:lang w:val="en-US" w:eastAsia="zh-CN"/>
        </w:rPr>
        <w:t>我方</w:t>
      </w:r>
      <w:r>
        <w:rPr>
          <w:rFonts w:hint="eastAsia" w:asciiTheme="minorEastAsia" w:hAnsiTheme="minorEastAsia" w:eastAsiaTheme="minorEastAsia"/>
          <w:szCs w:val="21"/>
        </w:rPr>
        <w:t xml:space="preserve">同意在被确定为受让方之日起 </w:t>
      </w:r>
      <w:r>
        <w:rPr>
          <w:rFonts w:hint="eastAsia" w:asciiTheme="minorEastAsia" w:hAnsiTheme="minorEastAsia" w:eastAsiaTheme="minorEastAsia"/>
          <w:szCs w:val="21"/>
          <w:lang w:val="en-US" w:eastAsia="zh-CN"/>
        </w:rPr>
        <w:t>5</w:t>
      </w:r>
      <w:r>
        <w:rPr>
          <w:rFonts w:hint="eastAsia" w:asciiTheme="minorEastAsia" w:hAnsiTheme="minorEastAsia" w:eastAsiaTheme="minorEastAsia"/>
          <w:szCs w:val="21"/>
        </w:rPr>
        <w:t xml:space="preserve"> 个工作日内，携带受让申请材料原件到杭交所完成现场确认并签署《资产交易合同》；并在《资产交易合同》签署之日起 5 个工作日内向杭交所指定账户一次性支付交易服务费、交易价款及</w:t>
      </w:r>
      <w:r>
        <w:rPr>
          <w:rFonts w:hint="eastAsia" w:asciiTheme="minorEastAsia" w:hAnsiTheme="minorEastAsia" w:eastAsiaTheme="minorEastAsia"/>
          <w:szCs w:val="21"/>
          <w:lang w:val="en-US" w:eastAsia="zh-CN"/>
        </w:rPr>
        <w:t>2</w:t>
      </w:r>
      <w:r>
        <w:rPr>
          <w:rFonts w:hint="eastAsia" w:asciiTheme="minorEastAsia" w:hAnsiTheme="minorEastAsia" w:eastAsiaTheme="minorEastAsia"/>
          <w:szCs w:val="21"/>
        </w:rPr>
        <w:t>0</w:t>
      </w:r>
      <w:r>
        <w:rPr>
          <w:rFonts w:hint="eastAsia" w:asciiTheme="minorEastAsia" w:hAnsiTheme="minorEastAsia" w:eastAsiaTheme="minorEastAsia"/>
          <w:szCs w:val="21"/>
          <w:lang w:val="en-US" w:eastAsia="zh-CN"/>
        </w:rPr>
        <w:t>00</w:t>
      </w:r>
      <w:r>
        <w:rPr>
          <w:rFonts w:hint="eastAsia" w:asciiTheme="minorEastAsia" w:hAnsiTheme="minorEastAsia" w:eastAsiaTheme="minorEastAsia"/>
          <w:szCs w:val="21"/>
        </w:rPr>
        <w:t>00元的履约保证金等交易资金（以到账时间为准）</w:t>
      </w:r>
      <w:r>
        <w:rPr>
          <w:rFonts w:hint="eastAsia" w:asciiTheme="minorEastAsia" w:hAnsiTheme="minorEastAsia" w:eastAsiaTheme="minorEastAsia"/>
          <w:szCs w:val="21"/>
          <w:lang w:eastAsia="zh-CN"/>
        </w:rPr>
        <w:t>。</w:t>
      </w:r>
    </w:p>
    <w:p w14:paraId="41BB2F75">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4、</w:t>
      </w:r>
      <w:r>
        <w:rPr>
          <w:rFonts w:hint="eastAsia" w:asciiTheme="minorEastAsia" w:hAnsiTheme="minorEastAsia" w:eastAsiaTheme="minorEastAsia"/>
          <w:szCs w:val="21"/>
          <w:lang w:val="en-US" w:eastAsia="zh-CN"/>
        </w:rPr>
        <w:t>我方同意杭交所在经转让方申请之日起3个工作日内将受让方已交纳的交易价款划转至转让方指定账户</w:t>
      </w:r>
      <w:r>
        <w:rPr>
          <w:rFonts w:hint="eastAsia" w:asciiTheme="minorEastAsia" w:hAnsiTheme="minorEastAsia" w:eastAsiaTheme="minorEastAsia"/>
          <w:szCs w:val="21"/>
        </w:rPr>
        <w:t>。</w:t>
      </w:r>
    </w:p>
    <w:p w14:paraId="1A55E91B">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Theme="minorEastAsia" w:hAnsiTheme="minorEastAsia" w:eastAsiaTheme="minorEastAsia"/>
          <w:b/>
          <w:bCs/>
          <w:szCs w:val="21"/>
          <w:lang w:val="en-US" w:eastAsia="zh-CN"/>
        </w:rPr>
      </w:pPr>
      <w:r>
        <w:rPr>
          <w:rFonts w:hint="eastAsia" w:asciiTheme="minorEastAsia" w:hAnsiTheme="minorEastAsia" w:eastAsiaTheme="minorEastAsia"/>
          <w:szCs w:val="21"/>
          <w:lang w:val="en-US" w:eastAsia="zh-CN"/>
        </w:rPr>
        <w:t>5、</w:t>
      </w:r>
      <w:r>
        <w:rPr>
          <w:rFonts w:hint="eastAsia" w:asciiTheme="minorEastAsia" w:hAnsiTheme="minorEastAsia" w:eastAsiaTheme="minorEastAsia"/>
          <w:b/>
          <w:bCs/>
          <w:szCs w:val="21"/>
          <w:lang w:val="en-US" w:eastAsia="zh-CN"/>
        </w:rPr>
        <w:t>我方同意本次标的中的空调主机等设备无整机搬运通道，由转让方负责拆除解体后移交至受让方搬离移交现场。标的物拆除范围以转让方现场标记为准，管道连接处以第一个法兰为准，不允许破墙。</w:t>
      </w:r>
    </w:p>
    <w:p w14:paraId="51F818CA">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default" w:asciiTheme="minorEastAsia" w:hAnsiTheme="minorEastAsia" w:eastAsiaTheme="minorEastAsia"/>
          <w:b/>
          <w:bCs/>
          <w:szCs w:val="21"/>
          <w:lang w:val="en-US" w:eastAsia="zh-CN"/>
        </w:rPr>
      </w:pPr>
      <w:r>
        <w:rPr>
          <w:rFonts w:hint="eastAsia" w:asciiTheme="minorEastAsia" w:hAnsiTheme="minorEastAsia" w:eastAsiaTheme="minorEastAsia"/>
          <w:b w:val="0"/>
          <w:bCs w:val="0"/>
          <w:szCs w:val="21"/>
          <w:lang w:val="en-US" w:eastAsia="zh-CN"/>
        </w:rPr>
        <w:t>6、</w:t>
      </w:r>
      <w:r>
        <w:rPr>
          <w:rFonts w:hint="eastAsia" w:asciiTheme="minorEastAsia" w:hAnsiTheme="minorEastAsia" w:eastAsiaTheme="minorEastAsia"/>
          <w:b/>
          <w:bCs/>
          <w:szCs w:val="21"/>
          <w:lang w:val="en-US" w:eastAsia="zh-CN"/>
        </w:rPr>
        <w:t>我方</w:t>
      </w:r>
      <w:r>
        <w:rPr>
          <w:rFonts w:hint="eastAsia" w:asciiTheme="minorEastAsia" w:hAnsiTheme="minorEastAsia" w:eastAsiaTheme="minorEastAsia"/>
          <w:b/>
          <w:bCs/>
          <w:szCs w:val="21"/>
          <w:lang w:val="en-US" w:eastAsia="zh-CN"/>
        </w:rPr>
        <w:t>同意部分资产移交时间预计在2026年10月以后，具体以转让方通知为准。</w:t>
      </w:r>
    </w:p>
    <w:p w14:paraId="4ED8ACF6">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7、我方同意标的移交过程中须自行拆除（转让方负责拆除部分除外）、装卸、搬迁、运输、垃圾清运，并自行承担所有费用。标的存放地有存放单位其它资产共同堆放的，受让方移交资产时，须严格服从转让方统一管理，按转让方要求办理移交，不遗留任何标的附属物。前述过程中发生的一切安全责任事故由受让方负责，受让方确保资产存储地点不发生安全责任事故、硬件设施不受损害。发生侵害转让方权益的情况，转让方有权要求受让方承担恢复原状及赔偿损失之责任。</w:t>
      </w:r>
    </w:p>
    <w:p w14:paraId="68F6F729">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8、我方同意标的物移交以现场展示实物现状进行移交，不再进行盘点，不调整成交价格。按照转让方要求，将本次处置的全部标的物搬离移交现场。</w:t>
      </w:r>
    </w:p>
    <w:p w14:paraId="363DF8C0">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default"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9、我方同意在处置时须符合环保、安监、卫生等部门的相关规定，如处置时涉及有资质要求的受让方须严格委托符合相应资质的第三方处置。如涉及医疗、环保等设备，必须拆解后方可装运，处置时必须委托有相关类目处置资质的企业处置，因受让方未委托有资质企业处置所产生的一切责任与后果均由受让方承担。在标的物移交过程中，如有需要切割的物资，应向转让方请示，得到转让方同意后,应按相关规范要求，方可进行切割，尽到安全施工义务，由此导致的安全事故由受让方全权负责。</w:t>
      </w:r>
    </w:p>
    <w:p w14:paraId="5C7682BA">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10、我方同意所有标的物报废后作为再生资源，已完全了解政府有关部门对标的资产报废的相关规定，如果受让方不当使用所造成的一切后果由受让方承担，与转让方及杭交所无关。</w:t>
      </w:r>
    </w:p>
    <w:p w14:paraId="687DCA4C">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default"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11、我方同意本项目标的交付以及转受双方的权利义务以附件《资产交易合同》文本相关内容为准。</w:t>
      </w:r>
    </w:p>
    <w:p w14:paraId="20FA320F">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lang w:val="en-US" w:eastAsia="zh-CN"/>
        </w:rPr>
        <w:t>12、我方同意本项目受让方须交纳成交金额4%的交易服务费</w:t>
      </w:r>
      <w:r>
        <w:rPr>
          <w:rFonts w:hint="eastAsia" w:asciiTheme="minorEastAsia" w:hAnsiTheme="minorEastAsia" w:eastAsiaTheme="minorEastAsia"/>
          <w:szCs w:val="21"/>
        </w:rPr>
        <w:t>。</w:t>
      </w:r>
    </w:p>
    <w:p w14:paraId="574F893E">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13</w:t>
      </w:r>
      <w:bookmarkStart w:id="0" w:name="_GoBack"/>
      <w:bookmarkEnd w:id="0"/>
      <w:r>
        <w:rPr>
          <w:rFonts w:hint="eastAsia" w:asciiTheme="minorEastAsia" w:hAnsiTheme="minorEastAsia" w:eastAsiaTheme="minorEastAsia"/>
          <w:szCs w:val="21"/>
        </w:rPr>
        <w:t>、若非转让方原因，出现以下任一情况时，意向受让方交纳的保证金</w:t>
      </w:r>
      <w:r>
        <w:rPr>
          <w:rFonts w:hint="eastAsia" w:asciiTheme="minorEastAsia" w:hAnsiTheme="minorEastAsia" w:eastAsiaTheme="minorEastAsia"/>
          <w:szCs w:val="21"/>
          <w:lang w:val="en-US" w:eastAsia="zh-CN"/>
        </w:rPr>
        <w:t>不予退还</w:t>
      </w:r>
      <w:r>
        <w:rPr>
          <w:rFonts w:hint="eastAsia" w:asciiTheme="minorEastAsia" w:hAnsiTheme="minorEastAsia" w:eastAsiaTheme="minorEastAsia"/>
          <w:szCs w:val="21"/>
        </w:rPr>
        <w:t>，先用于补偿杭交所的各项服务费，剩余部分作为对转让方的经济补偿金，保证金不足以补偿的，相关方有权按照实际损失继续追诉：</w:t>
      </w:r>
    </w:p>
    <w:p w14:paraId="24A3E154">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（1）意向受让方提交受让申请并交纳交易保证金后单方撤回受让申请的；</w:t>
      </w:r>
    </w:p>
    <w:p w14:paraId="516CF250">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（2）产生符合条件的意向受让方后，各意向受让方在竞价期间均不报价的；</w:t>
      </w:r>
    </w:p>
    <w:p w14:paraId="78D5A404">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（3）在被确定为受让方后未按约定签署《资产交易合同》的或未按约定支付交易价款、履约保证金及交易服务费的；</w:t>
      </w:r>
    </w:p>
    <w:p w14:paraId="05E8C09C">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（4）意向受让方未履行书面承诺事项的；</w:t>
      </w:r>
    </w:p>
    <w:p w14:paraId="7C232454">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（5）存在其他违反交易规则情形的。</w:t>
      </w:r>
    </w:p>
    <w:p w14:paraId="2E51094D">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asciiTheme="minorEastAsia" w:hAnsiTheme="minorEastAsia" w:eastAsiaTheme="minorEastAsia"/>
          <w:szCs w:val="21"/>
        </w:rPr>
      </w:pPr>
    </w:p>
    <w:p w14:paraId="69F3B9F8">
      <w:pPr>
        <w:keepNext w:val="0"/>
        <w:keepLines w:val="0"/>
        <w:pageBreakBefore w:val="0"/>
        <w:widowControl w:val="0"/>
        <w:kinsoku/>
        <w:wordWrap/>
        <w:overflowPunct/>
        <w:topLinePunct w:val="0"/>
        <w:autoSpaceDE/>
        <w:autoSpaceDN/>
        <w:bidi w:val="0"/>
        <w:adjustRightInd/>
        <w:snapToGrid/>
        <w:spacing w:line="440" w:lineRule="exact"/>
        <w:textAlignment w:val="auto"/>
        <w:rPr>
          <w:rFonts w:asciiTheme="minorEastAsia" w:hAnsiTheme="minorEastAsia" w:eastAsiaTheme="minorEastAsia"/>
          <w:szCs w:val="21"/>
        </w:rPr>
      </w:pPr>
    </w:p>
    <w:p w14:paraId="1EC310D7">
      <w:pPr>
        <w:keepNext w:val="0"/>
        <w:keepLines w:val="0"/>
        <w:pageBreakBefore w:val="0"/>
        <w:widowControl w:val="0"/>
        <w:kinsoku/>
        <w:wordWrap/>
        <w:overflowPunct/>
        <w:topLinePunct w:val="0"/>
        <w:autoSpaceDE/>
        <w:autoSpaceDN/>
        <w:bidi w:val="0"/>
        <w:adjustRightInd/>
        <w:snapToGrid/>
        <w:spacing w:line="440" w:lineRule="exact"/>
        <w:textAlignment w:val="auto"/>
        <w:rPr>
          <w:rFonts w:asciiTheme="minorEastAsia" w:hAnsiTheme="minorEastAsia" w:eastAsiaTheme="minorEastAsia"/>
          <w:szCs w:val="21"/>
        </w:rPr>
      </w:pPr>
      <w:r>
        <w:rPr>
          <w:rFonts w:hint="eastAsia" w:asciiTheme="minorEastAsia" w:hAnsiTheme="minorEastAsia" w:eastAsiaTheme="minorEastAsia"/>
          <w:szCs w:val="21"/>
        </w:rPr>
        <w:t xml:space="preserve">                                        意向受让方（签章）：</w:t>
      </w:r>
    </w:p>
    <w:p w14:paraId="458C7508">
      <w:pPr>
        <w:keepNext w:val="0"/>
        <w:keepLines w:val="0"/>
        <w:pageBreakBefore w:val="0"/>
        <w:widowControl w:val="0"/>
        <w:kinsoku/>
        <w:wordWrap/>
        <w:overflowPunct/>
        <w:topLinePunct w:val="0"/>
        <w:autoSpaceDE/>
        <w:autoSpaceDN/>
        <w:bidi w:val="0"/>
        <w:adjustRightInd/>
        <w:snapToGrid/>
        <w:spacing w:line="440" w:lineRule="exact"/>
        <w:textAlignment w:val="auto"/>
        <w:rPr>
          <w:rFonts w:asciiTheme="minorEastAsia" w:hAnsiTheme="minorEastAsia" w:eastAsiaTheme="minorEastAsia"/>
          <w:szCs w:val="21"/>
        </w:rPr>
      </w:pPr>
      <w:r>
        <w:rPr>
          <w:rFonts w:hint="eastAsia" w:asciiTheme="minorEastAsia" w:hAnsiTheme="minorEastAsia" w:eastAsiaTheme="minorEastAsia"/>
          <w:szCs w:val="21"/>
        </w:rPr>
        <w:t xml:space="preserve">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RmZTg4YTg3OTkxNDNiMGE2ZTM4YzhiYWM4OTZmZWYifQ=="/>
  </w:docVars>
  <w:rsids>
    <w:rsidRoot w:val="007E4EDD"/>
    <w:rsid w:val="0001054B"/>
    <w:rsid w:val="000119B9"/>
    <w:rsid w:val="0003337E"/>
    <w:rsid w:val="00041F21"/>
    <w:rsid w:val="00075D56"/>
    <w:rsid w:val="00092C9D"/>
    <w:rsid w:val="00123149"/>
    <w:rsid w:val="00143D8A"/>
    <w:rsid w:val="0018357D"/>
    <w:rsid w:val="001F50B4"/>
    <w:rsid w:val="0020310B"/>
    <w:rsid w:val="002278BB"/>
    <w:rsid w:val="00236FBD"/>
    <w:rsid w:val="002526A0"/>
    <w:rsid w:val="00255411"/>
    <w:rsid w:val="00262B27"/>
    <w:rsid w:val="00274544"/>
    <w:rsid w:val="00277FB3"/>
    <w:rsid w:val="002E2D4A"/>
    <w:rsid w:val="002F36D9"/>
    <w:rsid w:val="002F55E9"/>
    <w:rsid w:val="00305BE5"/>
    <w:rsid w:val="003229C2"/>
    <w:rsid w:val="003A2F6F"/>
    <w:rsid w:val="003B01F9"/>
    <w:rsid w:val="003C47FB"/>
    <w:rsid w:val="003E079C"/>
    <w:rsid w:val="00413930"/>
    <w:rsid w:val="00430675"/>
    <w:rsid w:val="004900C6"/>
    <w:rsid w:val="004919E4"/>
    <w:rsid w:val="00495DA6"/>
    <w:rsid w:val="004C246D"/>
    <w:rsid w:val="004D0E68"/>
    <w:rsid w:val="004D1B74"/>
    <w:rsid w:val="004E1479"/>
    <w:rsid w:val="004E3107"/>
    <w:rsid w:val="004F3BEF"/>
    <w:rsid w:val="004F76BC"/>
    <w:rsid w:val="00503879"/>
    <w:rsid w:val="005104B5"/>
    <w:rsid w:val="00532A61"/>
    <w:rsid w:val="0055051A"/>
    <w:rsid w:val="00591348"/>
    <w:rsid w:val="005A37D0"/>
    <w:rsid w:val="0060197B"/>
    <w:rsid w:val="00612184"/>
    <w:rsid w:val="00627BE3"/>
    <w:rsid w:val="006436E8"/>
    <w:rsid w:val="00662215"/>
    <w:rsid w:val="00737286"/>
    <w:rsid w:val="00783BFF"/>
    <w:rsid w:val="007847DD"/>
    <w:rsid w:val="00790D21"/>
    <w:rsid w:val="007A685D"/>
    <w:rsid w:val="007C254D"/>
    <w:rsid w:val="007E4EDD"/>
    <w:rsid w:val="00826C67"/>
    <w:rsid w:val="0084282E"/>
    <w:rsid w:val="00884F8A"/>
    <w:rsid w:val="008A2BBF"/>
    <w:rsid w:val="008D72E8"/>
    <w:rsid w:val="00906FAC"/>
    <w:rsid w:val="0090788F"/>
    <w:rsid w:val="00925EF4"/>
    <w:rsid w:val="00934A3A"/>
    <w:rsid w:val="00955D2B"/>
    <w:rsid w:val="0096235F"/>
    <w:rsid w:val="009733B3"/>
    <w:rsid w:val="009D4A3A"/>
    <w:rsid w:val="009E27F0"/>
    <w:rsid w:val="009F646A"/>
    <w:rsid w:val="00A11F15"/>
    <w:rsid w:val="00A24DD0"/>
    <w:rsid w:val="00A3030E"/>
    <w:rsid w:val="00A53E81"/>
    <w:rsid w:val="00A56010"/>
    <w:rsid w:val="00A66AE6"/>
    <w:rsid w:val="00A96775"/>
    <w:rsid w:val="00AA4243"/>
    <w:rsid w:val="00AC54C7"/>
    <w:rsid w:val="00AD2898"/>
    <w:rsid w:val="00AF7180"/>
    <w:rsid w:val="00B15A11"/>
    <w:rsid w:val="00B170BB"/>
    <w:rsid w:val="00B27397"/>
    <w:rsid w:val="00B36433"/>
    <w:rsid w:val="00B91182"/>
    <w:rsid w:val="00B923AA"/>
    <w:rsid w:val="00BA5C57"/>
    <w:rsid w:val="00BB2482"/>
    <w:rsid w:val="00BD2781"/>
    <w:rsid w:val="00BD7EAF"/>
    <w:rsid w:val="00BE7354"/>
    <w:rsid w:val="00BF1816"/>
    <w:rsid w:val="00C00281"/>
    <w:rsid w:val="00C02F3D"/>
    <w:rsid w:val="00C07B7D"/>
    <w:rsid w:val="00C2125E"/>
    <w:rsid w:val="00C237F6"/>
    <w:rsid w:val="00C300A5"/>
    <w:rsid w:val="00C434EA"/>
    <w:rsid w:val="00C664FC"/>
    <w:rsid w:val="00C76683"/>
    <w:rsid w:val="00C80243"/>
    <w:rsid w:val="00C85BC7"/>
    <w:rsid w:val="00CB5B8C"/>
    <w:rsid w:val="00CF4007"/>
    <w:rsid w:val="00D040CA"/>
    <w:rsid w:val="00D524E7"/>
    <w:rsid w:val="00D56D57"/>
    <w:rsid w:val="00DD02F6"/>
    <w:rsid w:val="00E00E55"/>
    <w:rsid w:val="00E10ADA"/>
    <w:rsid w:val="00E17453"/>
    <w:rsid w:val="00E30EAA"/>
    <w:rsid w:val="00E478A0"/>
    <w:rsid w:val="00E60BD5"/>
    <w:rsid w:val="00ED0403"/>
    <w:rsid w:val="00ED4E9F"/>
    <w:rsid w:val="00EF62AF"/>
    <w:rsid w:val="00F06BEC"/>
    <w:rsid w:val="00F44BC9"/>
    <w:rsid w:val="00F47654"/>
    <w:rsid w:val="00F66C08"/>
    <w:rsid w:val="00F74292"/>
    <w:rsid w:val="00F812CA"/>
    <w:rsid w:val="00FA0343"/>
    <w:rsid w:val="00FA6AB7"/>
    <w:rsid w:val="00FD0170"/>
    <w:rsid w:val="00FF503A"/>
    <w:rsid w:val="02787F8D"/>
    <w:rsid w:val="03736EBD"/>
    <w:rsid w:val="070F2314"/>
    <w:rsid w:val="0E7743B9"/>
    <w:rsid w:val="0ECA0797"/>
    <w:rsid w:val="13D87EEC"/>
    <w:rsid w:val="17236C83"/>
    <w:rsid w:val="17287B1F"/>
    <w:rsid w:val="1FF85315"/>
    <w:rsid w:val="20EB2BD8"/>
    <w:rsid w:val="21ED43D6"/>
    <w:rsid w:val="235476B1"/>
    <w:rsid w:val="23C15E83"/>
    <w:rsid w:val="26EC4327"/>
    <w:rsid w:val="28DB21BC"/>
    <w:rsid w:val="2C1B76D4"/>
    <w:rsid w:val="2DEF24FC"/>
    <w:rsid w:val="31007129"/>
    <w:rsid w:val="31E93F7F"/>
    <w:rsid w:val="370615A1"/>
    <w:rsid w:val="37867882"/>
    <w:rsid w:val="3D215D15"/>
    <w:rsid w:val="3E134DE2"/>
    <w:rsid w:val="3EA60628"/>
    <w:rsid w:val="3F7F07CF"/>
    <w:rsid w:val="489B7277"/>
    <w:rsid w:val="48B1581E"/>
    <w:rsid w:val="48F1423F"/>
    <w:rsid w:val="49E07304"/>
    <w:rsid w:val="4A2544D3"/>
    <w:rsid w:val="4A863687"/>
    <w:rsid w:val="500744C7"/>
    <w:rsid w:val="510A522C"/>
    <w:rsid w:val="51976463"/>
    <w:rsid w:val="538473DF"/>
    <w:rsid w:val="587B5768"/>
    <w:rsid w:val="58F30813"/>
    <w:rsid w:val="5AA20882"/>
    <w:rsid w:val="5DA146A9"/>
    <w:rsid w:val="618039C3"/>
    <w:rsid w:val="61D63239"/>
    <w:rsid w:val="65CD3919"/>
    <w:rsid w:val="680245CC"/>
    <w:rsid w:val="68B84416"/>
    <w:rsid w:val="6A2455F1"/>
    <w:rsid w:val="6AC52917"/>
    <w:rsid w:val="6D164848"/>
    <w:rsid w:val="6D7F24F0"/>
    <w:rsid w:val="71D658F9"/>
    <w:rsid w:val="7BEB30D1"/>
    <w:rsid w:val="7FCF38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autoRedefine/>
    <w:unhideWhenUsed/>
    <w:qFormat/>
    <w:uiPriority w:val="1"/>
  </w:style>
  <w:style w:type="table" w:default="1" w:styleId="4">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link w:val="7"/>
    <w:autoRedefine/>
    <w:semiHidden/>
    <w:unhideWhenUsed/>
    <w:qFormat/>
    <w:uiPriority w:val="99"/>
    <w:pPr>
      <w:tabs>
        <w:tab w:val="center" w:pos="4153"/>
        <w:tab w:val="right" w:pos="8306"/>
      </w:tabs>
      <w:snapToGrid w:val="0"/>
      <w:jc w:val="left"/>
    </w:pPr>
    <w:rPr>
      <w:sz w:val="18"/>
      <w:szCs w:val="18"/>
    </w:rPr>
  </w:style>
  <w:style w:type="paragraph" w:styleId="3">
    <w:name w:val="header"/>
    <w:basedOn w:val="1"/>
    <w:link w:val="6"/>
    <w:autoRedefine/>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autoRedefine/>
    <w:semiHidden/>
    <w:qFormat/>
    <w:uiPriority w:val="99"/>
    <w:rPr>
      <w:rFonts w:ascii="Times New Roman" w:hAnsi="Times New Roman" w:eastAsia="宋体" w:cs="Times New Roman"/>
      <w:sz w:val="18"/>
      <w:szCs w:val="18"/>
    </w:rPr>
  </w:style>
  <w:style w:type="character" w:customStyle="1" w:styleId="7">
    <w:name w:val="页脚 Char"/>
    <w:basedOn w:val="5"/>
    <w:link w:val="2"/>
    <w:autoRedefine/>
    <w:semiHidden/>
    <w:qFormat/>
    <w:uiPriority w:val="99"/>
    <w:rPr>
      <w:rFonts w:ascii="Times New Roman" w:hAnsi="Times New Roman" w:eastAsia="宋体" w:cs="Times New Roman"/>
      <w:sz w:val="18"/>
      <w:szCs w:val="18"/>
    </w:rPr>
  </w:style>
  <w:style w:type="paragraph" w:styleId="8">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1288</Words>
  <Characters>1296</Characters>
  <Lines>11</Lines>
  <Paragraphs>3</Paragraphs>
  <TotalTime>32</TotalTime>
  <ScaleCrop>false</ScaleCrop>
  <LinksUpToDate>false</LinksUpToDate>
  <CharactersWithSpaces>1393</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2020-06-30T08:41:00Z</dcterms:created>
  <dc:creator>zxy</dc:creator>
  <cp:lastModifiedBy>k</cp:lastModifiedBy>
  <dcterms:modified xsi:type="dcterms:W3CDTF">2026-09-15T01:34:43Z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F224C9BA8FE24C7E977B095F0F746085</vt:lpwstr>
  </property>
  <property fmtid="{D5CDD505-2E9C-101B-9397-08002B2CF9AE}" pid="4" name="KSOTemplateDocerSaveRecord">
    <vt:lpwstr>eyJoZGlkIjoiYTRmZTg4YTg3OTkxNDNiMGE2ZTM4YzhiYWM4OTZmZWYiLCJ1c2VySWQiOiI5NTMwNTIxNDkifQ==</vt:lpwstr>
  </property>
</Properties>
</file>