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承租杭州市拱墅区青城路青城路66号（青城路公交站管理用房）部分房屋7年租赁权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）出租标的</w:t>
      </w:r>
      <w:r>
        <w:rPr>
          <w:rFonts w:hint="eastAsia" w:ascii="宋体" w:hAnsi="宋体" w:eastAsia="宋体" w:cs="Times New Roman"/>
          <w:color w:val="auto"/>
          <w:szCs w:val="21"/>
          <w:highlight w:val="none"/>
          <w:lang w:val="en-US" w:eastAsia="zh-CN"/>
        </w:rPr>
        <w:t>一不动产权证证载权利性质为划拨/自建房，证载用途为街巷用地/非住宅</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标的一为空置状态。出租方保证出租标的产权无争议，但可提供的出租标的的权属资料仅限于不动产权证（证号：浙（2017）杭州市不动产权第0014925号）等（具体详见房屋租赁合同附件）。意向承租方应对房屋权</w:t>
      </w:r>
      <w:bookmarkStart w:id="0" w:name="_GoBack"/>
      <w:bookmarkEnd w:id="0"/>
      <w:r>
        <w:rPr>
          <w:rFonts w:hint="eastAsia" w:asciiTheme="minorEastAsia" w:hAnsiTheme="minorEastAsia" w:eastAsiaTheme="minorEastAsia"/>
          <w:szCs w:val="21"/>
        </w:rPr>
        <w:t>属性质、用途和权属资料可能对后续经营开展、获取审批许可等可能的不利影响作充分了解和预判，包括不能获得既定开设审批、无法办理租赁备案证、无法作为工商登记地址等风险在内。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若承租方未按照第一项承诺在招租公告明确的期限足额支付首期租金、履约保证金的，则视为根本性违约。出租方有权单方面解除合同，另行招租。承租方已向杭交所交纳的交易 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）同意承租方首次转租，禁止二次转租。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eastAsiaTheme="minorEastAsia"/>
          <w:b w:val="0"/>
          <w:bCs w:val="0"/>
          <w:lang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pStyle w:val="2"/>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（12）出租方与承租方权利义务具体以出租方提供的《房屋租赁合同》（样本）为准。</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DE0BE6"/>
    <w:rsid w:val="2EF16AF3"/>
    <w:rsid w:val="2F431594"/>
    <w:rsid w:val="2FFC7C4A"/>
    <w:rsid w:val="30F66B22"/>
    <w:rsid w:val="31831344"/>
    <w:rsid w:val="31A85707"/>
    <w:rsid w:val="31C10B20"/>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6F1AF2"/>
    <w:rsid w:val="5D0B1ACB"/>
    <w:rsid w:val="5F263445"/>
    <w:rsid w:val="60D41C1D"/>
    <w:rsid w:val="61AF798C"/>
    <w:rsid w:val="62D637DB"/>
    <w:rsid w:val="63DB45BE"/>
    <w:rsid w:val="63F50A4F"/>
    <w:rsid w:val="65BC6383"/>
    <w:rsid w:val="669B59E7"/>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2026-09-07T02:35:10Z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