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rPr>
        <w:t>杭州市上城区东宁路555号铁路东站枢纽东广场短途客运站3年租赁权</w:t>
      </w:r>
      <w:r>
        <w:rPr>
          <w:rFonts w:hint="eastAsia" w:asciiTheme="minorEastAsia" w:hAnsiTheme="minorEastAsia" w:eastAsiaTheme="minorEastAsia" w:cstheme="minorEastAsia"/>
          <w:sz w:val="20"/>
          <w:szCs w:val="20"/>
          <w:highlight w:val="none"/>
        </w:rPr>
        <w:t>项目，现做如下承诺：</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400" w:lineRule="exact"/>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同意在被确定为承租方之日起3个工作日内，携带承租申请材料原件到杭交所完成现场确认并签署《成交通知书》、《房屋租赁合同》及附件等交易合同；并在《成交通知书》、《房屋租赁合同》及附件等交易合同签署之日起5个工作日内向杭交所指定账户一次性支付首期租金、履约保证金及交易服务费等交易资金（以到账时间为准）。</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（2）同意杭交所经出租方申请之日起3个工作日内将承租方已交纳的首期租金、履约保证金全部划转至出租方指定账户。</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关于转租：承租方不得整体转租，承租方可根据经营需要部分面积转租，但租赁期限不得超过《房屋租赁合同》中约定的租期。承租方根据经营需要，确需转租的，应提书面向出租方申请，经出租方同意后方可部分转租。</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租赁房屋无不动产权证，无法保证办理营业执照，请承租方自行了解相关规定及承担可能存在的风险。拟出租房屋面积为测绘面积，与实际面积若有差异，以实际面积为准，成交的年租金及交易服务费不作调整。</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已知悉：原机场候车区部分不在本次招租范围内，系本次招租标的的相邻物业，本次公开招租成交的，承租人须承诺配合上述相邻物业的共用通道、出入口、停车位等的正常使用，具体以后期双方自行协商为准。</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（6）本次租赁房屋中管理用房租赁面积约544.1㎡，杭州萧山国际机场火车东站航站楼部分不在本次招租范围之内，具体边界、范围均以出租方现场带看确认为准。</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（7）出租方与承租方的权利义务详见《房屋租赁合同》及附件等交易合同。</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4、租赁房屋的交接：</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承租方付清首期租金、履约保证金和交易服务费后，由出租方负责按约定向承租方交付租赁房屋。租赁房屋以现状交付，并以出租方与承租方共同签署的“物业设备设施交付确认书”为依据，具体如下：</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①原承租方获得交易标的的，《房屋租赁合同》签订完成即视为交付完毕，签订日即为起租日。</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②原承租方未获得交易标的的，出租方负责清退原承租方后，将租赁房屋交付给承租方。承租方应理解出租方在清退原承租方工作方面的复杂性，若原承租方的清退时间或租赁房屋腾空时间难以确定而导致租赁房屋延迟交付的，不视为出租方违约。承租方应同意无条件等待出租方清退原承租方，直至交付止，同时不提出任何附加条件或要求修改已签订的《房屋租赁合同》。实际交付时，承租方和出租方补签移交确认书（若有），明确租期起始时间。租赁期以移交确认书上确定的交付日起算，即出租方未能在约定起租日前交付租赁房屋的，以实际交付之日起算租赁期限。</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承租方在不违反法律、法规的情况下自愿清退租赁场地的原承租方的，出租方可给予协助。在租赁场地的清退过程中，承租方提出的任何附加条件或要求修改已签订的《房屋租赁合同》时，出租方不予支持。    </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5、本项目承租方须交纳交易服务费，计算标准如下：</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b w:val="0"/>
          <w:bCs/>
          <w:sz w:val="20"/>
          <w:szCs w:val="20"/>
          <w:highlight w:val="none"/>
        </w:rPr>
      </w:pPr>
      <w:r>
        <w:rPr>
          <w:rFonts w:hint="eastAsia" w:ascii="宋体" w:hAnsi="宋体"/>
          <w:b w:val="0"/>
          <w:bCs/>
          <w:sz w:val="20"/>
          <w:szCs w:val="20"/>
          <w:highlight w:val="none"/>
        </w:rPr>
        <w:t>（1）本次交易有二个及以上意向承租方报名且成交的，承租方须缴纳按各年年租金累计额1.5%计的交易服务费；</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b w:val="0"/>
          <w:bCs/>
          <w:sz w:val="20"/>
          <w:szCs w:val="20"/>
          <w:highlight w:val="none"/>
        </w:rPr>
      </w:pPr>
      <w:r>
        <w:rPr>
          <w:rFonts w:hint="eastAsia" w:ascii="宋体" w:hAnsi="宋体"/>
          <w:b w:val="0"/>
          <w:bCs/>
          <w:sz w:val="20"/>
          <w:szCs w:val="20"/>
          <w:highlight w:val="none"/>
        </w:rPr>
        <w:t>（2）本次交易只有一位意向承租方报名且成交的，承租方须缴纳各年年租金累计额0.75%计的交易服务费。</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经纪会员的各项服务费，剩余部分作为对出租方的经济补偿金，保证金不足以补偿的，相关方有权按照实际损失继续追诉：</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（3）在被确定为承租方后未按约定签署《成交通知书》、《房屋租赁合同》的或未按约定支付交易服务费、履约保证金和首期租金的；</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Theme="minorEastAsia" w:hAnsiTheme="minorEastAsia" w:eastAsiaTheme="minorEastAsia"/>
          <w:sz w:val="20"/>
          <w:szCs w:val="20"/>
          <w:highlight w:val="none"/>
        </w:rPr>
      </w:pPr>
      <w:bookmarkStart w:id="0" w:name="_GoBack"/>
      <w:bookmarkEnd w:id="0"/>
      <w:r>
        <w:rPr>
          <w:rFonts w:hint="eastAsia" w:asciiTheme="minorEastAsia" w:hAnsiTheme="minorEastAsia" w:eastAsiaTheme="minorEastAsia"/>
          <w:sz w:val="20"/>
          <w:szCs w:val="20"/>
          <w:highlight w:val="none"/>
        </w:rPr>
        <w:t>（5）存在其他违反交易规则情形的。</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sz w:val="20"/>
          <w:szCs w:val="20"/>
          <w:highlight w:val="none"/>
        </w:rPr>
      </w:pPr>
    </w:p>
    <w:p>
      <w:pPr>
        <w:keepNext w:val="0"/>
        <w:keepLines w:val="0"/>
        <w:pageBreakBefore w:val="0"/>
        <w:kinsoku/>
        <w:wordWrap/>
        <w:overflowPunct/>
        <w:topLinePunct w:val="0"/>
        <w:autoSpaceDE/>
        <w:autoSpaceDN/>
        <w:bidi w:val="0"/>
        <w:adjustRightInd/>
        <w:snapToGrid/>
        <w:spacing w:line="400" w:lineRule="exac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pPr>
        <w:keepNext w:val="0"/>
        <w:keepLines w:val="0"/>
        <w:pageBreakBefore w:val="0"/>
        <w:kinsoku/>
        <w:wordWrap/>
        <w:overflowPunct/>
        <w:topLinePunct w:val="0"/>
        <w:autoSpaceDE/>
        <w:autoSpaceDN/>
        <w:bidi w:val="0"/>
        <w:adjustRightInd/>
        <w:snapToGrid/>
        <w:spacing w:line="400" w:lineRule="exact"/>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9E044AB"/>
    <w:rsid w:val="3B103714"/>
    <w:rsid w:val="3B6738AB"/>
    <w:rsid w:val="3EBA141C"/>
    <w:rsid w:val="3F583597"/>
    <w:rsid w:val="3FEF5B27"/>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627A2493"/>
    <w:rsid w:val="63C12C87"/>
    <w:rsid w:val="64BF4C96"/>
    <w:rsid w:val="659F7A99"/>
    <w:rsid w:val="67AE650B"/>
    <w:rsid w:val="6B7C4F72"/>
    <w:rsid w:val="6BBC636F"/>
    <w:rsid w:val="6C8A5B48"/>
    <w:rsid w:val="6DCC02D7"/>
    <w:rsid w:val="6EF7C10C"/>
    <w:rsid w:val="6F77EB57"/>
    <w:rsid w:val="6FEB24FF"/>
    <w:rsid w:val="714C77AC"/>
    <w:rsid w:val="71D57417"/>
    <w:rsid w:val="71D777AF"/>
    <w:rsid w:val="779041CA"/>
    <w:rsid w:val="795E558F"/>
    <w:rsid w:val="7BF1A80A"/>
    <w:rsid w:val="7BF7E7D6"/>
    <w:rsid w:val="7BFF031C"/>
    <w:rsid w:val="7DAD8DA0"/>
    <w:rsid w:val="7FB72E77"/>
    <w:rsid w:val="7FBDD061"/>
    <w:rsid w:val="7FFE13C5"/>
    <w:rsid w:val="95FFF3FC"/>
    <w:rsid w:val="9EFE4B51"/>
    <w:rsid w:val="A7AC8918"/>
    <w:rsid w:val="ABCFA43F"/>
    <w:rsid w:val="B7BFCC69"/>
    <w:rsid w:val="BBFF7D8A"/>
    <w:rsid w:val="BDF7692C"/>
    <w:rsid w:val="DFFB05E1"/>
    <w:rsid w:val="F4EF488A"/>
    <w:rsid w:val="F7FD6DEF"/>
    <w:rsid w:val="FBBF6243"/>
    <w:rsid w:val="FBCE655F"/>
    <w:rsid w:val="FBFFF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ormalIndent"/>
    <w:basedOn w:val="1"/>
    <w:qFormat/>
    <w:uiPriority w:val="0"/>
    <w:pPr>
      <w:ind w:firstLine="420"/>
    </w:pPr>
    <w:rPr>
      <w:rFonts w:ascii="Calibri" w:hAnsi="Calibri"/>
      <w:szCs w:val="22"/>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1934</Words>
  <Characters>1938</Characters>
  <Lines>8</Lines>
  <Paragraphs>2</Paragraphs>
  <TotalTime>3</TotalTime>
  <ScaleCrop>false</ScaleCrop>
  <LinksUpToDate>false</LinksUpToDate>
  <CharactersWithSpaces>2046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2020-04-17T17:14:00Z</dcterms:created>
  <dc:creator>zxy</dc:creator>
  <cp:lastModifiedBy>王际超</cp:lastModifiedBy>
  <dcterms:modified xsi:type="dcterms:W3CDTF">2026-09-04T04:40:30Z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