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lang w:val="en-US" w:eastAsia="zh-CN"/>
        </w:rPr>
        <w:t xml:space="preserve"> </w:t>
      </w:r>
      <w:r>
        <w:rPr>
          <w:rFonts w:hint="eastAsia" w:ascii="黑体" w:hAnsi="黑体" w:eastAsia="黑体"/>
          <w:b/>
          <w:sz w:val="36"/>
          <w:szCs w:val="36"/>
        </w:rPr>
        <w:t>承诺函</w:t>
      </w:r>
    </w:p>
    <w:p>
      <w:pPr>
        <w:spacing w:line="360" w:lineRule="auto"/>
        <w:rPr>
          <w:rFonts w:hint="eastAsia"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杭州企业产权交易中心有限公司</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u w:val="single"/>
          <w:lang w:eastAsia="zh-CN"/>
        </w:rPr>
        <w:t>杭州市上城区景昙路279号-287号（单号）天苑商城房屋10年租赁权</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asciiTheme="minorEastAsia" w:hAnsiTheme="minorEastAsia" w:eastAsiaTheme="minorEastAsia"/>
          <w:szCs w:val="21"/>
        </w:rPr>
        <w:t>方已</w:t>
      </w:r>
      <w:r>
        <w:rPr>
          <w:rFonts w:hint="eastAsia" w:asciiTheme="minorEastAsia" w:hAnsiTheme="minorEastAsia" w:eastAsiaTheme="minorEastAsia"/>
          <w:szCs w:val="21"/>
        </w:rPr>
        <w:t>认真阅读、知悉并</w:t>
      </w:r>
      <w:r>
        <w:rPr>
          <w:rFonts w:asciiTheme="minorEastAsia" w:hAnsiTheme="minorEastAsia" w:eastAsiaTheme="minorEastAsia"/>
          <w:szCs w:val="21"/>
        </w:rPr>
        <w:t>自愿遵守</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asciiTheme="minorEastAsia" w:hAnsiTheme="minorEastAsia" w:eastAsiaTheme="minorEastAsia"/>
          <w:szCs w:val="21"/>
        </w:rPr>
        <w:t>等文件的规定，同意按照相关规定参加</w:t>
      </w:r>
      <w:r>
        <w:rPr>
          <w:rFonts w:hint="eastAsia" w:asciiTheme="minorEastAsia" w:hAnsiTheme="minorEastAsia" w:eastAsiaTheme="minorEastAsia"/>
          <w:szCs w:val="21"/>
        </w:rPr>
        <w:t>本项目竞价</w:t>
      </w:r>
      <w:r>
        <w:rPr>
          <w:rFonts w:asciiTheme="minorEastAsia" w:hAnsiTheme="minorEastAsia" w:eastAsia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 w:val="21"/>
          <w:szCs w:val="21"/>
          <w:highlight w:val="none"/>
        </w:rPr>
        <w:t>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eastAsia="宋体" w:asciiTheme="minorEastAsia" w:hAnsiTheme="minorEastAsia"/>
          <w:szCs w:val="21"/>
          <w:lang w:eastAsia="zh-CN"/>
        </w:rPr>
      </w:pPr>
      <w:r>
        <w:rPr>
          <w:rFonts w:hint="eastAsia" w:asciiTheme="minorEastAsia" w:hAnsiTheme="minorEastAsia" w:eastAsiaTheme="minorEastAsia"/>
          <w:szCs w:val="21"/>
        </w:rPr>
        <w:t>3、</w:t>
      </w:r>
      <w:r>
        <w:rPr>
          <w:rFonts w:hint="eastAsia" w:ascii="宋体" w:hAnsi="宋体" w:eastAsia="宋体" w:cs="宋体"/>
          <w:color w:val="auto"/>
          <w:szCs w:val="21"/>
          <w:highlight w:val="none"/>
          <w:u w:val="none"/>
        </w:rPr>
        <w:t>同意在被确定为承租方之日起3个工作日内，携带报名时上传的主体资格证明等相关文件原件至杭交所完成现场确认和签署《成交通知书》、《房屋租赁合同》及其附件；</w:t>
      </w:r>
      <w:r>
        <w:rPr>
          <w:rFonts w:hint="eastAsia" w:ascii="宋体" w:hAnsi="宋体" w:eastAsia="宋体" w:cs="宋体"/>
          <w:color w:val="auto"/>
          <w:szCs w:val="21"/>
          <w:highlight w:val="none"/>
          <w:u w:val="none"/>
          <w:lang w:val="en-US" w:eastAsia="zh-CN"/>
        </w:rPr>
        <w:t>并在《房屋租赁合同》签署</w:t>
      </w:r>
      <w:r>
        <w:rPr>
          <w:rFonts w:hint="eastAsia" w:ascii="宋体" w:hAnsi="宋体" w:eastAsia="宋体" w:cs="宋体"/>
          <w:color w:val="auto"/>
          <w:szCs w:val="21"/>
          <w:highlight w:val="none"/>
          <w:u w:val="none"/>
        </w:rPr>
        <w:t>之日起</w:t>
      </w:r>
      <w:r>
        <w:rPr>
          <w:rFonts w:hint="eastAsia" w:ascii="宋体" w:hAnsi="宋体" w:eastAsia="宋体" w:cs="宋体"/>
          <w:color w:val="auto"/>
          <w:szCs w:val="21"/>
          <w:highlight w:val="none"/>
          <w:u w:val="none"/>
          <w:lang w:val="en-US" w:eastAsia="zh-CN"/>
        </w:rPr>
        <w:t>5</w:t>
      </w:r>
      <w:r>
        <w:rPr>
          <w:rFonts w:hint="eastAsia" w:ascii="宋体" w:hAnsi="宋体" w:eastAsia="宋体" w:cs="宋体"/>
          <w:color w:val="auto"/>
          <w:szCs w:val="21"/>
          <w:highlight w:val="none"/>
          <w:u w:val="none"/>
        </w:rPr>
        <w:t>个工作日内向杭交所指定账户一次性支付首期租金、交易服务费和履约保证金等交易资金（</w:t>
      </w:r>
      <w:r>
        <w:rPr>
          <w:rFonts w:hint="eastAsia" w:ascii="宋体" w:hAnsi="宋体" w:eastAsia="宋体" w:cs="宋体"/>
          <w:color w:val="auto"/>
          <w:szCs w:val="21"/>
          <w:highlight w:val="none"/>
          <w:u w:val="none"/>
          <w:lang w:val="en-US" w:eastAsia="zh-CN"/>
        </w:rPr>
        <w:t>以</w:t>
      </w:r>
      <w:r>
        <w:rPr>
          <w:rFonts w:hint="eastAsia" w:ascii="宋体" w:hAnsi="宋体" w:eastAsia="宋体" w:cs="宋体"/>
          <w:color w:val="auto"/>
          <w:szCs w:val="21"/>
          <w:highlight w:val="none"/>
          <w:u w:val="none"/>
        </w:rPr>
        <w:t>到账</w:t>
      </w:r>
      <w:r>
        <w:rPr>
          <w:rFonts w:hint="eastAsia" w:ascii="宋体" w:hAnsi="宋体" w:eastAsia="宋体" w:cs="宋体"/>
          <w:color w:val="auto"/>
          <w:szCs w:val="21"/>
          <w:highlight w:val="none"/>
          <w:u w:val="none"/>
          <w:lang w:val="en-US" w:eastAsia="zh-CN"/>
        </w:rPr>
        <w:t>时间</w:t>
      </w:r>
      <w:r>
        <w:rPr>
          <w:rFonts w:hint="eastAsia" w:ascii="宋体" w:hAnsi="宋体" w:eastAsia="宋体" w:cs="宋体"/>
          <w:color w:val="auto"/>
          <w:szCs w:val="21"/>
          <w:highlight w:val="none"/>
          <w:u w:val="none"/>
        </w:rPr>
        <w:t>为准）</w:t>
      </w:r>
      <w:r>
        <w:rPr>
          <w:rFonts w:hint="eastAsia" w:ascii="宋体" w:hAnsi="宋体" w:eastAsia="宋体" w:cs="宋体"/>
          <w:szCs w:val="21"/>
          <w:highlight w:val="none"/>
        </w:rPr>
        <w:t>。</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4、</w:t>
      </w:r>
      <w:r>
        <w:rPr>
          <w:rFonts w:hint="eastAsia" w:ascii="宋体" w:hAnsi="宋体" w:eastAsia="宋体" w:cs="宋体"/>
          <w:szCs w:val="21"/>
          <w:highlight w:val="none"/>
        </w:rPr>
        <w:t>同意杭交所在经出租方申请之日起3个工作日内将承租方已交纳的履约保证金、首期租金划转至出租方指定账户。</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5、我方已知悉并同意：</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交易标的成交后，承租方未按要求完成现场确认并拒绝签署《房屋租赁合同》及其附件的或承租方不按约定支付交易资金而解除《房屋租赁合同》及其附件等情况时，承租方已付的款项不予返还。出租方拟对该交易标的重新交易时，该违约的承租方及其关联方（与该承租方有关联的股东、董事、监事、高级管理人员等）不得参与承租。</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）已知悉并同意：《房屋租赁合同》签署时，承租方应自行与现场物业管理公司（杭州怡苑物产集团有限公司）签署物业管理协议并缴纳物业管理费。</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租赁房屋所属地块不动产权证证载权利性质为出让/市场化商品房，用途为商服用地/非住宅。出租方对于租赁业态的要求仅系按照整体经营目标设定，不构成出租方对于满足该业态的任何实质或预期承诺。意向承租方须在承租前自行对租赁房屋进行全面了解，并对营业所需的各项审批条件和规定进行充分自核。意向承租方参与竞租的行为将被认为已作充分的预判和决策，无论因何种原因导致不能获得营业开设审批（包括但不限于房屋规划用途和房屋既有结构、设计等因素），或后续因为政策变化导致无法继续开设的各项经营风险，意向承租方承诺独立承担，出租方不对合同无法履行、投入成本、装修损失、经营预期收益等承担任何形式的赔偿或补偿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已知悉并同意：出租方保证租赁房屋产权无争议，但可提供的租赁房屋的权属资料仅限于不动产权证浙（2023）杭州市不动产权第0044828号、浙（2023）杭州市不动产权第0044931号、浙（2023）杭州市不动产权第0045039号等175个产权证号（详见《不动产登记清单》）（具体详见房屋租赁合同附件）。意向承租方应对房屋权属性质、用途和权属资料可能对后续经营开展、获取审批许可等可能的不利影响作充分了解和预判，包括不能获得既定开设审批、无法办理租赁备案证、无法作为工商登记地址等风险在内。</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已知悉并同意：本次标的涉及房屋以实际交付时的现状为准。出租方房屋原为毛坯状态，现场现有可见租赁房屋的装修及设施设备部分不属于出租方投入，存在交付前因实际使用人/投入人对装修及设施设备进行拆除或破坏的可能，故租赁房屋装修及设备设施不以目前展示现状为准，租赁房屋移交时不保证装修、装饰物及设备设施的完好。意向承租方可向出租方索要项目图纸以了解房屋装修前的原始状态。且意向承租方知悉并认可，无论交付时的现状如何，对房屋交付时可能存在的除主体结构之外的质量问题和使用瑕疵、现有已有设施设备可能存在的质量问题和使用瑕疵所需的成本投入和周期均已考虑进招租底价，出租方不再安排修复或作其他投入。意向承租方应在竞租之前，自行至该房屋进行充分的踏勘与了解，并结合出租方的披露信息进行相关评估考虑。出租方对房屋的介绍与评价均为参考意见，不构成担保性约束。</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已知悉并同意：如本次标的涉及房屋及所属土地因社会公共利益或城市建设需要被政府依法征收的或出租方重新规划用途须提前收回该处房屋（部分房屋）的，承租方须在通知之日起三个月内无条件退还该房屋，租金按实结算。</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已知悉并同意：房屋租赁相关的双方权利义务将以出租方提供的《房屋租赁合同》、《物业安全管理协议》为准。意向承租方应在报名前详细阅读《房屋租赁合同》、《物业安全管理协议》样本所载条款，并确认对条款内容已全面理解无误。</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已知悉并同意：意向承租方参与竞租的行为将被视为已经全面阅读并准确理解全部竞租文件，已认真充分踏勘、了解该房屋现状、设施及房屋环境等现状信息，对有关经营风险也已作出应有的充分预判和决策，且愿意接受《房屋租赁合同》、《物业安全管理协议》的全部条款约束，承诺履行有关承租方义务，并承担风险和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已知悉并同意：租金中不包含任何租赁过程中可能产生的使用费用，包括物业费、水费、电费、电话费、网络费等常规发生的使用费用，也不包括将来可能发生的政府有关部门征收的、与使用该房屋有关的税、费等。该等使用费用均将由承租方自行承担。</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0</w:t>
      </w:r>
      <w:r>
        <w:rPr>
          <w:rFonts w:hint="eastAsia" w:asciiTheme="minorEastAsia" w:hAnsiTheme="minorEastAsia" w:eastAsiaTheme="minorEastAsia"/>
          <w:szCs w:val="21"/>
        </w:rPr>
        <w:t>）已知悉并同意：若承租方未按照招租公告明确的期限足额支付首期租金、履约保证金的，则视为根本性违约。出租方有权单方面解除合同，另行招租。承租方已向杭交所交纳的交易保证金不予退还。</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w:t>
      </w:r>
      <w:r>
        <w:rPr>
          <w:rFonts w:hint="eastAsia" w:ascii="宋体" w:hAnsi="宋体" w:eastAsia="宋体" w:cs="宋体"/>
          <w:color w:val="auto"/>
          <w:szCs w:val="21"/>
          <w:highlight w:val="none"/>
          <w:u w:val="none"/>
          <w:lang w:val="en-US" w:eastAsia="zh-CN"/>
        </w:rPr>
        <w:t>出租方同意首次转租，禁止二次转租。</w:t>
      </w:r>
      <w:r>
        <w:rPr>
          <w:rFonts w:hint="eastAsia" w:ascii="宋体" w:hAnsi="宋体" w:eastAsia="宋体" w:cs="宋体"/>
          <w:color w:val="auto"/>
          <w:szCs w:val="21"/>
          <w:highlight w:val="none"/>
          <w:u w:val="none"/>
          <w:lang w:eastAsia="zh-CN"/>
        </w:rPr>
        <w:t>具体要求详见《房屋租赁合同》相关约定。</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 xml:space="preserve">）地上配套用房172.99平方米（含物业管理办公用房149.11㎡、封闭空间23.88㎡）、地下夹层3686平方米(无权证)，不在本次计租租赁面积内，承租方使用时应切实做好安全保障工作，严格执行消防安全规范管理的有关规定。租赁期限内，若因相关监管部门要求，需要整改或拆除的，承租方承诺配合相关部门完成整改要求，自行承担相关整改费用，不因此向出租方追究任何责任或要求出租方承担相关费用。 </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w:t>
      </w:r>
      <w:r>
        <w:rPr>
          <w:rFonts w:hint="eastAsia" w:ascii="宋体" w:hAnsi="宋体" w:eastAsia="宋体" w:cs="宋体"/>
          <w:color w:val="auto"/>
          <w:sz w:val="21"/>
          <w:szCs w:val="21"/>
          <w:highlight w:val="none"/>
        </w:rPr>
        <w:t>地下夹层部分空间、地上配套用房未在本次计租面积中，但作为配套用房供</w:t>
      </w:r>
      <w:r>
        <w:rPr>
          <w:rFonts w:hint="eastAsia" w:ascii="宋体" w:hAnsi="宋体" w:eastAsia="宋体" w:cs="宋体"/>
          <w:color w:val="auto"/>
          <w:sz w:val="21"/>
          <w:szCs w:val="21"/>
          <w:highlight w:val="none"/>
          <w:lang w:eastAsia="zh-CN"/>
        </w:rPr>
        <w:t>承租方</w:t>
      </w:r>
      <w:r>
        <w:rPr>
          <w:rFonts w:hint="eastAsia" w:ascii="宋体" w:hAnsi="宋体" w:eastAsia="宋体" w:cs="宋体"/>
          <w:color w:val="auto"/>
          <w:sz w:val="21"/>
          <w:szCs w:val="21"/>
          <w:highlight w:val="none"/>
        </w:rPr>
        <w:t>按原设计用途进行合规使用。</w:t>
      </w:r>
      <w:r>
        <w:rPr>
          <w:rFonts w:hint="eastAsia" w:ascii="宋体" w:hAnsi="宋体" w:eastAsia="宋体" w:cs="宋体"/>
          <w:color w:val="auto"/>
          <w:sz w:val="21"/>
          <w:szCs w:val="21"/>
          <w:highlight w:val="none"/>
          <w:lang w:eastAsia="zh-CN"/>
        </w:rPr>
        <w:t>承租方</w:t>
      </w:r>
      <w:r>
        <w:rPr>
          <w:rFonts w:hint="eastAsia" w:ascii="宋体" w:hAnsi="宋体" w:eastAsia="宋体" w:cs="宋体"/>
          <w:color w:val="auto"/>
          <w:sz w:val="21"/>
          <w:szCs w:val="21"/>
          <w:highlight w:val="none"/>
        </w:rPr>
        <w:t>接收租赁标的后，应确保上述空间和建筑的用途和使用合法合规，由此产生的改造等一切成本由</w:t>
      </w:r>
      <w:r>
        <w:rPr>
          <w:rFonts w:hint="eastAsia" w:ascii="宋体" w:hAnsi="宋体" w:eastAsia="宋体" w:cs="宋体"/>
          <w:color w:val="auto"/>
          <w:sz w:val="21"/>
          <w:szCs w:val="21"/>
          <w:highlight w:val="none"/>
          <w:lang w:eastAsia="zh-CN"/>
        </w:rPr>
        <w:t>承租方</w:t>
      </w:r>
      <w:r>
        <w:rPr>
          <w:rFonts w:hint="eastAsia" w:ascii="宋体" w:hAnsi="宋体" w:eastAsia="宋体" w:cs="宋体"/>
          <w:color w:val="auto"/>
          <w:sz w:val="21"/>
          <w:szCs w:val="21"/>
          <w:highlight w:val="none"/>
        </w:rPr>
        <w:t>承担。</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）本次出租标的范围不包含该物业内的三角地带（现物流使用场地）、地面及地下停车位，该部分资产出租方已另行出租给其他第三方，不属于房屋租赁合同项下交付承租方使用的租赁标的。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承租方后续若对上述三角地带、停车位有使用需求，可自行向对应承租方协商，出租方可在合法合规前提下予以协助协调；但出租方不对最终协调结果、承租方能否实际取得该部分区域的使用权作出任何明示或默示保证，协调不成的不视为出租方违约，承租方不得以此为由向出租方主张任何赔偿或减免租金的权利。承租方确需使用该部分区域的，须在出租方协调成功后，与出租方或对应权利人另行签署独立的租赁合同，具体权利义务以另行签署的书面协议为准。</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）承租方明确了解租赁房屋存在部分面积被现存商户占用，并在报价和确认合同价款时予以了充分的考虑，承租方不得以现存租户占用问题及相关理由再行向出租方提出减少租金、补偿等任何主张。</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租赁房屋范围内现有未空置房屋199余处（具体详见出租方提供的《出租场地占用情况明细表》，该清单明细仅供参考），涉及本次拟租赁范围的面积合计约17467.11平方米（其中包含地上商业5814.97平方米、地上办公9123.39平方米、地下商业 1067.5平方米、地下夹层1461.25平方米。现存商户情况随时间变化，具体以交付当日现场情况为准）。本次按现状整体出租资产，自新租赁合同起租日起，对现商户后续处理由承租方自行负责，相关安全维稳及消防整改责任、合规经营责任由承租方承担。出租方、杭交所及其经纪会员等不承担任何相关责任，所有风险由承租方评估和承担。</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）本次出租标的中部分在租商户存在租金拖欠情况，房屋租赁合同签订后，出租方提供欠缴费用清单，由承租方负责在起租日起六个月内完成催缴和收回，并转交出租方。</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17</w:t>
      </w:r>
      <w:r>
        <w:rPr>
          <w:rFonts w:hint="eastAsia" w:asciiTheme="minorEastAsia" w:hAnsiTheme="minorEastAsia" w:eastAsiaTheme="minorEastAsia"/>
          <w:szCs w:val="21"/>
        </w:rPr>
        <w:t>）承租方已完成对租赁标的的现场全面核验，完全知晓项目全部现状，明确知悉项目内仍有部分现有商户处于正常租赁或使用状态，且该部分商户已向出租方或原出租方缴纳了对应时段的房屋租金。</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承租方对上述全部情况已充分知悉并自愿认可，承诺不就该等商户已支付、应付未付的租金及相关费用，向出租方主张任何返还、抵扣或补偿权利。房屋租赁合同生效后，现有商户的清退、原租赁合同平移、经营秩序维稳等全部后续工作均由承租方全权负责组织实施，由此产生的全部成本，包括但不限于解约违约金、商户损害赔偿金、维稳处置费用等，均由承租方自行承担，出租方不承担任何直接或间接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cs="Times New Roman"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承租方须承诺以下事项：①未被责令停业或破产状态；②财产未被重组、接管、查封、扣押或冻结；③最近三年在经营活动中未出现违法、违纪、违规以及不良信誉记录；④在生产经营活动中未出现重大安全责任事故。</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cs="Times New Roman" w:asciiTheme="minorEastAsia" w:hAnsiTheme="minorEastAsia" w:eastAsiaTheme="minorEastAsia"/>
          <w:szCs w:val="21"/>
          <w:lang w:eastAsia="zh-CN"/>
        </w:rPr>
      </w:pPr>
      <w:r>
        <w:rPr>
          <w:rFonts w:hint="eastAsia" w:cs="Times New Roman" w:asciiTheme="minorEastAsia" w:hAnsiTheme="minorEastAsia" w:eastAsiaTheme="minorEastAsia"/>
          <w:szCs w:val="21"/>
        </w:rPr>
        <w:t>6、我方同意交纳</w:t>
      </w:r>
      <w:r>
        <w:rPr>
          <w:rFonts w:hint="eastAsia" w:cs="Times New Roman" w:asciiTheme="minorEastAsia" w:hAnsiTheme="minorEastAsia" w:eastAsiaTheme="minorEastAsia"/>
          <w:b/>
          <w:bCs/>
          <w:szCs w:val="21"/>
          <w:lang w:eastAsia="zh-CN"/>
        </w:rPr>
        <w:t>按首年半个月租金计取的交易服务费，交易服务费99万元封顶。</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cs="Times New Roman" w:asciiTheme="minorEastAsia" w:hAnsiTheme="minorEastAsia" w:eastAsiaTheme="minorEastAsia"/>
          <w:szCs w:val="21"/>
          <w:lang w:val="en-US" w:eastAsia="zh-CN"/>
        </w:rPr>
        <w:t>7</w:t>
      </w:r>
      <w:r>
        <w:rPr>
          <w:rFonts w:hint="eastAsia" w:cs="Times New Roman" w:asciiTheme="minorEastAsia" w:hAnsiTheme="minorEastAsia" w:eastAsiaTheme="minorEastAsia"/>
          <w:szCs w:val="21"/>
        </w:rPr>
        <w:t>、若非出租方原因，出现以下任一情况时，意向承租方交纳的保证金不予退还，先用于补偿杭交所</w:t>
      </w:r>
      <w:r>
        <w:rPr>
          <w:rFonts w:hint="eastAsia" w:cs="Times New Roman" w:asciiTheme="minorEastAsia" w:hAnsiTheme="minorEastAsia" w:eastAsiaTheme="minorEastAsia"/>
          <w:szCs w:val="21"/>
          <w:lang w:eastAsia="zh-CN"/>
        </w:rPr>
        <w:t>、</w:t>
      </w:r>
      <w:r>
        <w:rPr>
          <w:rFonts w:hint="eastAsia" w:cs="Times New Roman" w:asciiTheme="minorEastAsia" w:hAnsiTheme="minorEastAsia" w:eastAsiaTheme="minorEastAsia"/>
          <w:szCs w:val="21"/>
          <w:lang w:val="en-US" w:eastAsia="zh-CN"/>
        </w:rPr>
        <w:t>经纪会员</w:t>
      </w:r>
      <w:r>
        <w:rPr>
          <w:rFonts w:hint="eastAsia" w:cs="Times New Roman" w:asciiTheme="minorEastAsia" w:hAnsiTheme="minorEastAsia" w:eastAsiaTheme="minorEastAsia"/>
          <w:szCs w:val="21"/>
        </w:rPr>
        <w:t>的各项服务费，剩余部分作为对出租方的经济补偿</w:t>
      </w:r>
      <w:bookmarkStart w:id="0" w:name="_GoBack"/>
      <w:bookmarkEnd w:id="0"/>
      <w:r>
        <w:rPr>
          <w:rFonts w:hint="eastAsia" w:cs="Times New Roman" w:asciiTheme="minorEastAsia" w:hAnsiTheme="minorEastAsia" w:eastAsiaTheme="minorEastAsia"/>
          <w:szCs w:val="21"/>
        </w:rPr>
        <w:t>金，保</w:t>
      </w:r>
      <w:r>
        <w:rPr>
          <w:rFonts w:hint="eastAsia" w:asciiTheme="minorEastAsia" w:hAnsiTheme="minorEastAsia" w:eastAsiaTheme="minorEastAsia"/>
          <w:szCs w:val="21"/>
        </w:rPr>
        <w:t>证金不足以补偿的，相关方有权按照实际损失继续追诉：</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w:t>
      </w:r>
      <w:r>
        <w:rPr>
          <w:rFonts w:hint="eastAsia" w:asciiTheme="minorEastAsia" w:hAnsiTheme="minorEastAsia" w:eastAsiaTheme="minorEastAsia"/>
          <w:szCs w:val="21"/>
          <w:lang w:val="en-US" w:eastAsia="zh-CN"/>
        </w:rPr>
        <w:t>房屋</w:t>
      </w:r>
      <w:r>
        <w:rPr>
          <w:rFonts w:hint="eastAsia" w:asciiTheme="minorEastAsia" w:hAnsiTheme="minorEastAsia" w:eastAsiaTheme="minorEastAsia"/>
          <w:szCs w:val="21"/>
        </w:rPr>
        <w:t>租赁合同》的或未按约定支付</w:t>
      </w:r>
      <w:r>
        <w:rPr>
          <w:rFonts w:hint="eastAsia" w:ascii="宋体" w:hAnsi="宋体" w:eastAsia="宋体" w:cs="Times New Roman"/>
          <w:sz w:val="21"/>
          <w:szCs w:val="21"/>
        </w:rPr>
        <w:t>首期租金、履约保证金和交易服务费</w:t>
      </w:r>
      <w:r>
        <w:rPr>
          <w:rFonts w:hint="eastAsia" w:asciiTheme="minorEastAsia" w:hAnsiTheme="minorEastAsia" w:eastAsiaTheme="minorEastAsia"/>
          <w:szCs w:val="21"/>
        </w:rPr>
        <w:t>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意向</w:t>
      </w:r>
      <w:r>
        <w:rPr>
          <w:rFonts w:hint="eastAsia" w:asciiTheme="minorEastAsia" w:hAnsiTheme="minorEastAsia" w:eastAsiaTheme="minorEastAsia"/>
          <w:szCs w:val="21"/>
          <w:lang w:eastAsia="zh-CN"/>
        </w:rPr>
        <w:t>承租</w:t>
      </w:r>
      <w:r>
        <w:rPr>
          <w:rFonts w:asciiTheme="minorEastAsia" w:hAnsiTheme="minorEastAsia" w:eastAsiaTheme="minorEastAsia"/>
          <w:szCs w:val="21"/>
        </w:rPr>
        <w:t>方未履行书面承诺事项的；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rPr>
        <w:t>方（签章）：</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143D8A"/>
    <w:rsid w:val="0020310B"/>
    <w:rsid w:val="002278BB"/>
    <w:rsid w:val="002526A0"/>
    <w:rsid w:val="00255411"/>
    <w:rsid w:val="00274544"/>
    <w:rsid w:val="003229C2"/>
    <w:rsid w:val="003A2F6F"/>
    <w:rsid w:val="003E079C"/>
    <w:rsid w:val="00413930"/>
    <w:rsid w:val="00430675"/>
    <w:rsid w:val="004C246D"/>
    <w:rsid w:val="004D1B74"/>
    <w:rsid w:val="004E1479"/>
    <w:rsid w:val="004E3107"/>
    <w:rsid w:val="004F3BEF"/>
    <w:rsid w:val="00503879"/>
    <w:rsid w:val="0055051A"/>
    <w:rsid w:val="00627BE3"/>
    <w:rsid w:val="00662215"/>
    <w:rsid w:val="00737286"/>
    <w:rsid w:val="007847DD"/>
    <w:rsid w:val="00790D21"/>
    <w:rsid w:val="007E4EDD"/>
    <w:rsid w:val="0084282E"/>
    <w:rsid w:val="00884F8A"/>
    <w:rsid w:val="008D72E8"/>
    <w:rsid w:val="00906FAC"/>
    <w:rsid w:val="00934A3A"/>
    <w:rsid w:val="0096235F"/>
    <w:rsid w:val="009733B3"/>
    <w:rsid w:val="009F646A"/>
    <w:rsid w:val="00A11F15"/>
    <w:rsid w:val="00A17388"/>
    <w:rsid w:val="00A24DD0"/>
    <w:rsid w:val="00A53E81"/>
    <w:rsid w:val="00A96775"/>
    <w:rsid w:val="00AA4243"/>
    <w:rsid w:val="00AF7180"/>
    <w:rsid w:val="00B15A11"/>
    <w:rsid w:val="00B170BB"/>
    <w:rsid w:val="00B36433"/>
    <w:rsid w:val="00B91182"/>
    <w:rsid w:val="00B923AA"/>
    <w:rsid w:val="00C02F3D"/>
    <w:rsid w:val="00C07B7D"/>
    <w:rsid w:val="00C2125E"/>
    <w:rsid w:val="00C300A5"/>
    <w:rsid w:val="00C80243"/>
    <w:rsid w:val="00C85BC7"/>
    <w:rsid w:val="00CB5B8C"/>
    <w:rsid w:val="00D5688F"/>
    <w:rsid w:val="00D56D57"/>
    <w:rsid w:val="00E00E55"/>
    <w:rsid w:val="00E60BD5"/>
    <w:rsid w:val="00ED4E9F"/>
    <w:rsid w:val="00EF62AF"/>
    <w:rsid w:val="00F06BEC"/>
    <w:rsid w:val="00F47654"/>
    <w:rsid w:val="00FA0343"/>
    <w:rsid w:val="00FA6AB7"/>
    <w:rsid w:val="015952F6"/>
    <w:rsid w:val="01796719"/>
    <w:rsid w:val="01856FB2"/>
    <w:rsid w:val="0279645F"/>
    <w:rsid w:val="02EB7464"/>
    <w:rsid w:val="03A523CA"/>
    <w:rsid w:val="03F773E7"/>
    <w:rsid w:val="04273FE8"/>
    <w:rsid w:val="04D96630"/>
    <w:rsid w:val="05474BCA"/>
    <w:rsid w:val="06403643"/>
    <w:rsid w:val="06565574"/>
    <w:rsid w:val="06A907A1"/>
    <w:rsid w:val="06FF3E8A"/>
    <w:rsid w:val="0739342F"/>
    <w:rsid w:val="09377722"/>
    <w:rsid w:val="0A514DBC"/>
    <w:rsid w:val="0BBE3E04"/>
    <w:rsid w:val="0C455BB9"/>
    <w:rsid w:val="0DF647A0"/>
    <w:rsid w:val="0F423341"/>
    <w:rsid w:val="10346095"/>
    <w:rsid w:val="10E20B40"/>
    <w:rsid w:val="11561F17"/>
    <w:rsid w:val="122D5A9B"/>
    <w:rsid w:val="158C299F"/>
    <w:rsid w:val="15B80C26"/>
    <w:rsid w:val="160062EE"/>
    <w:rsid w:val="166533E4"/>
    <w:rsid w:val="17DF339A"/>
    <w:rsid w:val="18AB29E5"/>
    <w:rsid w:val="1A4B5000"/>
    <w:rsid w:val="1A740B58"/>
    <w:rsid w:val="1AE30C41"/>
    <w:rsid w:val="1D772D50"/>
    <w:rsid w:val="1E2E20E9"/>
    <w:rsid w:val="1E570CAC"/>
    <w:rsid w:val="1E867034"/>
    <w:rsid w:val="1E9C785A"/>
    <w:rsid w:val="1EC62F0A"/>
    <w:rsid w:val="1F5F16AB"/>
    <w:rsid w:val="1FB76644"/>
    <w:rsid w:val="209558D7"/>
    <w:rsid w:val="2164102D"/>
    <w:rsid w:val="21D62F05"/>
    <w:rsid w:val="224C47AB"/>
    <w:rsid w:val="22596EC8"/>
    <w:rsid w:val="22EF036A"/>
    <w:rsid w:val="25677B0B"/>
    <w:rsid w:val="258432D6"/>
    <w:rsid w:val="25CF0E14"/>
    <w:rsid w:val="25D72BEF"/>
    <w:rsid w:val="25F1264D"/>
    <w:rsid w:val="261256F5"/>
    <w:rsid w:val="26176E7E"/>
    <w:rsid w:val="261B6EAF"/>
    <w:rsid w:val="273E55C5"/>
    <w:rsid w:val="280C6FF3"/>
    <w:rsid w:val="29831BA4"/>
    <w:rsid w:val="299B31A9"/>
    <w:rsid w:val="29A37426"/>
    <w:rsid w:val="29AC0889"/>
    <w:rsid w:val="2A7A57A9"/>
    <w:rsid w:val="2A7E3585"/>
    <w:rsid w:val="2AC97973"/>
    <w:rsid w:val="2C5B5AFF"/>
    <w:rsid w:val="2C993CF8"/>
    <w:rsid w:val="2D095E73"/>
    <w:rsid w:val="2D462264"/>
    <w:rsid w:val="2DDE0BE6"/>
    <w:rsid w:val="2EF16AF3"/>
    <w:rsid w:val="2FFC7C4A"/>
    <w:rsid w:val="30F66B22"/>
    <w:rsid w:val="31831344"/>
    <w:rsid w:val="31A85707"/>
    <w:rsid w:val="31C10B20"/>
    <w:rsid w:val="32147D6E"/>
    <w:rsid w:val="32824EDB"/>
    <w:rsid w:val="34705D86"/>
    <w:rsid w:val="34B343DA"/>
    <w:rsid w:val="37200BEA"/>
    <w:rsid w:val="37A200AC"/>
    <w:rsid w:val="380B12B2"/>
    <w:rsid w:val="383374BF"/>
    <w:rsid w:val="384E2216"/>
    <w:rsid w:val="38536508"/>
    <w:rsid w:val="38CB4108"/>
    <w:rsid w:val="38DD4350"/>
    <w:rsid w:val="38FD240B"/>
    <w:rsid w:val="39E9751C"/>
    <w:rsid w:val="3A4574B2"/>
    <w:rsid w:val="3AC218E1"/>
    <w:rsid w:val="3B2E3F4D"/>
    <w:rsid w:val="3B872449"/>
    <w:rsid w:val="3C2C0B99"/>
    <w:rsid w:val="3CB624B8"/>
    <w:rsid w:val="3D6B2F4F"/>
    <w:rsid w:val="3D8D11E6"/>
    <w:rsid w:val="3DE736C7"/>
    <w:rsid w:val="3E366EA5"/>
    <w:rsid w:val="3E9079E7"/>
    <w:rsid w:val="3F6A50BE"/>
    <w:rsid w:val="3F7A371C"/>
    <w:rsid w:val="3FBA3979"/>
    <w:rsid w:val="3FC6216C"/>
    <w:rsid w:val="3FFD00BF"/>
    <w:rsid w:val="40FE57EE"/>
    <w:rsid w:val="41266D89"/>
    <w:rsid w:val="414F26D9"/>
    <w:rsid w:val="41B06E2F"/>
    <w:rsid w:val="41BC2A00"/>
    <w:rsid w:val="41F153B0"/>
    <w:rsid w:val="4305016E"/>
    <w:rsid w:val="450A38F6"/>
    <w:rsid w:val="450C14F7"/>
    <w:rsid w:val="459A4A97"/>
    <w:rsid w:val="464723B1"/>
    <w:rsid w:val="479E5897"/>
    <w:rsid w:val="489A19EF"/>
    <w:rsid w:val="48D83DF3"/>
    <w:rsid w:val="49396F88"/>
    <w:rsid w:val="49500FA3"/>
    <w:rsid w:val="49927B74"/>
    <w:rsid w:val="4A4333A2"/>
    <w:rsid w:val="4C4308FE"/>
    <w:rsid w:val="4D801570"/>
    <w:rsid w:val="4DBA5857"/>
    <w:rsid w:val="4DD22F16"/>
    <w:rsid w:val="4F092F78"/>
    <w:rsid w:val="4F201E42"/>
    <w:rsid w:val="4F6D31A3"/>
    <w:rsid w:val="4FBC2F5F"/>
    <w:rsid w:val="52212BBB"/>
    <w:rsid w:val="53362C11"/>
    <w:rsid w:val="53CF79C0"/>
    <w:rsid w:val="54130175"/>
    <w:rsid w:val="54AC0761"/>
    <w:rsid w:val="5502046E"/>
    <w:rsid w:val="552542D2"/>
    <w:rsid w:val="57576ED8"/>
    <w:rsid w:val="576B3208"/>
    <w:rsid w:val="57E43E5E"/>
    <w:rsid w:val="580A29D8"/>
    <w:rsid w:val="58DE7C59"/>
    <w:rsid w:val="58E27BEC"/>
    <w:rsid w:val="59BB5339"/>
    <w:rsid w:val="59C553D4"/>
    <w:rsid w:val="59D25817"/>
    <w:rsid w:val="5A721786"/>
    <w:rsid w:val="5C6F1AF2"/>
    <w:rsid w:val="5D0B1ACB"/>
    <w:rsid w:val="5F263445"/>
    <w:rsid w:val="60D41C1D"/>
    <w:rsid w:val="61AF798C"/>
    <w:rsid w:val="62D637DB"/>
    <w:rsid w:val="63DB45BE"/>
    <w:rsid w:val="63F50A4F"/>
    <w:rsid w:val="65BC6383"/>
    <w:rsid w:val="669B59E7"/>
    <w:rsid w:val="67A91325"/>
    <w:rsid w:val="685936B8"/>
    <w:rsid w:val="69057392"/>
    <w:rsid w:val="69FF0330"/>
    <w:rsid w:val="6AA52327"/>
    <w:rsid w:val="6B3B2C71"/>
    <w:rsid w:val="6B5B46E4"/>
    <w:rsid w:val="6BEE766C"/>
    <w:rsid w:val="6C534AE6"/>
    <w:rsid w:val="6C7E0522"/>
    <w:rsid w:val="6D490EB5"/>
    <w:rsid w:val="6DC2291F"/>
    <w:rsid w:val="6DE029CA"/>
    <w:rsid w:val="70681F34"/>
    <w:rsid w:val="71204A9C"/>
    <w:rsid w:val="72C64894"/>
    <w:rsid w:val="744676DC"/>
    <w:rsid w:val="744E1347"/>
    <w:rsid w:val="752E7623"/>
    <w:rsid w:val="76E45562"/>
    <w:rsid w:val="76E637FE"/>
    <w:rsid w:val="77D53699"/>
    <w:rsid w:val="79944E61"/>
    <w:rsid w:val="7A40469E"/>
    <w:rsid w:val="7A54014C"/>
    <w:rsid w:val="7ADA7D76"/>
    <w:rsid w:val="7AE52BBB"/>
    <w:rsid w:val="7AFB73C0"/>
    <w:rsid w:val="7B403C14"/>
    <w:rsid w:val="7BA972A9"/>
    <w:rsid w:val="7CE3684D"/>
    <w:rsid w:val="7D1767FA"/>
    <w:rsid w:val="7E4A5FAE"/>
    <w:rsid w:val="7E5E1B1E"/>
    <w:rsid w:val="7F571B19"/>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82"/>
      <w:textAlignment w:val="baseline"/>
    </w:pPr>
    <w:rPr>
      <w:kern w:val="0"/>
      <w:sz w:val="24"/>
      <w:szCs w:val="20"/>
    </w:rPr>
  </w:style>
  <w:style w:type="paragraph" w:styleId="3">
    <w:name w:val="Body Text"/>
    <w:basedOn w:val="1"/>
    <w:next w:val="4"/>
    <w:qFormat/>
    <w:uiPriority w:val="99"/>
    <w:pPr>
      <w:spacing w:before="120" w:after="120" w:line="360" w:lineRule="auto"/>
      <w:ind w:firstLine="800" w:firstLineChars="200"/>
    </w:pPr>
    <w:rPr>
      <w:rFonts w:ascii="宋体" w:hAnsi="宋体"/>
      <w:lang w:val="zh-CN"/>
    </w:rPr>
  </w:style>
  <w:style w:type="paragraph" w:styleId="4">
    <w:name w:val="Body Text First Indent"/>
    <w:basedOn w:val="3"/>
    <w:next w:val="1"/>
    <w:qFormat/>
    <w:uiPriority w:val="99"/>
    <w:pPr>
      <w:ind w:firstLine="420" w:firstLineChars="100"/>
    </w:pPr>
  </w:style>
  <w:style w:type="paragraph" w:styleId="5">
    <w:name w:val="Body Text Indent"/>
    <w:basedOn w:val="1"/>
    <w:qFormat/>
    <w:uiPriority w:val="0"/>
    <w:pPr>
      <w:spacing w:after="120"/>
      <w:ind w:left="420" w:leftChars="200"/>
    </w:pPr>
  </w:style>
  <w:style w:type="paragraph" w:styleId="6">
    <w:name w:val="footer"/>
    <w:basedOn w:val="1"/>
    <w:link w:val="15"/>
    <w:semiHidden/>
    <w:unhideWhenUsed/>
    <w:qFormat/>
    <w:uiPriority w:val="99"/>
    <w:pPr>
      <w:tabs>
        <w:tab w:val="center" w:pos="4153"/>
        <w:tab w:val="right" w:pos="8306"/>
      </w:tabs>
      <w:snapToGrid w:val="0"/>
      <w:jc w:val="left"/>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9">
    <w:name w:val="Body Text First Indent 2"/>
    <w:basedOn w:val="5"/>
    <w:unhideWhenUsed/>
    <w:qFormat/>
    <w:uiPriority w:val="99"/>
    <w:pPr>
      <w:tabs>
        <w:tab w:val="left" w:pos="6600"/>
      </w:tabs>
      <w:spacing w:line="360" w:lineRule="auto"/>
      <w:ind w:firstLine="420" w:firstLineChars="200"/>
    </w:pPr>
    <w:rPr>
      <w:rFonts w:hint="default" w:cs="Times New Roman"/>
      <w:sz w:val="24"/>
      <w:szCs w:val="22"/>
    </w:rPr>
  </w:style>
  <w:style w:type="character" w:styleId="12">
    <w:name w:val="annotation reference"/>
    <w:unhideWhenUsed/>
    <w:qFormat/>
    <w:uiPriority w:val="99"/>
    <w:rPr>
      <w:sz w:val="21"/>
      <w:szCs w:val="21"/>
    </w:rPr>
  </w:style>
  <w:style w:type="paragraph" w:customStyle="1" w:styleId="13">
    <w:name w:val="NormalIndent"/>
    <w:basedOn w:val="1"/>
    <w:qFormat/>
    <w:uiPriority w:val="0"/>
    <w:pPr>
      <w:ind w:firstLine="420"/>
    </w:pPr>
    <w:rPr>
      <w:rFonts w:ascii="Calibri" w:hAnsi="Calibri"/>
      <w:szCs w:val="22"/>
    </w:rPr>
  </w:style>
  <w:style w:type="character" w:customStyle="1" w:styleId="14">
    <w:name w:val="页眉 Char"/>
    <w:basedOn w:val="11"/>
    <w:link w:val="7"/>
    <w:semiHidden/>
    <w:qFormat/>
    <w:uiPriority w:val="99"/>
    <w:rPr>
      <w:rFonts w:ascii="Times New Roman" w:hAnsi="Times New Roman" w:eastAsia="宋体" w:cs="Times New Roman"/>
      <w:sz w:val="18"/>
      <w:szCs w:val="18"/>
    </w:rPr>
  </w:style>
  <w:style w:type="character" w:customStyle="1" w:styleId="15">
    <w:name w:val="页脚 Char"/>
    <w:basedOn w:val="11"/>
    <w:link w:val="6"/>
    <w:semiHidden/>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 w:type="paragraph" w:customStyle="1" w:styleId="17">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1</TotalTime>
  <ScaleCrop>false</ScaleCrop>
  <LinksUpToDate>false</LinksUpToDate>
  <CharactersWithSpaces>1070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HJS-CL</cp:lastModifiedBy>
  <dcterms:modified xsi:type="dcterms:W3CDTF">2026-09-04T03:24:42Z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89F2E91492584960A2BD8545D904B2E2</vt:lpwstr>
  </property>
</Properties>
</file>