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杭州市拱墅区五一新村7幢一单元501室（原枯树湾巷37号1单元501室）房屋3年租赁权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32821C4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3965737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4A9F237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323F325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4B55C2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本次租赁房屋的交接，在出租方与承租方之间进行。承租方付清第一期租金、租赁保证金后由出租方在起租日前将租赁房屋交付给承租方。如承租方逾期付款，出租方有权延期交付，租期不顺延。</w:t>
      </w:r>
    </w:p>
    <w:p w14:paraId="12F8BC1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w:t>
      </w:r>
    </w:p>
    <w:p w14:paraId="5B3A615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本合同期限内，乙方根据居住需要，在不影响房屋结构安全和消防安全的原则下，可以对该房屋进行装修、改动，但装修、改动方案必须先经甲方书面认可，且装修、改造、修改及其它改进应报杭州市政府有关部门审批同意方可实施，相关费用由乙方承担。</w:t>
      </w:r>
    </w:p>
    <w:p w14:paraId="15EC00B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（6）租赁期间，防火安全，门前三包，综合治理及安全、保卫等工作，乙方应执行当地有关部门规定并承担全部责任、费用，服从甲方监督检查。</w:t>
      </w:r>
    </w:p>
    <w:p w14:paraId="038B65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房屋租赁合同》结束（不论基于何种原因，包括但不限于提前解除、终止或租赁期限届满），甲方有权要求乙方按下述方式交还租赁标的物：乙方自费将租赁标的物内的由其出资添置的可移动设备、用具等物品搬离租赁标的物，租赁标的物交还时的状况应当与乙方在最后一段正常居住时间时的状况一致；对于不可移动的装修装潢以及其他设施设备，如不影响甲方继续出租的，乙方自愿放弃，该部分财产无偿归甲方所有，双方均无需补偿；如影响甲方继续出租的，应甲方要求，乙方应当将房屋恢复原状，并自行承担相关费用，如乙方不按甲方要求恢复原状的，则按违约处理。</w:t>
      </w:r>
    </w:p>
    <w:p w14:paraId="1E8030C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（8）租赁期内，未经出租方书面同意，承租方不得擅自对租赁房屋进行转让、转包、转借、转租、分租（未经出租方书面认可的联营、合伙、合股、合作、承包等均视为转租）。</w:t>
      </w:r>
    </w:p>
    <w:p w14:paraId="2D1762D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（9）租赁期限内，未经出租方书面同意及有关部门批准，承租方不得擅自改变房屋用途。</w:t>
      </w:r>
    </w:p>
    <w:p w14:paraId="4784DD9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更改或拆除租赁房屋的主体结构或其任何部分或任何附属设施；不得严重损坏租赁场所内的附属设施、公共区域或公共设施，致使不能正常使用。</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bookmarkStart w:id="0" w:name="_GoBack"/>
      <w:bookmarkEnd w:id="0"/>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(1)本次交易有二个及以上意向承租方报名且成交的，承租方须缴纳按各年年租金累计额2%计的交易服务费;(2)本次交易只有一位意向承租方报名且成交的，承租方须缴纳各年年租金累计额1%计的交易服务费。</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2020-04-16T01:14:00Z</dcterms:created>
  <dc:creator>zxy</dc:creator>
  <cp:lastModifiedBy>宣佳妮</cp:lastModifiedBy>
  <dcterms:modified xsi:type="dcterms:W3CDTF">2026-08-24T13:48:43Z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