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ascii="黑体" w:hAnsi="黑体" w:eastAsia="黑体"/>
          <w:b/>
          <w:sz w:val="36"/>
          <w:szCs w:val="36"/>
        </w:rPr>
      </w:pPr>
      <w:r>
        <w:rPr>
          <w:rFonts w:hint="eastAsia" w:ascii="黑体" w:hAnsi="黑体" w:eastAsia="黑体"/>
          <w:b/>
          <w:sz w:val="36"/>
          <w:szCs w:val="36"/>
        </w:rPr>
        <w:t>承诺函</w:t>
      </w:r>
    </w:p>
    <w:p>
      <w:pPr>
        <w:keepNext w:val="0"/>
        <w:keepLines w:val="0"/>
        <w:pageBreakBefore w:val="0"/>
        <w:kinsoku/>
        <w:wordWrap/>
        <w:overflowPunct/>
        <w:topLinePunct w:val="0"/>
        <w:autoSpaceDE/>
        <w:autoSpaceDN/>
        <w:bidi w:val="0"/>
        <w:adjustRightInd/>
        <w:snapToGrid/>
        <w:spacing w:line="400" w:lineRule="exact"/>
        <w:textAlignment w:val="auto"/>
        <w:rPr>
          <w:rFonts w:asciiTheme="minorEastAsia" w:hAnsiTheme="minorEastAsia" w:eastAsiaTheme="minorEastAsia"/>
          <w:szCs w:val="21"/>
        </w:rPr>
      </w:pPr>
      <w:r>
        <w:rPr>
          <w:rFonts w:hint="eastAsia" w:asciiTheme="minorEastAsia" w:hAnsiTheme="minorEastAsia" w:eastAsiaTheme="minorEastAsia"/>
          <w:szCs w:val="21"/>
        </w:rPr>
        <w:t>杭州</w:t>
      </w:r>
      <w:r>
        <w:rPr>
          <w:rFonts w:asciiTheme="minorEastAsia" w:hAnsiTheme="minorEastAsia" w:eastAsiaTheme="minorEastAsia"/>
          <w:szCs w:val="21"/>
        </w:rPr>
        <w:t>产权交易所</w:t>
      </w:r>
      <w:r>
        <w:rPr>
          <w:rFonts w:hint="eastAsia" w:asciiTheme="minorEastAsia" w:hAnsiTheme="minorEastAsia" w:eastAsiaTheme="minorEastAsia"/>
          <w:szCs w:val="21"/>
        </w:rPr>
        <w:t>有限责任公司</w:t>
      </w:r>
      <w:r>
        <w:rPr>
          <w:rFonts w:asciiTheme="minorEastAsia" w:hAnsiTheme="minorEastAsia" w:eastAsiaTheme="minorEastAsia"/>
          <w:szCs w:val="21"/>
        </w:rPr>
        <w:t>：</w:t>
      </w:r>
    </w:p>
    <w:p>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asciiTheme="minorEastAsia" w:hAnsiTheme="minorEastAsia" w:eastAsiaTheme="minorEastAsia"/>
          <w:szCs w:val="21"/>
        </w:rPr>
      </w:pPr>
      <w:bookmarkStart w:id="1" w:name="_GoBack"/>
      <w:bookmarkEnd w:id="1"/>
      <w:r>
        <w:rPr>
          <w:rFonts w:hint="eastAsia" w:asciiTheme="minorEastAsia" w:hAnsiTheme="minorEastAsia" w:eastAsiaTheme="minorEastAsia"/>
          <w:szCs w:val="21"/>
        </w:rPr>
        <w:t>我方拟</w:t>
      </w:r>
      <w:r>
        <w:rPr>
          <w:rFonts w:hint="eastAsia" w:asciiTheme="minorEastAsia" w:hAnsiTheme="minorEastAsia" w:eastAsiaTheme="minorEastAsia"/>
          <w:szCs w:val="21"/>
          <w:lang w:val="en-US" w:eastAsia="zh-CN"/>
        </w:rPr>
        <w:t>承租余杭市瓶窑镇圣塘村（现杭州市余杭区瓶窑镇西安寺村低田畈63号）原猪舍用房5年租赁权项目</w:t>
      </w:r>
      <w:r>
        <w:rPr>
          <w:rFonts w:hint="eastAsia" w:asciiTheme="minorEastAsia" w:hAnsiTheme="minorEastAsia" w:eastAsiaTheme="minorEastAsia"/>
          <w:szCs w:val="21"/>
        </w:rPr>
        <w:t>，现做</w:t>
      </w:r>
      <w:r>
        <w:rPr>
          <w:rFonts w:asciiTheme="minorEastAsia" w:hAnsiTheme="minorEastAsia" w:eastAsiaTheme="minorEastAsia"/>
          <w:szCs w:val="21"/>
        </w:rPr>
        <w:t>如下承诺：</w:t>
      </w:r>
    </w:p>
    <w:p>
      <w:pPr>
        <w:keepNext w:val="0"/>
        <w:keepLines w:val="0"/>
        <w:pageBreakBefore w:val="0"/>
        <w:kinsoku/>
        <w:wordWrap/>
        <w:overflowPunct/>
        <w:topLinePunct w:val="0"/>
        <w:autoSpaceDE/>
        <w:autoSpaceDN/>
        <w:bidi w:val="0"/>
        <w:adjustRightInd/>
        <w:snapToGrid/>
        <w:spacing w:line="360" w:lineRule="exact"/>
        <w:ind w:firstLine="420" w:firstLineChars="200"/>
        <w:textAlignment w:val="auto"/>
        <w:rPr>
          <w:rFonts w:asciiTheme="minorEastAsia" w:hAnsiTheme="minorEastAsia" w:eastAsiaTheme="minorEastAsia"/>
          <w:szCs w:val="21"/>
        </w:rPr>
      </w:pPr>
      <w:r>
        <w:rPr>
          <w:rFonts w:hint="eastAsia" w:asciiTheme="minorEastAsia" w:hAnsiTheme="minorEastAsia" w:eastAsiaTheme="minorEastAsia"/>
          <w:szCs w:val="21"/>
        </w:rPr>
        <w:t>1、我</w:t>
      </w:r>
      <w:r>
        <w:rPr>
          <w:rFonts w:eastAsia="宋体" w:cs="Times New Roman" w:asciiTheme="minorEastAsia" w:hAnsiTheme="minorEastAsia"/>
          <w:szCs w:val="21"/>
        </w:rPr>
        <w:t>方已</w:t>
      </w:r>
      <w:r>
        <w:rPr>
          <w:rFonts w:hint="eastAsia" w:eastAsia="宋体" w:cs="Times New Roman" w:asciiTheme="minorEastAsia" w:hAnsiTheme="minorEastAsia"/>
          <w:szCs w:val="21"/>
        </w:rPr>
        <w:t>认真阅读、知悉并</w:t>
      </w:r>
      <w:r>
        <w:rPr>
          <w:rFonts w:eastAsia="宋体" w:cs="Times New Roman" w:asciiTheme="minorEastAsia" w:hAnsiTheme="minorEastAsia"/>
          <w:szCs w:val="21"/>
        </w:rPr>
        <w:t>自愿遵守</w:t>
      </w:r>
      <w:r>
        <w:rPr>
          <w:rFonts w:eastAsia="宋体" w:cs="Times New Roman" w:asciiTheme="minorEastAsia" w:hAnsiTheme="minorEastAsia"/>
          <w:szCs w:val="21"/>
          <w:u w:val="single"/>
        </w:rPr>
        <w:t>《杭州产权交易所房屋出租交易规则》和《在线报价实施办法》</w:t>
      </w:r>
      <w:r>
        <w:rPr>
          <w:rFonts w:hint="eastAsia" w:eastAsia="宋体" w:cs="Times New Roman" w:asciiTheme="minorEastAsia" w:hAnsiTheme="minorEastAsia"/>
          <w:szCs w:val="21"/>
          <w:u w:val="single"/>
        </w:rPr>
        <w:t>和</w:t>
      </w:r>
      <w:r>
        <w:rPr>
          <w:rFonts w:eastAsia="宋体" w:cs="Times New Roman" w:asciiTheme="minorEastAsia" w:hAnsiTheme="minorEastAsia"/>
          <w:szCs w:val="21"/>
          <w:u w:val="single"/>
        </w:rPr>
        <w:t>《</w:t>
      </w:r>
      <w:r>
        <w:rPr>
          <w:rFonts w:hint="eastAsia" w:eastAsia="宋体" w:cs="Times New Roman" w:asciiTheme="minorEastAsia" w:hAnsiTheme="minorEastAsia"/>
          <w:szCs w:val="21"/>
          <w:u w:val="single"/>
        </w:rPr>
        <w:t>杭州</w:t>
      </w:r>
      <w:r>
        <w:rPr>
          <w:rFonts w:eastAsia="宋体" w:cs="Times New Roman" w:asciiTheme="minorEastAsia" w:hAnsiTheme="minorEastAsia"/>
          <w:szCs w:val="21"/>
          <w:u w:val="single"/>
        </w:rPr>
        <w:t>产权交易所</w:t>
      </w:r>
      <w:r>
        <w:rPr>
          <w:rFonts w:hint="eastAsia" w:eastAsia="宋体" w:cs="Times New Roman" w:asciiTheme="minorEastAsia" w:hAnsiTheme="minorEastAsia"/>
          <w:szCs w:val="21"/>
          <w:u w:val="single"/>
        </w:rPr>
        <w:t>在线报价交易须知</w:t>
      </w:r>
      <w:r>
        <w:rPr>
          <w:rFonts w:eastAsia="宋体" w:cs="Times New Roman" w:asciiTheme="minorEastAsia" w:hAnsiTheme="minorEastAsia"/>
          <w:szCs w:val="21"/>
          <w:u w:val="single"/>
        </w:rPr>
        <w:t>》</w:t>
      </w:r>
      <w:r>
        <w:rPr>
          <w:rFonts w:eastAsia="宋体" w:cs="Times New Roman" w:asciiTheme="minorEastAsia" w:hAnsiTheme="minorEastAsia"/>
          <w:szCs w:val="21"/>
        </w:rPr>
        <w:t>等文件的规定，同意按照相关规定参加</w:t>
      </w:r>
      <w:r>
        <w:rPr>
          <w:rFonts w:hint="eastAsia" w:eastAsia="宋体" w:cs="Times New Roman" w:asciiTheme="minorEastAsia" w:hAnsiTheme="minorEastAsia"/>
          <w:szCs w:val="21"/>
        </w:rPr>
        <w:t>本项目竞价</w:t>
      </w:r>
      <w:r>
        <w:rPr>
          <w:rFonts w:eastAsia="宋体" w:cs="Times New Roman" w:asciiTheme="minorEastAsia" w:hAnsiTheme="minorEastAsia"/>
          <w:szCs w:val="21"/>
        </w:rPr>
        <w:t>活动。</w:t>
      </w:r>
    </w:p>
    <w:p>
      <w:pPr>
        <w:keepNext w:val="0"/>
        <w:keepLines w:val="0"/>
        <w:pageBreakBefore w:val="0"/>
        <w:widowControl/>
        <w:tabs>
          <w:tab w:val="left" w:pos="6975"/>
        </w:tabs>
        <w:kinsoku/>
        <w:wordWrap/>
        <w:overflowPunct/>
        <w:topLinePunct w:val="0"/>
        <w:autoSpaceDE/>
        <w:autoSpaceDN/>
        <w:bidi w:val="0"/>
        <w:adjustRightInd/>
        <w:snapToGrid/>
        <w:spacing w:line="360" w:lineRule="exact"/>
        <w:ind w:firstLine="420" w:firstLineChars="200"/>
        <w:jc w:val="left"/>
        <w:textAlignment w:val="auto"/>
        <w:rPr>
          <w:rFonts w:asciiTheme="minorEastAsia" w:hAnsiTheme="minorEastAsia" w:eastAsiaTheme="minorEastAsia"/>
          <w:szCs w:val="21"/>
        </w:rPr>
      </w:pPr>
      <w:r>
        <w:rPr>
          <w:rFonts w:hint="eastAsia" w:asciiTheme="minorEastAsia" w:hAnsiTheme="minorEastAsia" w:eastAsiaTheme="minorEastAsia"/>
          <w:szCs w:val="21"/>
        </w:rPr>
        <w:t>2、我方</w:t>
      </w:r>
      <w:r>
        <w:rPr>
          <w:rFonts w:hint="eastAsia" w:asciiTheme="minorEastAsia" w:hAnsiTheme="minorEastAsia"/>
          <w:szCs w:val="21"/>
        </w:rPr>
        <w:t>提交</w:t>
      </w:r>
      <w:r>
        <w:rPr>
          <w:rFonts w:asciiTheme="minorEastAsia" w:hAnsiTheme="minorEastAsia"/>
          <w:szCs w:val="21"/>
        </w:rPr>
        <w:t>受让申请并且</w:t>
      </w:r>
      <w:r>
        <w:rPr>
          <w:rFonts w:hint="eastAsia" w:asciiTheme="minorEastAsia" w:hAnsiTheme="minorEastAsia"/>
          <w:szCs w:val="21"/>
        </w:rPr>
        <w:t>交纳交易</w:t>
      </w:r>
      <w:r>
        <w:rPr>
          <w:rFonts w:asciiTheme="minorEastAsia" w:hAnsiTheme="minorEastAsia"/>
          <w:szCs w:val="21"/>
        </w:rPr>
        <w:t>保证金后，即视为已详细阅读并完全认可本项目所披露内容以及已完成对标的的现场踏勘，表明已完全了解</w:t>
      </w:r>
      <w:r>
        <w:rPr>
          <w:rFonts w:hint="eastAsia" w:asciiTheme="minorEastAsia" w:hAnsiTheme="minorEastAsia"/>
          <w:szCs w:val="21"/>
        </w:rPr>
        <w:t>并</w:t>
      </w:r>
      <w:r>
        <w:rPr>
          <w:rFonts w:asciiTheme="minorEastAsia" w:hAnsiTheme="minorEastAsia"/>
          <w:szCs w:val="21"/>
        </w:rPr>
        <w:t>自愿接受标的的全部现状及瑕疵，并自愿承担一切交易风险。</w:t>
      </w:r>
    </w:p>
    <w:p>
      <w:pPr>
        <w:keepNext w:val="0"/>
        <w:keepLines w:val="0"/>
        <w:pageBreakBefore w:val="0"/>
        <w:widowControl/>
        <w:tabs>
          <w:tab w:val="left" w:pos="6975"/>
        </w:tabs>
        <w:kinsoku/>
        <w:wordWrap/>
        <w:overflowPunct/>
        <w:topLinePunct w:val="0"/>
        <w:autoSpaceDE/>
        <w:autoSpaceDN/>
        <w:bidi w:val="0"/>
        <w:adjustRightInd/>
        <w:snapToGrid/>
        <w:spacing w:line="380" w:lineRule="exact"/>
        <w:ind w:firstLine="420" w:firstLineChars="200"/>
        <w:jc w:val="left"/>
        <w:textAlignment w:val="auto"/>
        <w:rPr>
          <w:rFonts w:hint="default" w:asciiTheme="minorEastAsia" w:hAnsiTheme="minorEastAsia" w:eastAsiaTheme="minorEastAsia"/>
          <w:szCs w:val="21"/>
          <w:lang w:val="en-US" w:eastAsia="zh-CN"/>
        </w:rPr>
      </w:pPr>
      <w:r>
        <w:rPr>
          <w:rFonts w:hint="eastAsia" w:asciiTheme="minorEastAsia" w:hAnsiTheme="minorEastAsia" w:eastAsiaTheme="minorEastAsia"/>
          <w:szCs w:val="21"/>
          <w:lang w:val="en-US" w:eastAsia="zh-CN"/>
        </w:rPr>
        <w:t>3、意向承租方须书面承诺：</w:t>
      </w:r>
    </w:p>
    <w:p>
      <w:pPr>
        <w:keepNext w:val="0"/>
        <w:keepLines w:val="0"/>
        <w:pageBreakBefore w:val="0"/>
        <w:kinsoku/>
        <w:wordWrap/>
        <w:overflowPunct/>
        <w:topLinePunct w:val="0"/>
        <w:autoSpaceDE/>
        <w:autoSpaceDN/>
        <w:bidi w:val="0"/>
        <w:adjustRightInd/>
        <w:snapToGrid/>
        <w:spacing w:line="360" w:lineRule="exact"/>
        <w:ind w:firstLine="420" w:firstLineChars="200"/>
        <w:textAlignment w:val="auto"/>
        <w:rPr>
          <w:rFonts w:hint="eastAsia" w:asciiTheme="minorEastAsia" w:hAnsiTheme="minorEastAsia" w:eastAsiaTheme="minorEastAsia"/>
          <w:szCs w:val="21"/>
          <w:lang w:val="en-US" w:eastAsia="zh-CN"/>
        </w:rPr>
      </w:pPr>
      <w:r>
        <w:rPr>
          <w:rFonts w:hint="eastAsia" w:asciiTheme="minorEastAsia" w:hAnsiTheme="minorEastAsia" w:eastAsiaTheme="minorEastAsia"/>
          <w:szCs w:val="21"/>
          <w:lang w:val="en-US" w:eastAsia="zh-CN"/>
        </w:rPr>
        <w:t>（1）同意在被确定为承租方之日起3个工作日内，携带承租申请材料原件到杭交所完成现场确认并签署《成交通知书》、《杭州市市直机关事业单位房屋租赁合同》等交易合同；并在《成交通知书》、《杭州市市直机关事业单位房屋租赁合同》等交易合同签署之日起5个工作日内向杭交所指定账户一次性支付首期租金、履约保证金及交易服务费等交易资金（以到账时间为准）。</w:t>
      </w:r>
    </w:p>
    <w:p>
      <w:pPr>
        <w:keepNext w:val="0"/>
        <w:keepLines w:val="0"/>
        <w:pageBreakBefore w:val="0"/>
        <w:kinsoku/>
        <w:wordWrap/>
        <w:overflowPunct/>
        <w:topLinePunct w:val="0"/>
        <w:autoSpaceDE/>
        <w:autoSpaceDN/>
        <w:bidi w:val="0"/>
        <w:adjustRightInd/>
        <w:snapToGrid/>
        <w:spacing w:line="360" w:lineRule="exact"/>
        <w:ind w:firstLine="420" w:firstLineChars="200"/>
        <w:textAlignment w:val="auto"/>
        <w:rPr>
          <w:rFonts w:hint="eastAsia" w:asciiTheme="minorEastAsia" w:hAnsiTheme="minorEastAsia" w:eastAsiaTheme="minorEastAsia"/>
          <w:szCs w:val="21"/>
          <w:lang w:val="en-US" w:eastAsia="zh-CN"/>
        </w:rPr>
      </w:pPr>
      <w:r>
        <w:rPr>
          <w:rFonts w:hint="eastAsia" w:asciiTheme="minorEastAsia" w:hAnsiTheme="minorEastAsia" w:eastAsiaTheme="minorEastAsia"/>
          <w:szCs w:val="21"/>
          <w:lang w:val="en-US" w:eastAsia="zh-CN"/>
        </w:rPr>
        <w:t>（2）同意杭交所经出租方申请之日起3个工作日内将承租方已交纳的交易价款全部划转至出租方指定账户。</w:t>
      </w:r>
    </w:p>
    <w:p>
      <w:pPr>
        <w:keepNext w:val="0"/>
        <w:keepLines w:val="0"/>
        <w:pageBreakBefore w:val="0"/>
        <w:kinsoku/>
        <w:wordWrap/>
        <w:overflowPunct/>
        <w:topLinePunct w:val="0"/>
        <w:autoSpaceDE/>
        <w:autoSpaceDN/>
        <w:bidi w:val="0"/>
        <w:adjustRightInd/>
        <w:snapToGrid/>
        <w:spacing w:line="360" w:lineRule="exact"/>
        <w:ind w:firstLine="420" w:firstLineChars="200"/>
        <w:textAlignment w:val="auto"/>
        <w:rPr>
          <w:rFonts w:hint="eastAsia" w:asciiTheme="minorEastAsia" w:hAnsiTheme="minorEastAsia" w:eastAsiaTheme="minorEastAsia"/>
          <w:szCs w:val="21"/>
          <w:lang w:val="en-US" w:eastAsia="zh-CN"/>
        </w:rPr>
      </w:pPr>
      <w:r>
        <w:rPr>
          <w:rFonts w:hint="eastAsia" w:asciiTheme="minorEastAsia" w:hAnsiTheme="minorEastAsia" w:eastAsiaTheme="minorEastAsia"/>
          <w:szCs w:val="21"/>
          <w:lang w:val="en-US" w:eastAsia="zh-CN"/>
        </w:rPr>
        <w:t>（3）租赁房屋招租用途为：仓储、农业用房。不得用于从事产生环境污染或扰民项目；不得从事易燃易爆物品的商业活动；不得用作危化品的储存仓库；不得使用、存放液化燃气瓶，不得经营不符合环保、卫生要求、存在消防安全隐患的经营项目，不得经营有违社会道德的行业。租赁用途须为同一业态，不得进行分割。 承租方保证在该租赁房屋所规定的用途范围内，按国家规定和《杭州市市直机关事业单位房屋租赁合同》约定依法经营，经营活动不得扰民，自行负责办理相关手续和支付相关费用，且按相关规定依法办理开业的证照等审批手续，否则视承租方违约。</w:t>
      </w:r>
    </w:p>
    <w:p>
      <w:pPr>
        <w:keepNext w:val="0"/>
        <w:keepLines w:val="0"/>
        <w:pageBreakBefore w:val="0"/>
        <w:kinsoku/>
        <w:wordWrap/>
        <w:overflowPunct/>
        <w:topLinePunct w:val="0"/>
        <w:autoSpaceDE/>
        <w:autoSpaceDN/>
        <w:bidi w:val="0"/>
        <w:adjustRightInd/>
        <w:snapToGrid/>
        <w:spacing w:line="360" w:lineRule="exact"/>
        <w:ind w:firstLine="420" w:firstLineChars="200"/>
        <w:textAlignment w:val="auto"/>
        <w:rPr>
          <w:rFonts w:hint="eastAsia" w:asciiTheme="minorEastAsia" w:hAnsiTheme="minorEastAsia" w:eastAsiaTheme="minorEastAsia"/>
          <w:szCs w:val="21"/>
          <w:lang w:val="en-US" w:eastAsia="zh-CN"/>
        </w:rPr>
      </w:pPr>
      <w:r>
        <w:rPr>
          <w:rFonts w:hint="eastAsia" w:asciiTheme="minorEastAsia" w:hAnsiTheme="minorEastAsia" w:eastAsiaTheme="minorEastAsia"/>
          <w:szCs w:val="21"/>
          <w:lang w:val="en-US" w:eastAsia="zh-CN"/>
        </w:rPr>
        <w:t>（4）根据本次租赁房屋持有的余杭国用（2000）字第 21-47号《国有土地使用证》中载明，用途为猪舍，使用权类型为划拨。承租方在该租赁物业内开展及经营其业务前，应向政府主管部门取得所有必要的执照、批准或许可证等，自行办理相关的许可证及相关登记文件，承担由此产生的费用。承租方应确保该执照、批准或许可证在租赁期限内完全有效，及在各方面均符合该执照、批准或许可证的规定。承租方承诺对上述物业权证证载的地类用途和租赁物业现状、设施及物业环境有充分了解，如因租赁物业证载的地类（用途）和租赁用途不一致而导致未取得前述执照、批准或许可证的，所有损失由承租方自行承担，出租方不承担任何责任。承租方应确保该执照、批准或许可证在租赁期限内完全有效，及在各方面均符合该执照、批准或许可证的规定。并且，承租方在该租赁物业的经营活动不得违反有关的法律、法规，必须确保其经营的合法性，否则，承租方将承担因其不正当经营所造成的一切责任和后果。</w:t>
      </w:r>
    </w:p>
    <w:p>
      <w:pPr>
        <w:keepNext w:val="0"/>
        <w:keepLines w:val="0"/>
        <w:pageBreakBefore w:val="0"/>
        <w:kinsoku/>
        <w:wordWrap/>
        <w:overflowPunct/>
        <w:topLinePunct w:val="0"/>
        <w:autoSpaceDE/>
        <w:autoSpaceDN/>
        <w:bidi w:val="0"/>
        <w:adjustRightInd/>
        <w:snapToGrid/>
        <w:spacing w:line="360" w:lineRule="exact"/>
        <w:ind w:firstLine="420" w:firstLineChars="200"/>
        <w:textAlignment w:val="auto"/>
        <w:rPr>
          <w:rFonts w:hint="eastAsia" w:asciiTheme="minorEastAsia" w:hAnsiTheme="minorEastAsia" w:eastAsiaTheme="minorEastAsia"/>
          <w:szCs w:val="21"/>
          <w:lang w:val="en-US" w:eastAsia="zh-CN"/>
        </w:rPr>
      </w:pPr>
      <w:r>
        <w:rPr>
          <w:rFonts w:hint="eastAsia" w:asciiTheme="minorEastAsia" w:hAnsiTheme="minorEastAsia" w:eastAsiaTheme="minorEastAsia"/>
          <w:szCs w:val="21"/>
          <w:lang w:val="en-US" w:eastAsia="zh-CN"/>
        </w:rPr>
        <w:t>（5）承租方在该租赁物业内开展及经营其业务前，应向政府主管部门取得所有必要的执照、批准或许可证等，自行办理相关许可证及相关登记文件，承担由此产生的费用。承租方应确保该执照、批准或许可证在租赁期限内完全有效，及在各方面均符合该执照、批准或许可证的规定。并且，承租方在该租赁物业的经营活动不得违反有关的法律、法规，必须确保其经营的合法性，否则，承租方将承担因其不正当经营所造成的一切责任和后果。</w:t>
      </w:r>
    </w:p>
    <w:p>
      <w:pPr>
        <w:keepNext w:val="0"/>
        <w:keepLines w:val="0"/>
        <w:pageBreakBefore w:val="0"/>
        <w:kinsoku/>
        <w:wordWrap/>
        <w:overflowPunct/>
        <w:topLinePunct w:val="0"/>
        <w:autoSpaceDE/>
        <w:autoSpaceDN/>
        <w:bidi w:val="0"/>
        <w:adjustRightInd/>
        <w:snapToGrid/>
        <w:spacing w:line="360" w:lineRule="exact"/>
        <w:ind w:firstLine="420" w:firstLineChars="200"/>
        <w:textAlignment w:val="auto"/>
        <w:rPr>
          <w:rFonts w:hint="eastAsia" w:asciiTheme="minorEastAsia" w:hAnsiTheme="minorEastAsia" w:eastAsiaTheme="minorEastAsia"/>
          <w:szCs w:val="21"/>
          <w:lang w:val="en-US" w:eastAsia="zh-CN"/>
        </w:rPr>
      </w:pPr>
      <w:r>
        <w:rPr>
          <w:rFonts w:hint="eastAsia" w:asciiTheme="minorEastAsia" w:hAnsiTheme="minorEastAsia" w:eastAsiaTheme="minorEastAsia"/>
          <w:szCs w:val="21"/>
          <w:lang w:val="en-US" w:eastAsia="zh-CN"/>
        </w:rPr>
        <w:t>（6）承租方未事先征得出租方及按规定应报经有关部门核准的书面同意，不得擅自改变房屋的结构和使用性质。承租方如需对房屋进行改造、装修或增扩设备时，应事先征得出租方的书面同意，并按规定向有关部门办理审批同意手续后，方可进行。其所有费用全部由承租方承担，出租方不承担任何费用。</w:t>
      </w:r>
    </w:p>
    <w:p>
      <w:pPr>
        <w:keepNext w:val="0"/>
        <w:keepLines w:val="0"/>
        <w:pageBreakBefore w:val="0"/>
        <w:kinsoku/>
        <w:wordWrap/>
        <w:overflowPunct/>
        <w:topLinePunct w:val="0"/>
        <w:autoSpaceDE/>
        <w:autoSpaceDN/>
        <w:bidi w:val="0"/>
        <w:adjustRightInd/>
        <w:snapToGrid/>
        <w:spacing w:line="360" w:lineRule="exact"/>
        <w:ind w:firstLine="420" w:firstLineChars="200"/>
        <w:textAlignment w:val="auto"/>
        <w:rPr>
          <w:rFonts w:hint="eastAsia" w:asciiTheme="minorEastAsia" w:hAnsiTheme="minorEastAsia" w:eastAsiaTheme="minorEastAsia"/>
          <w:szCs w:val="21"/>
          <w:lang w:val="en-US" w:eastAsia="zh-CN"/>
        </w:rPr>
      </w:pPr>
      <w:r>
        <w:rPr>
          <w:rFonts w:hint="eastAsia" w:asciiTheme="minorEastAsia" w:hAnsiTheme="minorEastAsia" w:eastAsiaTheme="minorEastAsia"/>
          <w:szCs w:val="21"/>
          <w:lang w:val="en-US" w:eastAsia="zh-CN"/>
        </w:rPr>
        <w:t>（7）本次租赁房屋部分处于出租状态。若该部分房屋的原承租人未获得本交易标的的，</w:t>
      </w:r>
      <w:bookmarkStart w:id="0" w:name="OLE_LINK7"/>
      <w:bookmarkEnd w:id="0"/>
      <w:r>
        <w:rPr>
          <w:rFonts w:hint="eastAsia" w:asciiTheme="minorEastAsia" w:hAnsiTheme="minorEastAsia" w:eastAsiaTheme="minorEastAsia"/>
          <w:szCs w:val="21"/>
          <w:lang w:val="en-US" w:eastAsia="zh-CN"/>
        </w:rPr>
        <w:t>因该部分房屋的原承租人的清退时间难以确定，出租方不承诺具体交付时间。承租方应同意等待租赁房屋的清退，直至出租方实际交付止，同时，不提出任何附加条件或修改已签订的《杭州市市直机关事业单位房屋租赁合同》等交易合同。实际交付时，由承租方和出租方补签移交确认书，明确租期起始时间，以实际交付房屋之日起算租赁期限。</w:t>
      </w:r>
    </w:p>
    <w:p>
      <w:pPr>
        <w:keepNext w:val="0"/>
        <w:keepLines w:val="0"/>
        <w:pageBreakBefore w:val="0"/>
        <w:kinsoku/>
        <w:wordWrap/>
        <w:overflowPunct/>
        <w:topLinePunct w:val="0"/>
        <w:autoSpaceDE/>
        <w:autoSpaceDN/>
        <w:bidi w:val="0"/>
        <w:adjustRightInd/>
        <w:snapToGrid/>
        <w:spacing w:line="360" w:lineRule="exact"/>
        <w:ind w:firstLine="420" w:firstLineChars="200"/>
        <w:textAlignment w:val="auto"/>
        <w:rPr>
          <w:rFonts w:hint="eastAsia" w:asciiTheme="minorEastAsia" w:hAnsiTheme="minorEastAsia" w:eastAsiaTheme="minorEastAsia"/>
          <w:szCs w:val="21"/>
          <w:lang w:val="en-US" w:eastAsia="zh-CN"/>
        </w:rPr>
      </w:pPr>
      <w:r>
        <w:rPr>
          <w:rFonts w:hint="eastAsia" w:asciiTheme="minorEastAsia" w:hAnsiTheme="minorEastAsia" w:eastAsiaTheme="minorEastAsia"/>
          <w:szCs w:val="21"/>
          <w:lang w:val="en-US" w:eastAsia="zh-CN"/>
        </w:rPr>
        <w:t>承租方在不违反法律、法规的情况下自愿清退该部分房屋的原承租人的，出租方给予协助。在租赁房屋的清退过程中，承租方提出的任何附加条件或需要修改已签订的《杭州市市直机关事业单位房屋租赁合同》时，出租方不予支持。</w:t>
      </w:r>
    </w:p>
    <w:p>
      <w:pPr>
        <w:keepNext w:val="0"/>
        <w:keepLines w:val="0"/>
        <w:pageBreakBefore w:val="0"/>
        <w:kinsoku/>
        <w:wordWrap/>
        <w:overflowPunct/>
        <w:topLinePunct w:val="0"/>
        <w:autoSpaceDE/>
        <w:autoSpaceDN/>
        <w:bidi w:val="0"/>
        <w:adjustRightInd/>
        <w:snapToGrid/>
        <w:spacing w:line="360" w:lineRule="exact"/>
        <w:ind w:firstLine="420" w:firstLineChars="200"/>
        <w:textAlignment w:val="auto"/>
        <w:rPr>
          <w:rFonts w:hint="eastAsia" w:asciiTheme="minorEastAsia" w:hAnsiTheme="minorEastAsia" w:eastAsiaTheme="minorEastAsia"/>
          <w:szCs w:val="21"/>
          <w:lang w:val="en-US" w:eastAsia="zh-CN"/>
        </w:rPr>
      </w:pPr>
      <w:r>
        <w:rPr>
          <w:rFonts w:hint="eastAsia" w:asciiTheme="minorEastAsia" w:hAnsiTheme="minorEastAsia" w:eastAsiaTheme="minorEastAsia"/>
          <w:szCs w:val="21"/>
          <w:lang w:val="en-US" w:eastAsia="zh-CN"/>
        </w:rPr>
        <w:t>（8）出租方与承租方的权利义务及租赁房屋交付详见《杭州市市直机关事业单位房屋租赁合同》等交易合同。</w:t>
      </w:r>
    </w:p>
    <w:p>
      <w:pPr>
        <w:keepNext w:val="0"/>
        <w:keepLines w:val="0"/>
        <w:pageBreakBefore w:val="0"/>
        <w:kinsoku/>
        <w:wordWrap/>
        <w:overflowPunct/>
        <w:topLinePunct w:val="0"/>
        <w:autoSpaceDE/>
        <w:autoSpaceDN/>
        <w:bidi w:val="0"/>
        <w:adjustRightInd/>
        <w:snapToGrid/>
        <w:spacing w:line="360" w:lineRule="exact"/>
        <w:ind w:firstLine="420" w:firstLineChars="200"/>
        <w:textAlignment w:val="auto"/>
        <w:rPr>
          <w:rFonts w:hint="eastAsia" w:asciiTheme="minorEastAsia" w:hAnsiTheme="minorEastAsia" w:eastAsiaTheme="minorEastAsia"/>
          <w:szCs w:val="21"/>
          <w:lang w:val="en-US" w:eastAsia="zh-CN"/>
        </w:rPr>
      </w:pPr>
      <w:r>
        <w:rPr>
          <w:rFonts w:hint="eastAsia" w:asciiTheme="minorEastAsia" w:hAnsiTheme="minorEastAsia" w:eastAsiaTheme="minorEastAsia"/>
          <w:szCs w:val="21"/>
          <w:lang w:val="en-US" w:eastAsia="zh-CN"/>
        </w:rPr>
        <w:t>4、本项目承租方须交纳成交总价（5年年租金之和）4%的交易服务费。</w:t>
      </w:r>
    </w:p>
    <w:p>
      <w:pPr>
        <w:keepNext w:val="0"/>
        <w:keepLines w:val="0"/>
        <w:pageBreakBefore w:val="0"/>
        <w:kinsoku/>
        <w:wordWrap/>
        <w:overflowPunct/>
        <w:topLinePunct w:val="0"/>
        <w:autoSpaceDE/>
        <w:autoSpaceDN/>
        <w:bidi w:val="0"/>
        <w:adjustRightInd/>
        <w:snapToGrid/>
        <w:spacing w:line="360" w:lineRule="exact"/>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lang w:val="en-US" w:eastAsia="zh-CN"/>
        </w:rPr>
        <w:t>5</w:t>
      </w:r>
      <w:r>
        <w:rPr>
          <w:rFonts w:hint="eastAsia" w:asciiTheme="minorEastAsia" w:hAnsiTheme="minorEastAsia" w:eastAsiaTheme="minorEastAsia"/>
          <w:szCs w:val="21"/>
        </w:rPr>
        <w:t>、若非出租方原因，出现以下任一情况时，意向承租方交纳的保证金不予退还，先用于补偿杭交所的各项服务费，剩余部分作为对出租方的经济补偿金，保证金不足以补偿的，相关方有权按照实际损失继续追诉：</w:t>
      </w:r>
    </w:p>
    <w:p>
      <w:pPr>
        <w:keepNext w:val="0"/>
        <w:keepLines w:val="0"/>
        <w:pageBreakBefore w:val="0"/>
        <w:kinsoku/>
        <w:wordWrap/>
        <w:overflowPunct/>
        <w:topLinePunct w:val="0"/>
        <w:autoSpaceDE/>
        <w:autoSpaceDN/>
        <w:bidi w:val="0"/>
        <w:adjustRightInd/>
        <w:snapToGrid/>
        <w:spacing w:line="360" w:lineRule="exact"/>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rPr>
        <w:t>（1）意向承租方提交承租申请材料并交纳交易保证金后单方撤回承租申请的；</w:t>
      </w:r>
    </w:p>
    <w:p>
      <w:pPr>
        <w:keepNext w:val="0"/>
        <w:keepLines w:val="0"/>
        <w:pageBreakBefore w:val="0"/>
        <w:kinsoku/>
        <w:wordWrap/>
        <w:overflowPunct/>
        <w:topLinePunct w:val="0"/>
        <w:autoSpaceDE/>
        <w:autoSpaceDN/>
        <w:bidi w:val="0"/>
        <w:adjustRightInd/>
        <w:snapToGrid/>
        <w:spacing w:line="360" w:lineRule="exact"/>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rPr>
        <w:t>（2）产生符合条件的意向承租方后，各意向承租方在竞价期间均不报价的；</w:t>
      </w:r>
    </w:p>
    <w:p>
      <w:pPr>
        <w:keepNext w:val="0"/>
        <w:keepLines w:val="0"/>
        <w:pageBreakBefore w:val="0"/>
        <w:kinsoku/>
        <w:wordWrap/>
        <w:overflowPunct/>
        <w:topLinePunct w:val="0"/>
        <w:autoSpaceDE/>
        <w:autoSpaceDN/>
        <w:bidi w:val="0"/>
        <w:adjustRightInd/>
        <w:snapToGrid/>
        <w:spacing w:line="360" w:lineRule="exact"/>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rPr>
        <w:t>（3）在被确定为承租方后未按约定签署《</w:t>
      </w:r>
      <w:r>
        <w:rPr>
          <w:rFonts w:hint="eastAsia" w:asciiTheme="minorEastAsia" w:hAnsiTheme="minorEastAsia" w:eastAsiaTheme="minorEastAsia"/>
          <w:szCs w:val="21"/>
          <w:lang w:eastAsia="zh-CN"/>
        </w:rPr>
        <w:t>物业租赁合同</w:t>
      </w:r>
      <w:r>
        <w:rPr>
          <w:rFonts w:hint="eastAsia" w:asciiTheme="minorEastAsia" w:hAnsiTheme="minorEastAsia" w:eastAsiaTheme="minorEastAsia"/>
          <w:szCs w:val="21"/>
        </w:rPr>
        <w:t>》的或未按约定支付首期租金、</w:t>
      </w:r>
      <w:r>
        <w:rPr>
          <w:rFonts w:hint="eastAsia" w:asciiTheme="minorEastAsia" w:hAnsiTheme="minorEastAsia" w:eastAsiaTheme="minorEastAsia"/>
          <w:szCs w:val="21"/>
          <w:lang w:val="en-US" w:eastAsia="zh-CN"/>
        </w:rPr>
        <w:t>履约</w:t>
      </w:r>
      <w:r>
        <w:rPr>
          <w:rFonts w:hint="eastAsia" w:asciiTheme="minorEastAsia" w:hAnsiTheme="minorEastAsia" w:eastAsiaTheme="minorEastAsia"/>
          <w:szCs w:val="21"/>
        </w:rPr>
        <w:t>保证金和交易服务费的；</w:t>
      </w:r>
    </w:p>
    <w:p>
      <w:pPr>
        <w:keepNext w:val="0"/>
        <w:keepLines w:val="0"/>
        <w:pageBreakBefore w:val="0"/>
        <w:kinsoku/>
        <w:wordWrap/>
        <w:overflowPunct/>
        <w:topLinePunct w:val="0"/>
        <w:autoSpaceDE/>
        <w:autoSpaceDN/>
        <w:bidi w:val="0"/>
        <w:adjustRightInd/>
        <w:snapToGrid/>
        <w:spacing w:line="360" w:lineRule="exact"/>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rPr>
        <w:t>（4）意向承租方未履行书面承诺事项的；</w:t>
      </w:r>
    </w:p>
    <w:p>
      <w:pPr>
        <w:keepNext w:val="0"/>
        <w:keepLines w:val="0"/>
        <w:pageBreakBefore w:val="0"/>
        <w:kinsoku/>
        <w:wordWrap/>
        <w:overflowPunct/>
        <w:topLinePunct w:val="0"/>
        <w:autoSpaceDE/>
        <w:autoSpaceDN/>
        <w:bidi w:val="0"/>
        <w:adjustRightInd/>
        <w:snapToGrid/>
        <w:spacing w:line="360" w:lineRule="exact"/>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rPr>
        <w:t>（5）存在其他违反交易规则情形的。</w:t>
      </w:r>
    </w:p>
    <w:p>
      <w:pPr>
        <w:keepNext w:val="0"/>
        <w:keepLines w:val="0"/>
        <w:pageBreakBefore w:val="0"/>
        <w:kinsoku/>
        <w:wordWrap/>
        <w:overflowPunct/>
        <w:topLinePunct w:val="0"/>
        <w:autoSpaceDE/>
        <w:autoSpaceDN/>
        <w:bidi w:val="0"/>
        <w:adjustRightInd/>
        <w:snapToGrid/>
        <w:spacing w:line="360" w:lineRule="exact"/>
        <w:ind w:firstLine="420" w:firstLineChars="200"/>
        <w:textAlignment w:val="auto"/>
        <w:rPr>
          <w:rFonts w:asciiTheme="minorEastAsia" w:hAnsiTheme="minorEastAsia" w:eastAsiaTheme="minorEastAsia"/>
          <w:szCs w:val="21"/>
        </w:rPr>
      </w:pPr>
    </w:p>
    <w:p>
      <w:pPr>
        <w:keepNext w:val="0"/>
        <w:keepLines w:val="0"/>
        <w:pageBreakBefore w:val="0"/>
        <w:kinsoku/>
        <w:wordWrap/>
        <w:overflowPunct/>
        <w:topLinePunct w:val="0"/>
        <w:autoSpaceDE/>
        <w:autoSpaceDN/>
        <w:bidi w:val="0"/>
        <w:adjustRightInd/>
        <w:snapToGrid/>
        <w:spacing w:line="360" w:lineRule="exact"/>
        <w:ind w:firstLine="420" w:firstLineChars="200"/>
        <w:textAlignment w:val="auto"/>
        <w:rPr>
          <w:rFonts w:asciiTheme="minorEastAsia" w:hAnsiTheme="minorEastAsia" w:eastAsiaTheme="minorEastAsia"/>
          <w:szCs w:val="21"/>
        </w:rPr>
      </w:pPr>
    </w:p>
    <w:p>
      <w:pPr>
        <w:keepNext w:val="0"/>
        <w:keepLines w:val="0"/>
        <w:pageBreakBefore w:val="0"/>
        <w:kinsoku/>
        <w:wordWrap/>
        <w:overflowPunct/>
        <w:topLinePunct w:val="0"/>
        <w:autoSpaceDE/>
        <w:autoSpaceDN/>
        <w:bidi w:val="0"/>
        <w:adjustRightInd/>
        <w:snapToGrid/>
        <w:spacing w:line="360" w:lineRule="exact"/>
        <w:textAlignment w:val="auto"/>
        <w:rPr>
          <w:rFonts w:asciiTheme="minorEastAsia" w:hAnsiTheme="minorEastAsia" w:eastAsiaTheme="minorEastAsia"/>
          <w:szCs w:val="21"/>
        </w:rPr>
      </w:pPr>
      <w:r>
        <w:rPr>
          <w:rFonts w:hint="eastAsia" w:asciiTheme="minorEastAsia" w:hAnsiTheme="minorEastAsia" w:eastAsiaTheme="minorEastAsia"/>
          <w:szCs w:val="21"/>
        </w:rPr>
        <w:t xml:space="preserve">                                       </w:t>
      </w:r>
      <w:r>
        <w:rPr>
          <w:rFonts w:hint="eastAsia" w:asciiTheme="minorEastAsia" w:hAnsiTheme="minorEastAsia" w:eastAsiaTheme="minorEastAsia"/>
          <w:szCs w:val="21"/>
          <w:lang w:val="en-US" w:eastAsia="zh-CN"/>
        </w:rPr>
        <w:t xml:space="preserve">  </w:t>
      </w:r>
      <w:r>
        <w:rPr>
          <w:rFonts w:hint="eastAsia" w:asciiTheme="minorEastAsia" w:hAnsiTheme="minorEastAsia" w:eastAsiaTheme="minorEastAsia"/>
          <w:szCs w:val="21"/>
        </w:rPr>
        <w:t xml:space="preserve"> 意向承租方（签章）：</w:t>
      </w:r>
    </w:p>
    <w:p>
      <w:pPr>
        <w:keepNext w:val="0"/>
        <w:keepLines w:val="0"/>
        <w:pageBreakBefore w:val="0"/>
        <w:kinsoku/>
        <w:wordWrap/>
        <w:overflowPunct/>
        <w:topLinePunct w:val="0"/>
        <w:autoSpaceDE/>
        <w:autoSpaceDN/>
        <w:bidi w:val="0"/>
        <w:adjustRightInd/>
        <w:snapToGrid/>
        <w:spacing w:line="360" w:lineRule="exact"/>
        <w:textAlignment w:val="auto"/>
        <w:rPr>
          <w:rFonts w:asciiTheme="minorEastAsia" w:hAnsiTheme="minorEastAsia" w:eastAsiaTheme="minorEastAsia"/>
          <w:szCs w:val="21"/>
        </w:rPr>
      </w:pPr>
      <w:r>
        <w:rPr>
          <w:rFonts w:hint="eastAsia" w:asciiTheme="minorEastAsia" w:hAnsiTheme="minorEastAsia" w:eastAsiaTheme="minorEastAsia"/>
          <w:szCs w:val="21"/>
        </w:rPr>
        <w:t xml:space="preserve">                                               </w:t>
      </w:r>
      <w:r>
        <w:rPr>
          <w:rFonts w:hint="eastAsia" w:asciiTheme="minorEastAsia" w:hAnsiTheme="minorEastAsia" w:eastAsiaTheme="minorEastAsia"/>
          <w:szCs w:val="21"/>
          <w:lang w:val="en-US" w:eastAsia="zh-CN"/>
        </w:rPr>
        <w:t>2026</w:t>
      </w:r>
      <w:r>
        <w:rPr>
          <w:rFonts w:hint="eastAsia" w:asciiTheme="minorEastAsia" w:hAnsiTheme="minorEastAsia" w:eastAsiaTheme="minorEastAsia"/>
          <w:szCs w:val="21"/>
        </w:rPr>
        <w:t>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4EDD"/>
    <w:rsid w:val="000119B9"/>
    <w:rsid w:val="00012123"/>
    <w:rsid w:val="00023F27"/>
    <w:rsid w:val="0003337E"/>
    <w:rsid w:val="00035EE4"/>
    <w:rsid w:val="000A4844"/>
    <w:rsid w:val="000E1489"/>
    <w:rsid w:val="000E581F"/>
    <w:rsid w:val="00143D8A"/>
    <w:rsid w:val="0020310B"/>
    <w:rsid w:val="002278BB"/>
    <w:rsid w:val="002526A0"/>
    <w:rsid w:val="00255411"/>
    <w:rsid w:val="00274544"/>
    <w:rsid w:val="00286FA5"/>
    <w:rsid w:val="002A2E39"/>
    <w:rsid w:val="002A50C8"/>
    <w:rsid w:val="002D0B78"/>
    <w:rsid w:val="002F7B3D"/>
    <w:rsid w:val="00317DF8"/>
    <w:rsid w:val="003229C2"/>
    <w:rsid w:val="00356C53"/>
    <w:rsid w:val="0038748E"/>
    <w:rsid w:val="003A2F6F"/>
    <w:rsid w:val="003E079C"/>
    <w:rsid w:val="00411DF2"/>
    <w:rsid w:val="00413930"/>
    <w:rsid w:val="00430675"/>
    <w:rsid w:val="00432A35"/>
    <w:rsid w:val="00437193"/>
    <w:rsid w:val="0044681D"/>
    <w:rsid w:val="0047643D"/>
    <w:rsid w:val="004939A8"/>
    <w:rsid w:val="00496E8E"/>
    <w:rsid w:val="004A13A9"/>
    <w:rsid w:val="004C246D"/>
    <w:rsid w:val="004D1B74"/>
    <w:rsid w:val="004E1479"/>
    <w:rsid w:val="004E3107"/>
    <w:rsid w:val="004E7F95"/>
    <w:rsid w:val="004F3BEF"/>
    <w:rsid w:val="00503879"/>
    <w:rsid w:val="00525941"/>
    <w:rsid w:val="0055051A"/>
    <w:rsid w:val="00564464"/>
    <w:rsid w:val="00593198"/>
    <w:rsid w:val="005A5134"/>
    <w:rsid w:val="00627BE3"/>
    <w:rsid w:val="00635621"/>
    <w:rsid w:val="00635C7C"/>
    <w:rsid w:val="00653A97"/>
    <w:rsid w:val="00662215"/>
    <w:rsid w:val="00707626"/>
    <w:rsid w:val="00737286"/>
    <w:rsid w:val="007847DD"/>
    <w:rsid w:val="00790D21"/>
    <w:rsid w:val="007E0770"/>
    <w:rsid w:val="007E4EDD"/>
    <w:rsid w:val="0081516D"/>
    <w:rsid w:val="0084282E"/>
    <w:rsid w:val="00883217"/>
    <w:rsid w:val="00884F8A"/>
    <w:rsid w:val="00897125"/>
    <w:rsid w:val="008D72E8"/>
    <w:rsid w:val="00906FAC"/>
    <w:rsid w:val="00934A3A"/>
    <w:rsid w:val="00942C24"/>
    <w:rsid w:val="0096235F"/>
    <w:rsid w:val="009733B3"/>
    <w:rsid w:val="009960AE"/>
    <w:rsid w:val="009E2807"/>
    <w:rsid w:val="009E2AFA"/>
    <w:rsid w:val="009F646A"/>
    <w:rsid w:val="00A11F15"/>
    <w:rsid w:val="00A24DD0"/>
    <w:rsid w:val="00A51C6C"/>
    <w:rsid w:val="00A53E81"/>
    <w:rsid w:val="00A637A5"/>
    <w:rsid w:val="00A661CB"/>
    <w:rsid w:val="00A96775"/>
    <w:rsid w:val="00AA0B99"/>
    <w:rsid w:val="00AA1473"/>
    <w:rsid w:val="00AA4243"/>
    <w:rsid w:val="00AF7180"/>
    <w:rsid w:val="00B045CC"/>
    <w:rsid w:val="00B15A11"/>
    <w:rsid w:val="00B170BB"/>
    <w:rsid w:val="00B36433"/>
    <w:rsid w:val="00B72595"/>
    <w:rsid w:val="00B91182"/>
    <w:rsid w:val="00B923AA"/>
    <w:rsid w:val="00C02F3D"/>
    <w:rsid w:val="00C07B7D"/>
    <w:rsid w:val="00C2125E"/>
    <w:rsid w:val="00C300A5"/>
    <w:rsid w:val="00C5682C"/>
    <w:rsid w:val="00C574D2"/>
    <w:rsid w:val="00C57E4F"/>
    <w:rsid w:val="00C76812"/>
    <w:rsid w:val="00C80243"/>
    <w:rsid w:val="00C82704"/>
    <w:rsid w:val="00C85BC7"/>
    <w:rsid w:val="00CA00A0"/>
    <w:rsid w:val="00CB5B8C"/>
    <w:rsid w:val="00CE440E"/>
    <w:rsid w:val="00CF66E2"/>
    <w:rsid w:val="00D06E64"/>
    <w:rsid w:val="00D12E5B"/>
    <w:rsid w:val="00D2215B"/>
    <w:rsid w:val="00D276BA"/>
    <w:rsid w:val="00D56D57"/>
    <w:rsid w:val="00D975CA"/>
    <w:rsid w:val="00DC7350"/>
    <w:rsid w:val="00E00E55"/>
    <w:rsid w:val="00E60BD5"/>
    <w:rsid w:val="00E81322"/>
    <w:rsid w:val="00E9035D"/>
    <w:rsid w:val="00E906B0"/>
    <w:rsid w:val="00EB698D"/>
    <w:rsid w:val="00EC69DC"/>
    <w:rsid w:val="00ED4E9F"/>
    <w:rsid w:val="00EE4B0A"/>
    <w:rsid w:val="00EF62AF"/>
    <w:rsid w:val="00F06BEC"/>
    <w:rsid w:val="00F10CC9"/>
    <w:rsid w:val="00F47654"/>
    <w:rsid w:val="00F66B92"/>
    <w:rsid w:val="00F85B65"/>
    <w:rsid w:val="00FA0343"/>
    <w:rsid w:val="00FA6AB7"/>
    <w:rsid w:val="023D0311"/>
    <w:rsid w:val="048F0782"/>
    <w:rsid w:val="050C0145"/>
    <w:rsid w:val="05D065F3"/>
    <w:rsid w:val="07254E86"/>
    <w:rsid w:val="096F5AD2"/>
    <w:rsid w:val="0C485BC3"/>
    <w:rsid w:val="0DE56999"/>
    <w:rsid w:val="0EE44A0D"/>
    <w:rsid w:val="0F15442C"/>
    <w:rsid w:val="0F77400E"/>
    <w:rsid w:val="101427AF"/>
    <w:rsid w:val="10702934"/>
    <w:rsid w:val="19BE26FF"/>
    <w:rsid w:val="1CAF1531"/>
    <w:rsid w:val="218A23E0"/>
    <w:rsid w:val="22BF195E"/>
    <w:rsid w:val="24475D32"/>
    <w:rsid w:val="244871F4"/>
    <w:rsid w:val="25355EE5"/>
    <w:rsid w:val="25D14148"/>
    <w:rsid w:val="26876BBB"/>
    <w:rsid w:val="26D040D5"/>
    <w:rsid w:val="289F5356"/>
    <w:rsid w:val="28FD5577"/>
    <w:rsid w:val="29012A40"/>
    <w:rsid w:val="2A595C53"/>
    <w:rsid w:val="2B825398"/>
    <w:rsid w:val="2BBC65BB"/>
    <w:rsid w:val="2ECA25C7"/>
    <w:rsid w:val="2EDF16DA"/>
    <w:rsid w:val="3099405C"/>
    <w:rsid w:val="34001013"/>
    <w:rsid w:val="35A31D2D"/>
    <w:rsid w:val="36432277"/>
    <w:rsid w:val="382E1881"/>
    <w:rsid w:val="397F11DB"/>
    <w:rsid w:val="3998098F"/>
    <w:rsid w:val="39A8199F"/>
    <w:rsid w:val="39B851B0"/>
    <w:rsid w:val="3BC27FC5"/>
    <w:rsid w:val="3C072F34"/>
    <w:rsid w:val="3C67604A"/>
    <w:rsid w:val="3CA4327A"/>
    <w:rsid w:val="3D2F7B50"/>
    <w:rsid w:val="3E0D06E1"/>
    <w:rsid w:val="3E944C68"/>
    <w:rsid w:val="3E9829CD"/>
    <w:rsid w:val="3F645A79"/>
    <w:rsid w:val="42367D7B"/>
    <w:rsid w:val="43311F76"/>
    <w:rsid w:val="433B6BC1"/>
    <w:rsid w:val="444927AE"/>
    <w:rsid w:val="450E4279"/>
    <w:rsid w:val="45E06DB2"/>
    <w:rsid w:val="49685C71"/>
    <w:rsid w:val="4AFA7355"/>
    <w:rsid w:val="4C5A43E8"/>
    <w:rsid w:val="4C876474"/>
    <w:rsid w:val="4D1E7FB4"/>
    <w:rsid w:val="4D8A3E08"/>
    <w:rsid w:val="4E9304B5"/>
    <w:rsid w:val="4E9422C0"/>
    <w:rsid w:val="509D38E8"/>
    <w:rsid w:val="529A73B4"/>
    <w:rsid w:val="536E1390"/>
    <w:rsid w:val="555D5C90"/>
    <w:rsid w:val="559E5563"/>
    <w:rsid w:val="5636352B"/>
    <w:rsid w:val="578A62A4"/>
    <w:rsid w:val="579010A2"/>
    <w:rsid w:val="5A935B6E"/>
    <w:rsid w:val="5DE111A4"/>
    <w:rsid w:val="5E773250"/>
    <w:rsid w:val="62F7145E"/>
    <w:rsid w:val="64295746"/>
    <w:rsid w:val="65FD32F5"/>
    <w:rsid w:val="666B305D"/>
    <w:rsid w:val="66EF7CE1"/>
    <w:rsid w:val="677E7622"/>
    <w:rsid w:val="67DD46EA"/>
    <w:rsid w:val="68BD0463"/>
    <w:rsid w:val="69CF4718"/>
    <w:rsid w:val="6B992453"/>
    <w:rsid w:val="6D174484"/>
    <w:rsid w:val="6E487E08"/>
    <w:rsid w:val="7045300B"/>
    <w:rsid w:val="706C7393"/>
    <w:rsid w:val="708874D4"/>
    <w:rsid w:val="70D12FC7"/>
    <w:rsid w:val="70D56746"/>
    <w:rsid w:val="71AE32DA"/>
    <w:rsid w:val="728F0602"/>
    <w:rsid w:val="791529B3"/>
    <w:rsid w:val="798D35DE"/>
    <w:rsid w:val="7ACC169B"/>
    <w:rsid w:val="7ADC7C17"/>
    <w:rsid w:val="7BA768E8"/>
    <w:rsid w:val="7FFA051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semiHidden="0"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semiHidden/>
    <w:unhideWhenUsed/>
    <w:qFormat/>
    <w:uiPriority w:val="99"/>
    <w:pPr>
      <w:tabs>
        <w:tab w:val="center" w:pos="4153"/>
        <w:tab w:val="right" w:pos="8306"/>
      </w:tabs>
      <w:snapToGrid w:val="0"/>
      <w:jc w:val="left"/>
    </w:pPr>
    <w:rPr>
      <w:sz w:val="18"/>
      <w:szCs w:val="18"/>
    </w:rPr>
  </w:style>
  <w:style w:type="paragraph" w:styleId="3">
    <w:name w:val="header"/>
    <w:basedOn w:val="1"/>
    <w:link w:val="7"/>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HTML Preformatted"/>
    <w:basedOn w:val="1"/>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szCs w:val="24"/>
    </w:rPr>
  </w:style>
  <w:style w:type="character" w:customStyle="1" w:styleId="7">
    <w:name w:val="页眉 Char"/>
    <w:basedOn w:val="6"/>
    <w:link w:val="3"/>
    <w:semiHidden/>
    <w:qFormat/>
    <w:uiPriority w:val="99"/>
    <w:rPr>
      <w:rFonts w:ascii="Times New Roman" w:hAnsi="Times New Roman" w:eastAsia="宋体" w:cs="Times New Roman"/>
      <w:sz w:val="18"/>
      <w:szCs w:val="18"/>
    </w:rPr>
  </w:style>
  <w:style w:type="character" w:customStyle="1" w:styleId="8">
    <w:name w:val="页脚 Char"/>
    <w:basedOn w:val="6"/>
    <w:link w:val="2"/>
    <w:semiHidden/>
    <w:qFormat/>
    <w:uiPriority w:val="99"/>
    <w:rPr>
      <w:rFonts w:ascii="Times New Roman" w:hAnsi="Times New Roman" w:eastAsia="宋体" w:cs="Times New Roman"/>
      <w:sz w:val="18"/>
      <w:szCs w:val="18"/>
    </w:rPr>
  </w:style>
  <w:style w:type="paragraph" w:styleId="9">
    <w:name w:val="List Paragraph"/>
    <w:basedOn w:val="1"/>
    <w:qFormat/>
    <w:uiPriority w:val="34"/>
    <w:pPr>
      <w:ind w:firstLine="420" w:firstLineChars="200"/>
    </w:pPr>
  </w:style>
  <w:style w:type="paragraph" w:customStyle="1" w:styleId="10">
    <w:name w:val="HTML 预设格式 Char"/>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0" w:right="0"/>
      <w:jc w:val="left"/>
    </w:pPr>
    <w:rPr>
      <w:rFonts w:hint="eastAsia" w:ascii="宋体" w:hAnsi="宋体" w:eastAsia="宋体" w:cs="宋体"/>
      <w:kern w:val="0"/>
      <w:sz w:val="24"/>
      <w:szCs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1399</Words>
  <Characters>1408</Characters>
  <Lines>13</Lines>
  <Paragraphs>3</Paragraphs>
  <TotalTime>0</TotalTime>
  <ScaleCrop>false</ScaleCrop>
  <LinksUpToDate>false</LinksUpToDate>
  <CharactersWithSpaces>1503</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2020-04-09T09:14:00Z</dcterms:created>
  <dc:creator>zxy</dc:creator>
  <cp:lastModifiedBy>王际超</cp:lastModifiedBy>
  <dcterms:modified xsi:type="dcterms:W3CDTF">2026-08-17T04:09:53Z</dcterms:modified>
  <cp:revision>48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369A281CA55B4B808A3AE1FA8C3C0254_13</vt:lpwstr>
  </property>
  <property fmtid="{D5CDD505-2E9C-101B-9397-08002B2CF9AE}" pid="4" name="KSOTemplateDocerSaveRecord">
    <vt:lpwstr>eyJoZGlkIjoiZDQyMTliOGFhNjFjMjMxMzk1NWU0ZWU0ZTU0OGM4MzYiLCJ1c2VySWQiOiI5NTMwNTIxNDkifQ==</vt:lpwstr>
  </property>
</Properties>
</file>