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color w:val="000000" w:themeColor="text1"/>
          <w:sz w:val="36"/>
          <w:szCs w:val="36"/>
          <w:highlight w:val="none"/>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承诺函</w:t>
      </w:r>
    </w:p>
    <w:p>
      <w:pPr>
        <w:spacing w:line="36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杭州产权交易所有限责任公司：</w:t>
      </w:r>
    </w:p>
    <w:p>
      <w:pPr>
        <w:spacing w:line="360" w:lineRule="auto"/>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我方拟</w:t>
      </w:r>
      <w:r>
        <w:rPr>
          <w:rFonts w:hint="eastAsia" w:asciiTheme="minorEastAsia" w:hAnsiTheme="minorEastAsia" w:eastAsiaTheme="minorEastAsia"/>
          <w:color w:val="000000" w:themeColor="text1"/>
          <w:sz w:val="21"/>
          <w:szCs w:val="21"/>
          <w:highlight w:val="none"/>
          <w:u w:val="none"/>
          <w:lang w:val="en-US" w:eastAsia="zh-CN"/>
          <w14:textFill>
            <w14:solidFill>
              <w14:schemeClr w14:val="tx1"/>
            </w14:solidFill>
          </w14:textFill>
        </w:rPr>
        <w:t>承租杭州市西湖文化广场C区中心剧院6年租赁权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，现做如下承诺：</w:t>
      </w:r>
    </w:p>
    <w:p>
      <w:pPr>
        <w:spacing w:line="360" w:lineRule="auto"/>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1、我方已认真阅读、知悉并自愿遵守</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杭州产权交易所《房屋出租交易规则》</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在线报价实施办法</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和</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在线报价交易须知</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2、我方提交</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承租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3、根据出租方经营性房产出租管理办法的相关规定，信息披露期满后，若未产生符合条件的意向受让方或只产生一个符合条件的意向受让方的，则不变更信息披露内容延长5个工作日。</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4、意向承租方须书面承诺：</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（1）同意在被确定为承租方之日起 5 个工作日内，携带承租申请材料原件到杭交所完成现场确认并签署《成交通知书》、《房屋租赁合同》、交易记录等文件，并在《成交通知书》、《房屋租赁合同》、交易记录等文件签署之日向杭交所指定账户一次性支付交易服务费、履约保证金、首期租金（6个月租金）等交易资金（以到账时间为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（2）同意杭交所在经出租方申请之日起3个工作日内将承租方已交纳的首期租金、履约保证金全部划转至出租方指定账户。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在租赁期内，承租方需要装修租赁房屋的，应在装修前将装修计划、图纸和方案书面报出租方备案，经出租方同意且经政府有关机关的批准后（如有）方可施工。涉及到烟道改造、煤气管道的接入等设计及施工等，出租方应予以配合。承租方在分隔或装修时，不得损坏和改变原建筑结构和公共设施。未经出租方书面认可不得擅自改装、移装或加装租赁房屋内外的空调、照明、通风、消防及通讯等设施及管线。因承租方装修产生的所有费用（包括但不限于设计费、改造费等）及给出租方或其他第三方造成损失的均应由承租方自行承担。另，承租方在装修施工期间还应积极遵守出租方有关管理制度和规定。</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（4）承租方按消防要求留出疏散通道。</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在租赁期内，承租方应遵守国家和地方有关房屋使用的规定，未征得出租方书面同意以及有关部门审批核准前，不得擅自投入经营，不得擅自改动房屋承重结构和拆改室内设施，不得损害其他业主和使用人的合法权益。</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在租赁期间，承租方保证所从事的一切经营业务活动必须遵守中华人民共和国相关法律法规；并承担房屋使用区域内消防、治安、安全责任，严禁在租赁房屋内堆放国家明令禁止的违禁物品或从事违法犯罪活动。否则，给各方造成的一切后果由承租方承担。</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承租方应合理使用其所承租的房屋及其附属设施。如因使用不当造成房屋及设施损坏的，承租方应立即负责修复或照价赔偿损失。应由承租方负责维修而承租方拒不维修的，出租方可代为维修，费用由承租方承担。</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（8）租赁期间，出租方确因融资等需求需要承租方配合出具相关文件的，承租方承诺予以积极配合。</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（9）租赁期间，原则上，出租方不得干扰承租方对于租赁房屋的正常使用，但如出租方因房屋需要修缮等原因需要承租方停业配合的，承租方应予配合，给承租方造成损失的，出租方应予补偿或赔偿。</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10）租赁房屋未办理房屋不动产权证。承租方承租房屋后，进行经营活动前，承租方负责办理租赁房屋经营所需的或可能发生的所有申请报批手续，并应在取得所有必要的政府有关部门规定的验收合格证书（包括但不限于二次装修消防验收合格证书、环保批文及营业执照等）后方可正式投入使用。出租方可根据实际情况提供必要的协助，但办理上述证照及许可批文所发生的一切费用由承租方承担。若由于出租方提供的资料和租赁房屋现状原因导致承租方不能办理上述证照及许可批文等手续的，出租方不承担任何责任，承租方如有损失自行承担。</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11）招租标的内留存原承租方所有的设施设备等物品，可能存在延期交房、诉讼、债务、租赁房屋可能存在所有设施设备的转让费，装修费等不确定因素，承租方承租前应自行了解相关事宜，并自愿接受可能发生的延期交房、诉讼、债务、转让费等情况。</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（12）本次挂牌底价</w:t>
      </w:r>
      <w:bookmarkStart w:id="0" w:name="_GoBack"/>
      <w:bookmarkEnd w:id="0"/>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仅指房屋租赁的租金，不含中心剧院现有运营设施设备包含但不限于显示屏、观众席、灯光、音响、电气安装、舞台配套设施、客梯、空中行架、空调、排水、弱电、消防、通信等。</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（13）出租方每年享10天免费使用权（包括但不限于场地成本、人员开销、水、电、空调费、物业费等均由承租方承担）；</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14）租赁期限合计6年，实行3+3分段租赁，每3年租金递增3%。任一完整租赁年度内，乙方（承租方）除装修、施工等情形外，需确保场地正常运营，如无正当事由，无故私自停业超30日及以上的，出租方有权单方解除租赁合同。首租期3年内，承租方未发生前述停业情形、足额结清全部应付费用且无重大违约行为的，租赁自动续期3年，无需另行签订租赁协议；续租期间本合同全部条款、租金标准、双方权利义务保持不变。承租方若出现前述停业情形，则丧失续租资格，首租期届满本合同自动终止。</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（15）年度演出及活动中，由浙江新远文化空间运营管理有限公司与承租方合作运营三分之一项目，挖掘新增项目营收，合力打造运河文化剧院演艺新空间。</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、本项目房屋交付：</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（1）如原承租方获得出租标的的，原承租方签订《成交通知书》、《房屋租赁合同》并付清首期租金、履约保证金和交易服务费等交易资金，即视作出租方已完成出租标的的交付。</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（2）如原承租方未获得出租标的的，承租方签订《成交通知书》、《房屋租赁合同》并付清首期租金、履约保证金、交易服务费后，由出租方将租赁房屋交付给承租方。</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原承租方按已签《关于租期届满相关事宜的函》要求按时腾空租赁房屋给出租方，原承租方的清退时间难以确定时，承租方应同意等待租赁房屋的清退，直至出租方实际交付止，同时，不提出任何附加条件或修改已签订的《房屋租赁合同》。实际交付时，由承租方和出租方签署《房屋移交确认书》，明确租期起始时间与租金及付款方式，租赁期以《房屋移交确认书》上确定的交付之日起算租赁期限。</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（4）承租方在不违反法律、法规的情况下自愿清退租赁房屋的原承租方的，出租方给予协助。在租赁房屋的清退过程中，承租方提出的任何附加条件或需要修改已签订的《房屋租赁合同》时，出租方不予支持。</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（5）如承租方逾期付款，出租方有权延期交房。逾期付款超过20天，视承租方根本违约，出租方有权单方面解除已签订的《房屋租赁合同》，承租方已支付的交易资金不予返还。</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如确有特殊原因需要延迟移交标的的，出租方则另行通知承租方，租赁期限将相应顺延，以实际交付日起算租赁期限。</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（6）交付按移交时现状进行，不保证装修、附属物、相关设施的完好。</w:t>
      </w:r>
    </w:p>
    <w:p>
      <w:pPr>
        <w:pStyle w:val="2"/>
        <w:ind w:firstLine="420" w:firstLineChars="200"/>
        <w:rPr>
          <w:rFonts w:hint="eastAsia" w:cs="Times New Roman" w:asciiTheme="minorEastAsia" w:hAnsiTheme="minorEastAsia" w:eastAsiaTheme="minorEastAsia"/>
          <w:kern w:val="2"/>
          <w:sz w:val="21"/>
          <w:szCs w:val="21"/>
          <w:lang w:val="en-US" w:eastAsia="zh-CN" w:bidi="ar-SA"/>
        </w:rPr>
      </w:pPr>
      <w:r>
        <w:rPr>
          <w:rFonts w:hint="eastAsia" w:cs="Times New Roman" w:asciiTheme="minorEastAsia" w:hAnsiTheme="minorEastAsia" w:eastAsiaTheme="minorEastAsia"/>
          <w:kern w:val="2"/>
          <w:sz w:val="21"/>
          <w:szCs w:val="21"/>
          <w:lang w:val="en-US" w:eastAsia="zh-CN" w:bidi="ar-SA"/>
        </w:rPr>
        <w:t>6、本项目其他权利与义务以附件《房屋租赁合同》文本相关内容为准。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szCs w:val="21"/>
          <w:lang w:val="en-US" w:eastAsia="zh-CN"/>
        </w:rPr>
        <w:t>本项目承租方须按照以下标准缴纳交易服务费：</w:t>
      </w:r>
    </w:p>
    <w:tbl>
      <w:tblPr>
        <w:tblStyle w:val="10"/>
        <w:tblpPr w:leftFromText="180" w:rightFromText="180" w:vertAnchor="text" w:horzAnchor="page" w:tblpX="2070" w:tblpY="2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0"/>
        <w:gridCol w:w="3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成交金额（首年租金）</w:t>
            </w:r>
          </w:p>
        </w:tc>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100万以下（含）</w:t>
            </w:r>
          </w:p>
        </w:tc>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2%+首年租金溢价部分的10%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100万-500万（含）</w:t>
            </w:r>
          </w:p>
        </w:tc>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1.5%+首年租金溢价部分的10%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500万以上</w:t>
            </w:r>
          </w:p>
        </w:tc>
        <w:tc>
          <w:tcPr>
            <w:tcW w:w="39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1%+首年租金溢价部分的10%</w:t>
            </w:r>
          </w:p>
        </w:tc>
      </w:tr>
    </w:tbl>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、若非出租方原因，出现以下任一情况时，意向承租方交纳的保证金不予退还，先用于补偿杭交所的服务费，剩余部分作为对出租方的经济补偿金，保证金不足以补偿的，相关方有权按照实际损失继续追诉：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（3）在被确定为承租方后未按约定签署《成交通知书》、交易记录、《房屋租赁合同》的或未按约定支付交易服务费、履约保证金和首期租金的；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（4）意向承租方未履行书面承诺事项的；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（5）存在其他违反交易规则情形的。</w:t>
      </w:r>
    </w:p>
    <w:p>
      <w:pPr>
        <w:spacing w:line="360" w:lineRule="auto"/>
        <w:rPr>
          <w:rFonts w:asciiTheme="minorEastAsia" w:hAnsiTheme="minorEastAsia" w:eastAsiaTheme="minorEastAsia"/>
          <w:color w:val="000000" w:themeColor="text1"/>
          <w:sz w:val="21"/>
          <w:szCs w:val="21"/>
          <w:highlight w:val="none"/>
          <w14:textFill>
            <w14:solidFill>
              <w14:schemeClr w14:val="tx1"/>
            </w14:solidFill>
          </w14:textFill>
        </w:rPr>
      </w:pPr>
    </w:p>
    <w:p>
      <w:pPr>
        <w:spacing w:line="360" w:lineRule="auto"/>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1"/>
          <w:szCs w:val="21"/>
          <w:highlight w:val="none"/>
          <w14:textFill>
            <w14:solidFill>
              <w14:schemeClr w14:val="tx1"/>
            </w14:solidFill>
          </w14:textFill>
        </w:rPr>
        <w:t xml:space="preserve"> 意向</w:t>
      </w:r>
      <w:r>
        <w:rPr>
          <w:rFonts w:hint="eastAsia" w:asciiTheme="minorEastAsia" w:hAnsiTheme="minorEastAsia" w:eastAsiaTheme="minorEastAsia"/>
          <w:color w:val="000000" w:themeColor="text1"/>
          <w:sz w:val="21"/>
          <w:szCs w:val="21"/>
          <w:highlight w:val="none"/>
          <w:lang w:eastAsia="zh-CN"/>
          <w14:textFill>
            <w14:solidFill>
              <w14:schemeClr w14:val="tx1"/>
            </w14:solidFill>
          </w14:textFill>
        </w:rPr>
        <w:t>承租</w:t>
      </w:r>
      <w:r>
        <w:rPr>
          <w:rFonts w:hint="eastAsia" w:asciiTheme="minorEastAsia" w:hAnsiTheme="minorEastAsia" w:eastAsiaTheme="minorEastAsia"/>
          <w:color w:val="000000" w:themeColor="text1"/>
          <w:sz w:val="21"/>
          <w:szCs w:val="21"/>
          <w:highlight w:val="none"/>
          <w14:textFill>
            <w14:solidFill>
              <w14:schemeClr w14:val="tx1"/>
            </w14:solidFill>
          </w14:textFill>
        </w:rPr>
        <w:t>方（签章）：</w:t>
      </w:r>
    </w:p>
    <w:p>
      <w:pPr>
        <w:spacing w:line="360" w:lineRule="auto"/>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14C5C"/>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521FBB"/>
    <w:rsid w:val="019C1EEA"/>
    <w:rsid w:val="01D55085"/>
    <w:rsid w:val="01E5402C"/>
    <w:rsid w:val="01FD52DC"/>
    <w:rsid w:val="02610637"/>
    <w:rsid w:val="02615A21"/>
    <w:rsid w:val="02720D6F"/>
    <w:rsid w:val="03066051"/>
    <w:rsid w:val="033F1305"/>
    <w:rsid w:val="03637B8E"/>
    <w:rsid w:val="059E2874"/>
    <w:rsid w:val="06262CE2"/>
    <w:rsid w:val="06A90044"/>
    <w:rsid w:val="0766770C"/>
    <w:rsid w:val="09B7306A"/>
    <w:rsid w:val="09E76B80"/>
    <w:rsid w:val="0B244B23"/>
    <w:rsid w:val="0BFF1D04"/>
    <w:rsid w:val="0D400E05"/>
    <w:rsid w:val="0D7F183B"/>
    <w:rsid w:val="0DF1051E"/>
    <w:rsid w:val="0F4949D9"/>
    <w:rsid w:val="0FC71C56"/>
    <w:rsid w:val="0FE4035F"/>
    <w:rsid w:val="1181355D"/>
    <w:rsid w:val="124C7A90"/>
    <w:rsid w:val="15337A69"/>
    <w:rsid w:val="167D3903"/>
    <w:rsid w:val="16CC3B19"/>
    <w:rsid w:val="173E5800"/>
    <w:rsid w:val="18467FFE"/>
    <w:rsid w:val="1AE925D2"/>
    <w:rsid w:val="1BA11F39"/>
    <w:rsid w:val="1BF84071"/>
    <w:rsid w:val="1C5609A5"/>
    <w:rsid w:val="1CBF22CE"/>
    <w:rsid w:val="1E116E93"/>
    <w:rsid w:val="1E2D5CBF"/>
    <w:rsid w:val="2211247F"/>
    <w:rsid w:val="23116AFC"/>
    <w:rsid w:val="250F79C4"/>
    <w:rsid w:val="26275F05"/>
    <w:rsid w:val="264F4578"/>
    <w:rsid w:val="267218C9"/>
    <w:rsid w:val="27541626"/>
    <w:rsid w:val="27977B16"/>
    <w:rsid w:val="27AA290F"/>
    <w:rsid w:val="285D694C"/>
    <w:rsid w:val="28E12E34"/>
    <w:rsid w:val="298F1A25"/>
    <w:rsid w:val="29AD2E5E"/>
    <w:rsid w:val="2AC44BCE"/>
    <w:rsid w:val="2B885500"/>
    <w:rsid w:val="2C396FCF"/>
    <w:rsid w:val="2D677D69"/>
    <w:rsid w:val="2E574DDA"/>
    <w:rsid w:val="2EFF59D3"/>
    <w:rsid w:val="2F1E77C3"/>
    <w:rsid w:val="2F4F78D8"/>
    <w:rsid w:val="2F603CDA"/>
    <w:rsid w:val="2F682983"/>
    <w:rsid w:val="2FA5177C"/>
    <w:rsid w:val="304D2D7D"/>
    <w:rsid w:val="30664B53"/>
    <w:rsid w:val="30FE4BEF"/>
    <w:rsid w:val="31B87656"/>
    <w:rsid w:val="329D1F91"/>
    <w:rsid w:val="32FB67E2"/>
    <w:rsid w:val="34511A11"/>
    <w:rsid w:val="3720484D"/>
    <w:rsid w:val="37624EC6"/>
    <w:rsid w:val="379C10D7"/>
    <w:rsid w:val="385F4F8F"/>
    <w:rsid w:val="390D60C4"/>
    <w:rsid w:val="3B103714"/>
    <w:rsid w:val="3B6738AB"/>
    <w:rsid w:val="3E714D02"/>
    <w:rsid w:val="3FF21887"/>
    <w:rsid w:val="434954AA"/>
    <w:rsid w:val="45962498"/>
    <w:rsid w:val="45D5187E"/>
    <w:rsid w:val="4688408C"/>
    <w:rsid w:val="47CF69B3"/>
    <w:rsid w:val="48906A8F"/>
    <w:rsid w:val="48F317E9"/>
    <w:rsid w:val="499E6D18"/>
    <w:rsid w:val="4AFE08AD"/>
    <w:rsid w:val="4B2015F5"/>
    <w:rsid w:val="4CA44BB6"/>
    <w:rsid w:val="4E376061"/>
    <w:rsid w:val="502F6799"/>
    <w:rsid w:val="5187378F"/>
    <w:rsid w:val="51A9303D"/>
    <w:rsid w:val="530C093A"/>
    <w:rsid w:val="53241334"/>
    <w:rsid w:val="53E378B1"/>
    <w:rsid w:val="566C6246"/>
    <w:rsid w:val="574E5FE2"/>
    <w:rsid w:val="58B12DCB"/>
    <w:rsid w:val="5A7D1B2E"/>
    <w:rsid w:val="5B7B2FC6"/>
    <w:rsid w:val="5C5C5FCC"/>
    <w:rsid w:val="5F1477B7"/>
    <w:rsid w:val="5F571A46"/>
    <w:rsid w:val="5FCB5153"/>
    <w:rsid w:val="60EA08D6"/>
    <w:rsid w:val="619D745F"/>
    <w:rsid w:val="62141232"/>
    <w:rsid w:val="63467DB9"/>
    <w:rsid w:val="63C12C87"/>
    <w:rsid w:val="65FA377A"/>
    <w:rsid w:val="663421EF"/>
    <w:rsid w:val="665E6E47"/>
    <w:rsid w:val="671C7EB8"/>
    <w:rsid w:val="68593726"/>
    <w:rsid w:val="68EE06C5"/>
    <w:rsid w:val="68F716F5"/>
    <w:rsid w:val="69060B68"/>
    <w:rsid w:val="69F37131"/>
    <w:rsid w:val="6AF126F7"/>
    <w:rsid w:val="6B2777BD"/>
    <w:rsid w:val="6B7C4F72"/>
    <w:rsid w:val="6BBC636F"/>
    <w:rsid w:val="6D9B09F1"/>
    <w:rsid w:val="6EF12CC7"/>
    <w:rsid w:val="706A15A9"/>
    <w:rsid w:val="706F46D2"/>
    <w:rsid w:val="70B47A2A"/>
    <w:rsid w:val="714C77AC"/>
    <w:rsid w:val="71615C3D"/>
    <w:rsid w:val="71A316B5"/>
    <w:rsid w:val="71D57417"/>
    <w:rsid w:val="725239F0"/>
    <w:rsid w:val="730B6342"/>
    <w:rsid w:val="73850516"/>
    <w:rsid w:val="740B5DE5"/>
    <w:rsid w:val="741D61B4"/>
    <w:rsid w:val="745D4756"/>
    <w:rsid w:val="74862807"/>
    <w:rsid w:val="75207667"/>
    <w:rsid w:val="76DA15F9"/>
    <w:rsid w:val="787439E9"/>
    <w:rsid w:val="795E558F"/>
    <w:rsid w:val="79BE53CA"/>
    <w:rsid w:val="7B597F4D"/>
    <w:rsid w:val="7C1028CE"/>
    <w:rsid w:val="7C5A0139"/>
    <w:rsid w:val="7F4B1FF2"/>
    <w:rsid w:val="7F9A28C8"/>
    <w:rsid w:val="7F9F70F0"/>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0"/>
    <w:pPr>
      <w:spacing w:after="120"/>
    </w:pPr>
    <w:rPr>
      <w:szCs w:val="20"/>
    </w:r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Body Text Indent"/>
    <w:basedOn w:val="1"/>
    <w:next w:val="5"/>
    <w:qFormat/>
    <w:uiPriority w:val="0"/>
    <w:pPr>
      <w:spacing w:after="120"/>
      <w:ind w:left="420" w:leftChars="200"/>
    </w:pPr>
  </w:style>
  <w:style w:type="paragraph" w:styleId="5">
    <w:name w:val="Body Text First Indent 2"/>
    <w:basedOn w:val="4"/>
    <w:next w:val="1"/>
    <w:qFormat/>
    <w:uiPriority w:val="0"/>
    <w:pPr>
      <w:spacing w:after="120"/>
      <w:ind w:left="420" w:leftChars="200" w:firstLine="420"/>
    </w:pPr>
    <w:rPr>
      <w:kern w:val="2"/>
      <w:sz w:val="21"/>
      <w:szCs w:val="24"/>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ormalIndent"/>
    <w:basedOn w:val="1"/>
    <w:qFormat/>
    <w:uiPriority w:val="0"/>
    <w:pPr>
      <w:ind w:firstLine="420"/>
    </w:pPr>
    <w:rPr>
      <w:rFonts w:ascii="Calibri"/>
    </w:rPr>
  </w:style>
  <w:style w:type="character" w:customStyle="1" w:styleId="13">
    <w:name w:val="页眉 Char"/>
    <w:basedOn w:val="11"/>
    <w:link w:val="7"/>
    <w:semiHidden/>
    <w:qFormat/>
    <w:uiPriority w:val="99"/>
    <w:rPr>
      <w:rFonts w:ascii="Times New Roman" w:hAnsi="Times New Roman" w:eastAsia="宋体" w:cs="Times New Roman"/>
      <w:sz w:val="18"/>
      <w:szCs w:val="18"/>
    </w:rPr>
  </w:style>
  <w:style w:type="character" w:customStyle="1" w:styleId="14">
    <w:name w:val="页脚 Char"/>
    <w:basedOn w:val="11"/>
    <w:link w:val="6"/>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181</Words>
  <Characters>1036</Characters>
  <Lines>8</Lines>
  <Paragraphs>2</Paragraphs>
  <TotalTime>4</TotalTime>
  <ScaleCrop>false</ScaleCrop>
  <LinksUpToDate>false</LinksUpToDate>
  <CharactersWithSpaces>1215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徐诗丹</cp:lastModifiedBy>
  <dcterms:modified xsi:type="dcterms:W3CDTF">2026-08-07T07:32:21Z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B3AB801099B348EF99369285FDB2180F</vt:lpwstr>
  </property>
</Properties>
</file>