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E49915">
      <w:pPr>
        <w:spacing w:line="360" w:lineRule="auto"/>
        <w:jc w:val="center"/>
        <w:rPr>
          <w:rFonts w:ascii="黑体" w:hAnsi="黑体" w:eastAsia="黑体"/>
          <w:b/>
          <w:sz w:val="36"/>
          <w:szCs w:val="36"/>
        </w:rPr>
      </w:pPr>
      <w:r>
        <w:rPr>
          <w:rFonts w:hint="eastAsia" w:ascii="黑体" w:hAnsi="黑体" w:eastAsia="黑体"/>
          <w:b/>
          <w:sz w:val="36"/>
          <w:szCs w:val="36"/>
        </w:rPr>
        <w:t>承诺函</w:t>
      </w:r>
    </w:p>
    <w:p w14:paraId="68588A21">
      <w:pPr>
        <w:keepNext w:val="0"/>
        <w:keepLines w:val="0"/>
        <w:pageBreakBefore w:val="0"/>
        <w:kinsoku/>
        <w:wordWrap/>
        <w:overflowPunct/>
        <w:topLinePunct w:val="0"/>
        <w:autoSpaceDE/>
        <w:autoSpaceDN/>
        <w:bidi w:val="0"/>
        <w:adjustRightInd/>
        <w:snapToGrid/>
        <w:spacing w:line="240" w:lineRule="auto"/>
        <w:textAlignment w:val="auto"/>
        <w:rPr>
          <w:rFonts w:asciiTheme="minorEastAsia" w:hAnsiTheme="minorEastAsia" w:eastAsiaTheme="minorEastAsia"/>
          <w:szCs w:val="21"/>
        </w:rPr>
      </w:pPr>
      <w:r>
        <w:rPr>
          <w:rFonts w:hint="eastAsia" w:asciiTheme="minorEastAsia" w:hAnsiTheme="minorEastAsia" w:eastAsiaTheme="minorEastAsia"/>
          <w:b w:val="0"/>
          <w:bCs w:val="0"/>
          <w:szCs w:val="21"/>
        </w:rPr>
        <w:t>杭州产权交易所有限责任公司：</w:t>
      </w:r>
      <w:r>
        <w:rPr>
          <w:rFonts w:asciiTheme="minorEastAsia" w:hAnsiTheme="minorEastAsia" w:eastAsiaTheme="minorEastAsia"/>
          <w:szCs w:val="21"/>
        </w:rPr>
        <w:t>：</w:t>
      </w:r>
    </w:p>
    <w:p w14:paraId="0E65E6DC">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asciiTheme="minorEastAsia" w:hAnsiTheme="minorEastAsia" w:eastAsiaTheme="minorEastAsia"/>
          <w:szCs w:val="21"/>
          <w:u w:val="none"/>
        </w:rPr>
      </w:pPr>
      <w:r>
        <w:rPr>
          <w:rFonts w:hint="eastAsia" w:asciiTheme="minorEastAsia" w:hAnsiTheme="minorEastAsia" w:eastAsiaTheme="minorEastAsia"/>
          <w:szCs w:val="21"/>
        </w:rPr>
        <w:t>我方拟</w:t>
      </w:r>
      <w:r>
        <w:rPr>
          <w:rFonts w:hint="eastAsia" w:cs="Times New Roman" w:asciiTheme="minorEastAsia" w:hAnsiTheme="minorEastAsia" w:eastAsiaTheme="minorEastAsia"/>
          <w:szCs w:val="21"/>
        </w:rPr>
        <w:t>受让</w:t>
      </w:r>
      <w:r>
        <w:rPr>
          <w:rFonts w:hint="eastAsia" w:cs="Times New Roman" w:asciiTheme="minorEastAsia" w:hAnsiTheme="minorEastAsia" w:eastAsiaTheme="minorEastAsia"/>
          <w:b/>
          <w:bCs/>
          <w:szCs w:val="21"/>
          <w:u w:val="single"/>
          <w:lang w:val="en-US" w:eastAsia="zh-CN"/>
        </w:rPr>
        <w:t>杭州市临平区临平街道上景云栖宸园9幢1601室房产</w:t>
      </w:r>
      <w:r>
        <w:rPr>
          <w:rFonts w:hint="eastAsia" w:cs="Times New Roman" w:asciiTheme="minorEastAsia" w:hAnsiTheme="minorEastAsia" w:eastAsiaTheme="minorEastAsia"/>
          <w:szCs w:val="21"/>
          <w:lang w:val="en-US" w:eastAsia="zh-CN"/>
        </w:rPr>
        <w:t>项目</w:t>
      </w:r>
      <w:r>
        <w:rPr>
          <w:rFonts w:hint="eastAsia" w:asciiTheme="minorEastAsia" w:hAnsiTheme="minorEastAsia" w:eastAsiaTheme="minorEastAsia"/>
          <w:szCs w:val="21"/>
          <w:u w:val="none"/>
        </w:rPr>
        <w:t>，现做</w:t>
      </w:r>
      <w:r>
        <w:rPr>
          <w:rFonts w:asciiTheme="minorEastAsia" w:hAnsiTheme="minorEastAsia" w:eastAsiaTheme="minorEastAsia"/>
          <w:szCs w:val="21"/>
          <w:u w:val="none"/>
        </w:rPr>
        <w:t>如下承诺：</w:t>
      </w:r>
    </w:p>
    <w:p w14:paraId="3E914FC5">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asciiTheme="minorEastAsia" w:hAnsiTheme="minorEastAsia" w:eastAsiaTheme="minorEastAsia"/>
          <w:szCs w:val="21"/>
          <w:u w:val="none"/>
        </w:rPr>
      </w:pPr>
      <w:r>
        <w:rPr>
          <w:rFonts w:hint="eastAsia" w:asciiTheme="minorEastAsia" w:hAnsiTheme="minorEastAsia" w:eastAsiaTheme="minorEastAsia"/>
          <w:szCs w:val="21"/>
          <w:u w:val="none"/>
        </w:rPr>
        <w:t>1、</w:t>
      </w:r>
      <w:r>
        <w:rPr>
          <w:rFonts w:hint="eastAsia" w:asciiTheme="minorEastAsia" w:hAnsiTheme="minorEastAsia"/>
          <w:szCs w:val="21"/>
          <w:highlight w:val="none"/>
          <w:u w:val="none"/>
          <w:lang w:val="en-US" w:eastAsia="zh-CN"/>
        </w:rPr>
        <w:t>我方已仔细阅读并自愿遵守杭交所《资产转让在线报价交易须知》等文件的规定，同意按照相关规定参加本项目在线报价活动。</w:t>
      </w:r>
    </w:p>
    <w:p w14:paraId="482B57DA">
      <w:pPr>
        <w:keepNext w:val="0"/>
        <w:keepLines w:val="0"/>
        <w:pageBreakBefore w:val="0"/>
        <w:widowControl/>
        <w:tabs>
          <w:tab w:val="left" w:pos="6975"/>
        </w:tabs>
        <w:kinsoku/>
        <w:wordWrap/>
        <w:overflowPunct/>
        <w:topLinePunct w:val="0"/>
        <w:autoSpaceDE/>
        <w:autoSpaceDN/>
        <w:bidi w:val="0"/>
        <w:adjustRightInd/>
        <w:snapToGrid/>
        <w:spacing w:line="240" w:lineRule="auto"/>
        <w:ind w:firstLine="420" w:firstLineChars="200"/>
        <w:jc w:val="left"/>
        <w:textAlignment w:val="auto"/>
        <w:rPr>
          <w:rFonts w:asciiTheme="minorEastAsia" w:hAnsiTheme="minorEastAsia"/>
          <w:szCs w:val="21"/>
        </w:rPr>
      </w:pPr>
      <w:r>
        <w:rPr>
          <w:rFonts w:hint="eastAsia" w:asciiTheme="minorEastAsia" w:hAnsiTheme="minorEastAsia" w:eastAsiaTheme="minorEastAsia"/>
          <w:szCs w:val="21"/>
        </w:rPr>
        <w:t>2、我方提交受让申请材料并且交纳交易保证金后，即视为已详细阅读并完全认可本项目信息披露内容以及已完成对标的的现场踏勘，表明已认可并自愿接受标的现状及瑕疵，且自愿承担一切交易风险。</w:t>
      </w:r>
    </w:p>
    <w:p w14:paraId="5A2B11A6">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3、意向受让方须自行了解其对转让标的受让事项是否符合中国现行法律法规及标的所在地相关政策、房屋权属变更机构的相关规定，须自行承担无法过户的风险。</w:t>
      </w:r>
    </w:p>
    <w:p w14:paraId="0490DB3C">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4、意向受让方须书面承诺：</w:t>
      </w:r>
    </w:p>
    <w:p w14:paraId="205FD565">
      <w:pPr>
        <w:spacing w:line="240" w:lineRule="auto"/>
        <w:ind w:firstLine="420" w:firstLineChars="200"/>
        <w:rPr>
          <w:rFonts w:hint="eastAsia" w:cs="Times New Roman" w:asciiTheme="minorEastAsia" w:hAnsiTheme="minorEastAsia" w:eastAsiaTheme="minorEastAsia"/>
          <w:b w:val="0"/>
          <w:bCs w:val="0"/>
          <w:szCs w:val="21"/>
          <w:lang w:val="en-US" w:eastAsia="zh-CN"/>
        </w:rPr>
      </w:pPr>
      <w:r>
        <w:rPr>
          <w:rFonts w:hint="eastAsia" w:cs="Times New Roman" w:asciiTheme="minorEastAsia" w:hAnsiTheme="minorEastAsia" w:eastAsiaTheme="minorEastAsia"/>
          <w:b w:val="0"/>
          <w:bCs w:val="0"/>
          <w:szCs w:val="21"/>
          <w:lang w:val="en-US" w:eastAsia="zh-CN"/>
        </w:rPr>
        <w:t>（1）同意在被确定为受让方之日起5个工作日内，携带受让申请材料原件到杭交所完成现场确认并签署《房屋转让合同》。</w:t>
      </w:r>
    </w:p>
    <w:p w14:paraId="00132145">
      <w:pPr>
        <w:spacing w:line="240" w:lineRule="auto"/>
        <w:ind w:firstLine="420" w:firstLineChars="200"/>
        <w:rPr>
          <w:rFonts w:hint="eastAsia" w:cs="Times New Roman" w:asciiTheme="minorEastAsia" w:hAnsiTheme="minorEastAsia" w:eastAsiaTheme="minorEastAsia"/>
          <w:b w:val="0"/>
          <w:bCs w:val="0"/>
          <w:szCs w:val="21"/>
          <w:lang w:val="en-US" w:eastAsia="zh-CN"/>
        </w:rPr>
      </w:pPr>
      <w:r>
        <w:rPr>
          <w:rFonts w:hint="eastAsia" w:cs="Times New Roman" w:asciiTheme="minorEastAsia" w:hAnsiTheme="minorEastAsia" w:eastAsiaTheme="minorEastAsia"/>
          <w:b w:val="0"/>
          <w:bCs w:val="0"/>
          <w:szCs w:val="21"/>
          <w:lang w:val="en-US" w:eastAsia="zh-CN"/>
        </w:rPr>
        <w:t>（2）同意以下价款支付方式：</w:t>
      </w:r>
    </w:p>
    <w:p w14:paraId="221D7258">
      <w:pPr>
        <w:spacing w:line="240" w:lineRule="auto"/>
        <w:ind w:firstLine="420" w:firstLineChars="200"/>
        <w:rPr>
          <w:rFonts w:hint="eastAsia" w:cs="Times New Roman" w:asciiTheme="minorEastAsia" w:hAnsiTheme="minorEastAsia" w:eastAsiaTheme="minorEastAsia"/>
          <w:b w:val="0"/>
          <w:bCs w:val="0"/>
          <w:szCs w:val="21"/>
          <w:lang w:val="en-US" w:eastAsia="zh-CN"/>
        </w:rPr>
      </w:pPr>
      <w:r>
        <w:rPr>
          <w:rFonts w:hint="eastAsia" w:cs="Times New Roman" w:asciiTheme="minorEastAsia" w:hAnsiTheme="minorEastAsia" w:eastAsiaTheme="minorEastAsia"/>
          <w:b w:val="0"/>
          <w:bCs w:val="0"/>
          <w:szCs w:val="21"/>
          <w:lang w:val="en-US" w:eastAsia="zh-CN"/>
        </w:rPr>
        <w:t>采用一次性付款方式：受让方在《成交通知书》、《房屋转让合同》签署之日起20个工作日内一次性支付房款及房屋维修基金（房屋维修基金为60元/㎡）至杭交所指定的银行账户（以《房屋转让合同》为准）。《房屋转让合同》签署当日，受让方交纳的交易保证金冲抵交易服务费，多余部分（若有）转为履约保证金，待应支付的剩余款项全部到账后，履约保证金再转为交易价款的一部分（以到账时间为准）。</w:t>
      </w:r>
    </w:p>
    <w:p w14:paraId="4D133A4D">
      <w:pPr>
        <w:spacing w:line="240" w:lineRule="auto"/>
        <w:ind w:firstLine="420" w:firstLineChars="200"/>
        <w:rPr>
          <w:rFonts w:hint="eastAsia" w:cs="Times New Roman" w:asciiTheme="minorEastAsia" w:hAnsiTheme="minorEastAsia" w:eastAsiaTheme="minorEastAsia"/>
          <w:b w:val="0"/>
          <w:bCs w:val="0"/>
          <w:szCs w:val="21"/>
          <w:lang w:val="en-US" w:eastAsia="zh-CN"/>
        </w:rPr>
      </w:pPr>
      <w:r>
        <w:rPr>
          <w:rFonts w:hint="eastAsia" w:cs="Times New Roman" w:asciiTheme="minorEastAsia" w:hAnsiTheme="minorEastAsia" w:eastAsiaTheme="minorEastAsia"/>
          <w:b w:val="0"/>
          <w:bCs w:val="0"/>
          <w:szCs w:val="21"/>
          <w:lang w:val="en-US" w:eastAsia="zh-CN"/>
        </w:rPr>
        <w:t>采用贷款方式：a.意向方应于报名截止日前（至少提前二天）自行与指定贷款银行（①杭州银行股份有限公司临平支行，联系人：丁洪伟 13757123655；鲍波 18072936188 ②兴业银行股份有限公司杭州临平支行，联系人：赵炜 13588329590 ③余杭农商银行营业部，联系人：应经理 ：13588306813）了解贷款的相关事宜，并按银行要求办理贷款申请手续，通过银行贷款申请审查，如符合银行贷款条件并竞价成交的，可办理银行贷款。b.意向方向银行申请贷款服务的行为，系其与银行之间的自主行为，贷款成功与否、相关费用及由此引发的所有风险和其相应的一切法律和经济责任均由受让方承担，与转让方和杭交所无涉。c.受让方在《成交通知书》、《房屋转让合同》签署之日起5个工作日内将转让价的首付款（不低于成交价的30%，以银行审核为准）及房屋维修基金（房屋维修基金为60元/㎡）支付至转让方指定的银行账户（以房屋转让合同为准）。剩余转让价款在银行放款之日起3个工作日内支付至转让方指定的银行账户（以《浙江省存量房买卖合同》为准）。《房屋转让合同》签署当日，受让方交纳的交易保证金冲抵交易服务费，多余部分（若有）转为履约保证金，待应支付的剩余首付款全部到账后，履约保证金再转为首付款的一部分（以到账时间为准）。d.因转让房屋权利性质为出让/安置房，转让方需向国家上缴土地出让金及相关税费，若在转让方办理完成土地出让金缴纳手续且转让方发出通知之日起30个工作日内，受让方贷款部分不能按时支付至转让方指定账户或受让方贷款审批未能及时通过或者贷款数额不足以支付房款余额的，则受让方仍须在转让方办理完成土地出让金缴纳全部手续且转让方发出通知之日起35个工作日内付清剩余应付款项，否则根据房屋转让合同的约定承担相应的违约责任，受让方办理贷款业务引发的所有风险由受让方自行承担，与转让方、杭交所无涉。</w:t>
      </w:r>
    </w:p>
    <w:p w14:paraId="4408AE4C">
      <w:pPr>
        <w:numPr>
          <w:ilvl w:val="0"/>
          <w:numId w:val="0"/>
        </w:numPr>
        <w:spacing w:line="240" w:lineRule="auto"/>
        <w:ind w:firstLine="420" w:firstLineChars="200"/>
        <w:rPr>
          <w:rFonts w:hint="eastAsia" w:cs="Times New Roman" w:asciiTheme="minorEastAsia" w:hAnsiTheme="minorEastAsia" w:eastAsiaTheme="minorEastAsia"/>
          <w:b w:val="0"/>
          <w:bCs w:val="0"/>
          <w:szCs w:val="21"/>
          <w:lang w:val="en-US" w:eastAsia="zh-CN"/>
        </w:rPr>
      </w:pPr>
      <w:r>
        <w:rPr>
          <w:rFonts w:hint="eastAsia" w:cs="Times New Roman" w:asciiTheme="minorEastAsia" w:hAnsiTheme="minorEastAsia" w:eastAsiaTheme="minorEastAsia"/>
          <w:b w:val="0"/>
          <w:bCs w:val="0"/>
          <w:kern w:val="2"/>
          <w:sz w:val="21"/>
          <w:szCs w:val="21"/>
          <w:lang w:val="en-US" w:eastAsia="zh-CN" w:bidi="ar-SA"/>
        </w:rPr>
        <w:t>（3）</w:t>
      </w:r>
      <w:r>
        <w:rPr>
          <w:rFonts w:hint="eastAsia" w:cs="Times New Roman" w:asciiTheme="minorEastAsia" w:hAnsiTheme="minorEastAsia" w:eastAsiaTheme="minorEastAsia"/>
          <w:b w:val="0"/>
          <w:bCs w:val="0"/>
          <w:szCs w:val="21"/>
          <w:lang w:val="en-US" w:eastAsia="zh-CN"/>
        </w:rPr>
        <w:t>同意受让方转账时必须在备注或附言上注明转账人姓名（转账人必须与《成交通知书》中受让方姓名一致）。</w:t>
      </w:r>
    </w:p>
    <w:p w14:paraId="4209BDE2">
      <w:pPr>
        <w:numPr>
          <w:ilvl w:val="0"/>
          <w:numId w:val="0"/>
        </w:numPr>
        <w:spacing w:line="240" w:lineRule="auto"/>
        <w:rPr>
          <w:rFonts w:hint="eastAsia" w:cs="Times New Roman" w:asciiTheme="minorEastAsia" w:hAnsiTheme="minorEastAsia" w:eastAsiaTheme="minorEastAsia"/>
          <w:b w:val="0"/>
          <w:bCs w:val="0"/>
          <w:szCs w:val="21"/>
          <w:lang w:val="en-US" w:eastAsia="zh-CN"/>
        </w:rPr>
      </w:pPr>
      <w:r>
        <w:rPr>
          <w:rFonts w:hint="eastAsia" w:cs="Times New Roman" w:asciiTheme="minorEastAsia" w:hAnsiTheme="minorEastAsia" w:eastAsiaTheme="minorEastAsia"/>
          <w:b w:val="0"/>
          <w:bCs w:val="0"/>
          <w:szCs w:val="21"/>
          <w:lang w:val="en-US" w:eastAsia="zh-CN"/>
        </w:rPr>
        <w:t xml:space="preserve">    （4）同意杭交所在经转让方申请之日起5个工作日内将受让方已交纳的交易价款或首付款划转至转让方指定账户。</w:t>
      </w:r>
    </w:p>
    <w:p w14:paraId="0B069B90">
      <w:pPr>
        <w:spacing w:line="240" w:lineRule="auto"/>
        <w:ind w:firstLine="420" w:firstLineChars="200"/>
        <w:rPr>
          <w:rFonts w:hint="eastAsia" w:cs="Times New Roman" w:asciiTheme="minorEastAsia" w:hAnsiTheme="minorEastAsia" w:eastAsiaTheme="minorEastAsia"/>
          <w:b w:val="0"/>
          <w:bCs w:val="0"/>
          <w:szCs w:val="21"/>
          <w:lang w:val="en-US" w:eastAsia="zh-CN"/>
        </w:rPr>
      </w:pPr>
      <w:r>
        <w:rPr>
          <w:rFonts w:hint="eastAsia" w:cs="Times New Roman" w:asciiTheme="minorEastAsia" w:hAnsiTheme="minorEastAsia" w:eastAsiaTheme="minorEastAsia"/>
          <w:b w:val="0"/>
          <w:bCs w:val="0"/>
          <w:szCs w:val="21"/>
          <w:lang w:val="en-US" w:eastAsia="zh-CN"/>
        </w:rPr>
        <w:t>（5）同意自行了解并完全符合国家及杭州市、临平区规定的购房条件，若因受让方原因造成所成交的房屋无法过户，所缴纳的购房款损失及其他经济损失均由受让方承担，与转让方、杭交所无关，受让方已付的交易服务费、履约保证金不予返还。</w:t>
      </w:r>
    </w:p>
    <w:p w14:paraId="64364029">
      <w:pPr>
        <w:spacing w:line="240" w:lineRule="auto"/>
        <w:ind w:firstLine="420" w:firstLineChars="200"/>
        <w:rPr>
          <w:rFonts w:hint="eastAsia" w:cs="Times New Roman" w:asciiTheme="minorEastAsia" w:hAnsiTheme="minorEastAsia" w:eastAsiaTheme="minorEastAsia"/>
          <w:b w:val="0"/>
          <w:bCs w:val="0"/>
          <w:szCs w:val="21"/>
          <w:lang w:val="en-US" w:eastAsia="zh-CN"/>
        </w:rPr>
      </w:pPr>
      <w:r>
        <w:rPr>
          <w:rFonts w:hint="eastAsia" w:cs="Times New Roman" w:asciiTheme="minorEastAsia" w:hAnsiTheme="minorEastAsia" w:eastAsiaTheme="minorEastAsia"/>
          <w:b w:val="0"/>
          <w:bCs w:val="0"/>
          <w:szCs w:val="21"/>
          <w:lang w:val="en-US" w:eastAsia="zh-CN"/>
        </w:rPr>
        <w:t>（6）同意在转让方办理完成土地出让金缴纳手续后在办理房产权证变更登记手续时，根据有关职能部门要求，受让方应与转让方签署《浙江省存量房买卖合同》并办理网签手续。受让方怠于签署《浙江省存量房买卖合同》办理网签手续所导致的不利后果均由受让方自行承担，与转让方无关。</w:t>
      </w:r>
      <w:bookmarkStart w:id="0" w:name="_GoBack"/>
      <w:bookmarkEnd w:id="0"/>
    </w:p>
    <w:p w14:paraId="3713711C">
      <w:pPr>
        <w:spacing w:line="240" w:lineRule="auto"/>
        <w:ind w:firstLine="420" w:firstLineChars="200"/>
        <w:rPr>
          <w:rFonts w:hint="eastAsia" w:cs="Times New Roman" w:asciiTheme="minorEastAsia" w:hAnsiTheme="minorEastAsia" w:eastAsiaTheme="minorEastAsia"/>
          <w:b w:val="0"/>
          <w:bCs w:val="0"/>
          <w:szCs w:val="21"/>
          <w:lang w:val="en-US" w:eastAsia="zh-CN"/>
        </w:rPr>
      </w:pPr>
      <w:r>
        <w:rPr>
          <w:rFonts w:hint="eastAsia" w:cs="Times New Roman" w:asciiTheme="minorEastAsia" w:hAnsiTheme="minorEastAsia" w:eastAsiaTheme="minorEastAsia"/>
          <w:b w:val="0"/>
          <w:bCs w:val="0"/>
          <w:szCs w:val="21"/>
          <w:lang w:val="en-US" w:eastAsia="zh-CN"/>
        </w:rPr>
        <w:t>（7）受让方应自行办理水、电、燃气等户名变更手续，相关费用自理。房地产变更登记过程中如需出具或重新出具评估报告的评估费用由受让方承担。</w:t>
      </w:r>
    </w:p>
    <w:p w14:paraId="0A564501">
      <w:pPr>
        <w:spacing w:line="240" w:lineRule="auto"/>
        <w:ind w:firstLine="420" w:firstLineChars="200"/>
        <w:rPr>
          <w:rFonts w:hint="eastAsia" w:cs="Times New Roman" w:asciiTheme="minorEastAsia" w:hAnsiTheme="minorEastAsia" w:eastAsiaTheme="minorEastAsia"/>
          <w:b w:val="0"/>
          <w:bCs w:val="0"/>
          <w:szCs w:val="21"/>
          <w:lang w:val="en-US" w:eastAsia="zh-CN"/>
        </w:rPr>
      </w:pPr>
      <w:r>
        <w:rPr>
          <w:rFonts w:hint="eastAsia" w:cs="Times New Roman" w:asciiTheme="minorEastAsia" w:hAnsiTheme="minorEastAsia" w:eastAsiaTheme="minorEastAsia"/>
          <w:b w:val="0"/>
          <w:bCs w:val="0"/>
          <w:szCs w:val="21"/>
          <w:lang w:val="en-US" w:eastAsia="zh-CN"/>
        </w:rPr>
        <w:t>（8）产权交易过程中所产生、涉及的相关税费等所有费用，由转、受让双方按国家现行税收政策各自承担。另有约定的，从其约定。</w:t>
      </w:r>
    </w:p>
    <w:p w14:paraId="710E2886">
      <w:pPr>
        <w:spacing w:line="240" w:lineRule="auto"/>
        <w:ind w:firstLine="420" w:firstLineChars="200"/>
        <w:rPr>
          <w:rFonts w:hint="eastAsia" w:cs="Times New Roman" w:asciiTheme="minorEastAsia" w:hAnsiTheme="minorEastAsia" w:eastAsiaTheme="minorEastAsia"/>
          <w:b w:val="0"/>
          <w:bCs w:val="0"/>
          <w:szCs w:val="21"/>
          <w:lang w:val="en-US" w:eastAsia="zh-CN"/>
        </w:rPr>
      </w:pPr>
      <w:r>
        <w:rPr>
          <w:rFonts w:hint="eastAsia" w:cs="Times New Roman" w:asciiTheme="minorEastAsia" w:hAnsiTheme="minorEastAsia" w:eastAsiaTheme="minorEastAsia"/>
          <w:b w:val="0"/>
          <w:bCs w:val="0"/>
          <w:szCs w:val="21"/>
          <w:lang w:val="en-US" w:eastAsia="zh-CN"/>
        </w:rPr>
        <w:t>（9）本次转让标的挂牌价格及成交价格为含增值税价格，转让完成后转让方将向受让方开具购房增值税发票，一切以现行税法及税收政策的具体规定为准。</w:t>
      </w:r>
    </w:p>
    <w:p w14:paraId="7995F72F">
      <w:pPr>
        <w:spacing w:line="240" w:lineRule="auto"/>
        <w:ind w:firstLine="420" w:firstLineChars="200"/>
        <w:rPr>
          <w:rFonts w:hint="eastAsia" w:cs="Times New Roman" w:asciiTheme="minorEastAsia" w:hAnsiTheme="minorEastAsia" w:eastAsiaTheme="minorEastAsia"/>
          <w:b w:val="0"/>
          <w:bCs w:val="0"/>
          <w:szCs w:val="21"/>
          <w:lang w:val="en-US" w:eastAsia="zh-CN"/>
        </w:rPr>
      </w:pPr>
      <w:r>
        <w:rPr>
          <w:rFonts w:hint="eastAsia" w:cs="Times New Roman" w:asciiTheme="minorEastAsia" w:hAnsiTheme="minorEastAsia" w:eastAsiaTheme="minorEastAsia"/>
          <w:b w:val="0"/>
          <w:bCs w:val="0"/>
          <w:szCs w:val="21"/>
          <w:lang w:val="en-US" w:eastAsia="zh-CN"/>
        </w:rPr>
        <w:t>（10）标的按实际现状进行转让，并按实际现状交付，如遇公告面积、用途和性质等与实际办理有差异时，应以登记机关发证为准，不影响本次转让的成交价和成交关系，不多退少补。</w:t>
      </w:r>
    </w:p>
    <w:p w14:paraId="6BDBA1BB">
      <w:pPr>
        <w:spacing w:line="240" w:lineRule="auto"/>
        <w:ind w:firstLine="420" w:firstLineChars="200"/>
        <w:rPr>
          <w:rFonts w:hint="eastAsia" w:cs="Times New Roman" w:asciiTheme="minorEastAsia" w:hAnsiTheme="minorEastAsia" w:eastAsiaTheme="minorEastAsia"/>
          <w:b w:val="0"/>
          <w:bCs w:val="0"/>
          <w:szCs w:val="21"/>
          <w:lang w:val="en-US" w:eastAsia="zh-CN"/>
        </w:rPr>
      </w:pPr>
      <w:r>
        <w:rPr>
          <w:rFonts w:hint="eastAsia" w:cs="Times New Roman" w:asciiTheme="minorEastAsia" w:hAnsiTheme="minorEastAsia" w:eastAsiaTheme="minorEastAsia"/>
          <w:b w:val="0"/>
          <w:bCs w:val="0"/>
          <w:szCs w:val="21"/>
          <w:lang w:val="en-US" w:eastAsia="zh-CN"/>
        </w:rPr>
        <w:t>（11）交付日前的水费、电费、燃气费等由转让方负责，标的交付时，转让方负责结清相应费用。交付日后的上述相关费用由受让方自行解决，转让方不承担上述费用。物业管理费从交接次月起由受让方承担。未明确缴费义务人的费用也由受让方自行承担。</w:t>
      </w:r>
    </w:p>
    <w:p w14:paraId="67CBC45F">
      <w:pPr>
        <w:spacing w:line="240" w:lineRule="auto"/>
        <w:ind w:firstLine="420" w:firstLineChars="200"/>
        <w:rPr>
          <w:rFonts w:hint="eastAsia" w:cs="Times New Roman" w:asciiTheme="minorEastAsia" w:hAnsiTheme="minorEastAsia" w:eastAsiaTheme="minorEastAsia"/>
          <w:b w:val="0"/>
          <w:bCs w:val="0"/>
          <w:szCs w:val="21"/>
          <w:lang w:val="en-US" w:eastAsia="zh-CN"/>
        </w:rPr>
      </w:pPr>
      <w:r>
        <w:rPr>
          <w:rFonts w:hint="eastAsia" w:cs="Times New Roman" w:asciiTheme="minorEastAsia" w:hAnsiTheme="minorEastAsia" w:eastAsiaTheme="minorEastAsia"/>
          <w:b w:val="0"/>
          <w:bCs w:val="0"/>
          <w:szCs w:val="21"/>
          <w:lang w:val="en-US" w:eastAsia="zh-CN"/>
        </w:rPr>
        <w:t>（12）已知悉并同意：水、电开户的相关手续及费用由受让方自理，但是否可以重新开户不在转让方合同义务范围内，具体按照交易标的情况和政府相关管理规定执行。</w:t>
      </w:r>
    </w:p>
    <w:p w14:paraId="34EE2C4C">
      <w:pPr>
        <w:spacing w:line="240" w:lineRule="auto"/>
        <w:ind w:firstLine="420" w:firstLineChars="200"/>
        <w:rPr>
          <w:rFonts w:hint="eastAsia" w:cs="Times New Roman" w:asciiTheme="minorEastAsia" w:hAnsiTheme="minorEastAsia" w:eastAsiaTheme="minorEastAsia"/>
          <w:b w:val="0"/>
          <w:bCs w:val="0"/>
          <w:szCs w:val="21"/>
          <w:lang w:val="en-US" w:eastAsia="zh-CN"/>
        </w:rPr>
      </w:pPr>
      <w:r>
        <w:rPr>
          <w:rFonts w:hint="eastAsia" w:cs="Times New Roman" w:asciiTheme="minorEastAsia" w:hAnsiTheme="minorEastAsia" w:eastAsiaTheme="minorEastAsia"/>
          <w:b w:val="0"/>
          <w:bCs w:val="0"/>
          <w:szCs w:val="21"/>
          <w:lang w:val="en-US" w:eastAsia="zh-CN"/>
        </w:rPr>
        <w:t>（13）已知悉：本次转让方与受让方的权利义务以及房屋的交接，最终以《房屋转让合同》为准。</w:t>
      </w:r>
    </w:p>
    <w:p w14:paraId="3CC30A72">
      <w:pPr>
        <w:spacing w:line="240" w:lineRule="auto"/>
        <w:ind w:firstLine="420" w:firstLineChars="200"/>
        <w:rPr>
          <w:rFonts w:hint="default" w:cs="Times New Roman" w:asciiTheme="minorEastAsia" w:hAnsiTheme="minorEastAsia" w:eastAsiaTheme="minorEastAsia"/>
          <w:b w:val="0"/>
          <w:bCs w:val="0"/>
          <w:szCs w:val="21"/>
          <w:lang w:val="en-US" w:eastAsia="zh-CN"/>
        </w:rPr>
      </w:pPr>
      <w:r>
        <w:rPr>
          <w:rFonts w:hint="default" w:cs="Times New Roman" w:asciiTheme="minorEastAsia" w:hAnsiTheme="minorEastAsia" w:eastAsiaTheme="minorEastAsia"/>
          <w:b w:val="0"/>
          <w:bCs w:val="0"/>
          <w:szCs w:val="21"/>
          <w:lang w:val="en-US" w:eastAsia="zh-CN"/>
        </w:rPr>
        <w:t>（14）已知悉并同意：本次交易标的成交后，受让方需按房产所在小区物业管理规定交纳物业管理费。</w:t>
      </w:r>
    </w:p>
    <w:p w14:paraId="13A84DA9">
      <w:pPr>
        <w:spacing w:line="240" w:lineRule="auto"/>
        <w:ind w:firstLine="420" w:firstLineChars="200"/>
        <w:rPr>
          <w:rFonts w:hint="default" w:cs="Times New Roman" w:asciiTheme="minorEastAsia" w:hAnsiTheme="minorEastAsia" w:eastAsiaTheme="minorEastAsia"/>
          <w:b w:val="0"/>
          <w:bCs w:val="0"/>
          <w:szCs w:val="21"/>
          <w:lang w:val="en-US" w:eastAsia="zh-CN"/>
        </w:rPr>
      </w:pPr>
      <w:r>
        <w:rPr>
          <w:rFonts w:hint="default" w:cs="Times New Roman" w:asciiTheme="minorEastAsia" w:hAnsiTheme="minorEastAsia" w:eastAsiaTheme="minorEastAsia"/>
          <w:b w:val="0"/>
          <w:bCs w:val="0"/>
          <w:szCs w:val="21"/>
          <w:lang w:val="en-US" w:eastAsia="zh-CN"/>
        </w:rPr>
        <w:t>（15）已知悉并同意：在办理房产权证变更登记手续时，有关职能部门要求提供文本合同的，转让方和受让方应按照相关规定签订文本合同，但双方签订的该文本合同仅作为办理登记手续之用，不作为双方的实际履行依据，双方权利义务关系均以《房屋转让合同》（样本）为准。</w:t>
      </w:r>
    </w:p>
    <w:p w14:paraId="77D6E6EC">
      <w:pPr>
        <w:spacing w:line="240" w:lineRule="auto"/>
        <w:ind w:firstLine="420" w:firstLineChars="200"/>
        <w:rPr>
          <w:rFonts w:hint="default" w:cs="Times New Roman" w:asciiTheme="minorEastAsia" w:hAnsiTheme="minorEastAsia" w:eastAsiaTheme="minorEastAsia"/>
          <w:b w:val="0"/>
          <w:bCs w:val="0"/>
          <w:szCs w:val="21"/>
          <w:lang w:val="en-US" w:eastAsia="zh-CN"/>
        </w:rPr>
      </w:pPr>
      <w:r>
        <w:rPr>
          <w:rFonts w:hint="default" w:cs="Times New Roman" w:asciiTheme="minorEastAsia" w:hAnsiTheme="minorEastAsia" w:eastAsiaTheme="minorEastAsia"/>
          <w:b w:val="0"/>
          <w:bCs w:val="0"/>
          <w:szCs w:val="21"/>
          <w:lang w:val="en-US" w:eastAsia="zh-CN"/>
        </w:rPr>
        <w:t>（16）因转让房屋权利性质为出让/安置房，转让方需向国家上缴土地出让金及相关税费；因转让方办理土地出让金缴纳手续过程可能会较长，受让方办理所有权证过户时间也会相应延长，请意向方在作出竞买决定前自行到相关职能部门咨询确认，转让方对受让方办理产证时限不作承诺，且对此不承担相应责任。</w:t>
      </w:r>
    </w:p>
    <w:p w14:paraId="295555C5">
      <w:pPr>
        <w:spacing w:line="240" w:lineRule="auto"/>
        <w:ind w:firstLine="420" w:firstLineChars="200"/>
        <w:rPr>
          <w:rFonts w:hint="default" w:cs="Times New Roman" w:asciiTheme="minorEastAsia" w:hAnsiTheme="minorEastAsia" w:eastAsiaTheme="minorEastAsia"/>
          <w:b w:val="0"/>
          <w:bCs w:val="0"/>
          <w:szCs w:val="21"/>
          <w:lang w:val="en-US" w:eastAsia="zh-CN"/>
        </w:rPr>
      </w:pPr>
      <w:r>
        <w:rPr>
          <w:rFonts w:hint="default" w:cs="Times New Roman" w:asciiTheme="minorEastAsia" w:hAnsiTheme="minorEastAsia" w:eastAsiaTheme="minorEastAsia"/>
          <w:b w:val="0"/>
          <w:bCs w:val="0"/>
          <w:szCs w:val="21"/>
          <w:lang w:val="en-US" w:eastAsia="zh-CN"/>
        </w:rPr>
        <w:t>（17）转让方在收到全部款项（含首付款、银行按揭贷款、尾款、补足款等各类应付款）以及房屋维修基金（缴纳标准为60元/平方米）之日起20个工作日内通知受让方办理交房手续并将房产钥匙交付给受让方（视为房屋交付完毕），由受让方核验查收并在《交房函》上签字盖章（按手印）。转让方将钥匙交付受让方使用后，本次转让标的的风险由受让方负责。</w:t>
      </w:r>
    </w:p>
    <w:p w14:paraId="7F13AEAC">
      <w:pPr>
        <w:spacing w:line="240" w:lineRule="auto"/>
        <w:ind w:firstLine="420" w:firstLineChars="200"/>
        <w:rPr>
          <w:rFonts w:hint="default" w:cs="Times New Roman" w:asciiTheme="minorEastAsia" w:hAnsiTheme="minorEastAsia" w:eastAsiaTheme="minorEastAsia"/>
          <w:b w:val="0"/>
          <w:bCs w:val="0"/>
          <w:szCs w:val="21"/>
          <w:lang w:val="en-US" w:eastAsia="zh-CN"/>
        </w:rPr>
      </w:pPr>
      <w:r>
        <w:rPr>
          <w:rFonts w:hint="default" w:cs="Times New Roman" w:asciiTheme="minorEastAsia" w:hAnsiTheme="minorEastAsia" w:eastAsiaTheme="minorEastAsia"/>
          <w:b w:val="0"/>
          <w:bCs w:val="0"/>
          <w:szCs w:val="21"/>
          <w:lang w:val="en-US" w:eastAsia="zh-CN"/>
        </w:rPr>
        <w:t>（18）因转让房屋权利性质为出让/安置房，采用一次性付款方式的须待转让方收到全部房款及房屋维修基金，办理完成土地出让金缴纳手续并符合房产过户条件后60个工作日内，双方向房屋登记机构申请办理房屋权属转移登记手续；采用贷款方式的须待转让方收到首付款及房屋维修基金，办理完成土地出让金缴纳手续并符合房产过户条件后60个工作日内，双方向房屋登记机构申请办理房屋权属转移登记手续。</w:t>
      </w:r>
    </w:p>
    <w:p w14:paraId="2723E0AD">
      <w:pPr>
        <w:spacing w:line="240" w:lineRule="auto"/>
        <w:ind w:firstLine="420" w:firstLineChars="200"/>
        <w:rPr>
          <w:rFonts w:hint="default" w:cs="Times New Roman" w:asciiTheme="minorEastAsia" w:hAnsiTheme="minorEastAsia" w:eastAsiaTheme="minorEastAsia"/>
          <w:b w:val="0"/>
          <w:bCs w:val="0"/>
          <w:szCs w:val="21"/>
          <w:lang w:val="en-US" w:eastAsia="zh-CN"/>
        </w:rPr>
      </w:pPr>
      <w:r>
        <w:rPr>
          <w:rFonts w:hint="eastAsia" w:cs="Times New Roman" w:asciiTheme="minorEastAsia" w:hAnsiTheme="minorEastAsia" w:eastAsiaTheme="minorEastAsia"/>
          <w:b w:val="0"/>
          <w:bCs w:val="0"/>
          <w:szCs w:val="21"/>
          <w:lang w:val="en-US" w:eastAsia="zh-CN"/>
        </w:rPr>
        <w:t>（19）杭交所出具资产交易凭证时，转让标的尚未办理完成过户及交付手续，受让方承诺：如由于双方原因导致无法完成本次转让标的的过户及交付手续的，由双方自行承担因此产生的一切责任。</w:t>
      </w:r>
    </w:p>
    <w:p w14:paraId="58C611F1">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cs="Times New Roman" w:asciiTheme="minorEastAsia" w:hAnsiTheme="minorEastAsia" w:eastAsiaTheme="minorEastAsia"/>
          <w:b w:val="0"/>
          <w:bCs w:val="0"/>
          <w:szCs w:val="21"/>
          <w:lang w:val="en-US" w:eastAsia="zh-CN"/>
        </w:rPr>
      </w:pPr>
      <w:r>
        <w:rPr>
          <w:rFonts w:hint="eastAsia" w:cs="Times New Roman" w:asciiTheme="minorEastAsia" w:hAnsiTheme="minorEastAsia" w:eastAsiaTheme="minorEastAsia"/>
          <w:b w:val="0"/>
          <w:bCs w:val="0"/>
          <w:szCs w:val="21"/>
          <w:lang w:val="en-US" w:eastAsia="zh-CN"/>
        </w:rPr>
        <w:t xml:space="preserve">5、若非转让方原因，出现以下任一情况时，意向受让方交纳的保证金不予退还，先用于补偿杭交所的各项服务费，剩余部分作为对转让方的经济补偿金，保证金不足以补偿的，相关方有权按照实际损失继续追诉： </w:t>
      </w:r>
    </w:p>
    <w:p w14:paraId="61D61035">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cs="宋体"/>
          <w:szCs w:val="21"/>
        </w:rPr>
      </w:pPr>
      <w:r>
        <w:rPr>
          <w:rFonts w:hint="eastAsia" w:cs="Times New Roman" w:asciiTheme="minorEastAsia" w:hAnsiTheme="minorEastAsia" w:eastAsiaTheme="minorEastAsia"/>
          <w:b w:val="0"/>
          <w:bCs w:val="0"/>
          <w:szCs w:val="21"/>
          <w:lang w:val="en-US" w:eastAsia="zh-CN"/>
        </w:rPr>
        <w:t>（1）意向受让方提交受让申</w:t>
      </w:r>
      <w:r>
        <w:rPr>
          <w:rFonts w:hint="eastAsia" w:ascii="宋体" w:hAnsi="宋体" w:cs="宋体"/>
          <w:szCs w:val="21"/>
        </w:rPr>
        <w:t>请材料并交纳交易保证金后单方撤回受让申请的；</w:t>
      </w:r>
    </w:p>
    <w:p w14:paraId="49CBEBE3">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cs="宋体"/>
          <w:szCs w:val="21"/>
        </w:rPr>
      </w:pPr>
      <w:r>
        <w:rPr>
          <w:rFonts w:hint="eastAsia" w:ascii="宋体" w:hAnsi="宋体" w:cs="宋体"/>
          <w:szCs w:val="21"/>
          <w:lang w:val="en-US" w:eastAsia="zh-CN"/>
        </w:rPr>
        <w:t>（2）</w:t>
      </w:r>
      <w:r>
        <w:rPr>
          <w:rFonts w:hint="eastAsia" w:ascii="宋体" w:hAnsi="宋体" w:cs="宋体"/>
          <w:szCs w:val="21"/>
        </w:rPr>
        <w:t>产生符合条件的意向受让方后，各意向受让方在竞价期间均不报价的；</w:t>
      </w:r>
    </w:p>
    <w:p w14:paraId="487215AA">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cs="宋体"/>
          <w:szCs w:val="21"/>
        </w:rPr>
      </w:pPr>
      <w:r>
        <w:rPr>
          <w:rFonts w:hint="eastAsia" w:ascii="宋体" w:hAnsi="宋体" w:cs="宋体"/>
          <w:szCs w:val="21"/>
          <w:lang w:val="en-US" w:eastAsia="zh-CN"/>
        </w:rPr>
        <w:t>（3）</w:t>
      </w:r>
      <w:r>
        <w:rPr>
          <w:rFonts w:hint="eastAsia" w:ascii="宋体" w:hAnsi="宋体" w:cs="宋体"/>
          <w:szCs w:val="21"/>
        </w:rPr>
        <w:t>在被确定为受让方后未按约定签署《房屋转让合同》的或未按约定支付交易价款（包括房屋维修基金）、交易服务费的；</w:t>
      </w:r>
    </w:p>
    <w:p w14:paraId="1DAE4055">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cs="宋体"/>
          <w:szCs w:val="21"/>
        </w:rPr>
      </w:pPr>
      <w:r>
        <w:rPr>
          <w:rFonts w:hint="eastAsia" w:ascii="宋体" w:hAnsi="宋体" w:cs="宋体"/>
          <w:szCs w:val="21"/>
          <w:lang w:val="en-US" w:eastAsia="zh-CN"/>
        </w:rPr>
        <w:t>（4）</w:t>
      </w:r>
      <w:r>
        <w:rPr>
          <w:rFonts w:hint="eastAsia" w:ascii="宋体" w:hAnsi="宋体" w:cs="宋体"/>
          <w:szCs w:val="21"/>
        </w:rPr>
        <w:t>意向受让方未履行书面承诺事项的；</w:t>
      </w:r>
    </w:p>
    <w:p w14:paraId="6A3F6EFD">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cs="宋体"/>
          <w:szCs w:val="21"/>
        </w:rPr>
      </w:pPr>
      <w:r>
        <w:rPr>
          <w:rFonts w:hint="eastAsia" w:ascii="宋体" w:hAnsi="宋体" w:cs="宋体"/>
          <w:szCs w:val="21"/>
          <w:lang w:val="en-US" w:eastAsia="zh-CN"/>
        </w:rPr>
        <w:t>（5）</w:t>
      </w:r>
      <w:r>
        <w:rPr>
          <w:rFonts w:hint="eastAsia" w:ascii="宋体" w:hAnsi="宋体" w:cs="宋体"/>
          <w:szCs w:val="21"/>
        </w:rPr>
        <w:t>存在其他违反交易规则情形的。</w:t>
      </w:r>
    </w:p>
    <w:p w14:paraId="7D8C7789">
      <w:pPr>
        <w:keepNext w:val="0"/>
        <w:keepLines w:val="0"/>
        <w:pageBreakBefore w:val="0"/>
        <w:kinsoku/>
        <w:wordWrap/>
        <w:overflowPunct/>
        <w:topLinePunct w:val="0"/>
        <w:autoSpaceDE/>
        <w:autoSpaceDN/>
        <w:bidi w:val="0"/>
        <w:adjustRightInd/>
        <w:snapToGrid/>
        <w:spacing w:line="240" w:lineRule="auto"/>
        <w:ind w:firstLine="5250" w:firstLineChars="2500"/>
        <w:textAlignment w:val="auto"/>
        <w:rPr>
          <w:rFonts w:hint="eastAsia" w:asciiTheme="minorEastAsia" w:hAnsiTheme="minorEastAsia" w:eastAsiaTheme="minorEastAsia"/>
          <w:szCs w:val="21"/>
        </w:rPr>
      </w:pPr>
    </w:p>
    <w:p w14:paraId="34378F6E">
      <w:pPr>
        <w:keepNext w:val="0"/>
        <w:keepLines w:val="0"/>
        <w:pageBreakBefore w:val="0"/>
        <w:kinsoku/>
        <w:wordWrap/>
        <w:overflowPunct/>
        <w:topLinePunct w:val="0"/>
        <w:autoSpaceDE/>
        <w:autoSpaceDN/>
        <w:bidi w:val="0"/>
        <w:adjustRightInd/>
        <w:snapToGrid/>
        <w:spacing w:line="240" w:lineRule="auto"/>
        <w:ind w:firstLine="5250" w:firstLineChars="2500"/>
        <w:textAlignment w:val="auto"/>
        <w:rPr>
          <w:rFonts w:asciiTheme="minorEastAsia" w:hAnsiTheme="minorEastAsia" w:eastAsiaTheme="minorEastAsia"/>
          <w:szCs w:val="21"/>
        </w:rPr>
      </w:pPr>
      <w:r>
        <w:rPr>
          <w:rFonts w:hint="eastAsia" w:asciiTheme="minorEastAsia" w:hAnsiTheme="minorEastAsia" w:eastAsiaTheme="minorEastAsia"/>
          <w:szCs w:val="21"/>
        </w:rPr>
        <w:t>意向受让方（签章）：</w:t>
      </w:r>
    </w:p>
    <w:p w14:paraId="751DBB0E">
      <w:pPr>
        <w:keepNext w:val="0"/>
        <w:keepLines w:val="0"/>
        <w:pageBreakBefore w:val="0"/>
        <w:kinsoku/>
        <w:wordWrap/>
        <w:overflowPunct/>
        <w:topLinePunct w:val="0"/>
        <w:autoSpaceDE/>
        <w:autoSpaceDN/>
        <w:bidi w:val="0"/>
        <w:adjustRightInd/>
        <w:snapToGrid/>
        <w:spacing w:line="240" w:lineRule="auto"/>
        <w:textAlignment w:val="auto"/>
        <w:rPr>
          <w:rFonts w:asciiTheme="minorEastAsia" w:hAnsiTheme="minorEastAsia" w:eastAsiaTheme="minorEastAsia"/>
          <w:szCs w:val="21"/>
        </w:rPr>
      </w:pPr>
      <w:r>
        <w:rPr>
          <w:rFonts w:hint="eastAsia" w:asciiTheme="minorEastAsia" w:hAnsiTheme="minorEastAsia" w:eastAsiaTheme="minorEastAsia"/>
          <w:szCs w:val="21"/>
        </w:rPr>
        <w:t xml:space="preserve">                                             </w:t>
      </w:r>
      <w:r>
        <w:rPr>
          <w:rFonts w:asciiTheme="minorEastAsia" w:hAnsiTheme="minorEastAsia" w:eastAsiaTheme="minorEastAsia"/>
          <w:szCs w:val="21"/>
        </w:rPr>
        <w:t xml:space="preserve">           </w:t>
      </w:r>
      <w:r>
        <w:rPr>
          <w:rFonts w:hint="eastAsia" w:asciiTheme="minorEastAsia" w:hAnsiTheme="minorEastAsia" w:eastAsiaTheme="minorEastAsia"/>
          <w:szCs w:val="21"/>
        </w:rPr>
        <w:t>年   月   日</w:t>
      </w:r>
    </w:p>
    <w:p w14:paraId="72AF5630">
      <w:pPr>
        <w:keepNext w:val="0"/>
        <w:keepLines w:val="0"/>
        <w:pageBreakBefore w:val="0"/>
        <w:kinsoku/>
        <w:wordWrap/>
        <w:overflowPunct/>
        <w:topLinePunct w:val="0"/>
        <w:autoSpaceDE/>
        <w:autoSpaceDN/>
        <w:bidi w:val="0"/>
        <w:adjustRightInd/>
        <w:snapToGrid/>
        <w:spacing w:line="240" w:lineRule="auto"/>
        <w:textAlignment w:val="auto"/>
        <w:rPr>
          <w:rFonts w:asciiTheme="minorEastAsia" w:hAnsiTheme="minorEastAsia" w:eastAsiaTheme="minorEastAsia"/>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EDD"/>
    <w:rsid w:val="000119B9"/>
    <w:rsid w:val="0003337E"/>
    <w:rsid w:val="00092C9D"/>
    <w:rsid w:val="00143D8A"/>
    <w:rsid w:val="00156486"/>
    <w:rsid w:val="0020310B"/>
    <w:rsid w:val="002278BB"/>
    <w:rsid w:val="002526A0"/>
    <w:rsid w:val="00255411"/>
    <w:rsid w:val="00274544"/>
    <w:rsid w:val="002F36D9"/>
    <w:rsid w:val="003229C2"/>
    <w:rsid w:val="003A2F6F"/>
    <w:rsid w:val="003E079C"/>
    <w:rsid w:val="00413930"/>
    <w:rsid w:val="00430675"/>
    <w:rsid w:val="00435A53"/>
    <w:rsid w:val="004900C6"/>
    <w:rsid w:val="004C246D"/>
    <w:rsid w:val="004D1B74"/>
    <w:rsid w:val="004E1479"/>
    <w:rsid w:val="004E3107"/>
    <w:rsid w:val="004F3BEF"/>
    <w:rsid w:val="00503879"/>
    <w:rsid w:val="005104B5"/>
    <w:rsid w:val="0055051A"/>
    <w:rsid w:val="005A37D0"/>
    <w:rsid w:val="0060197B"/>
    <w:rsid w:val="00627BE3"/>
    <w:rsid w:val="00662215"/>
    <w:rsid w:val="00737286"/>
    <w:rsid w:val="007847DD"/>
    <w:rsid w:val="00790D21"/>
    <w:rsid w:val="007E4EDD"/>
    <w:rsid w:val="0084282E"/>
    <w:rsid w:val="00884F8A"/>
    <w:rsid w:val="008D72E8"/>
    <w:rsid w:val="00906FAC"/>
    <w:rsid w:val="00934A3A"/>
    <w:rsid w:val="0096235F"/>
    <w:rsid w:val="009733B3"/>
    <w:rsid w:val="009E27F0"/>
    <w:rsid w:val="009F646A"/>
    <w:rsid w:val="00A11F15"/>
    <w:rsid w:val="00A24DD0"/>
    <w:rsid w:val="00A53E81"/>
    <w:rsid w:val="00A66AE6"/>
    <w:rsid w:val="00A96775"/>
    <w:rsid w:val="00AA4243"/>
    <w:rsid w:val="00AF7180"/>
    <w:rsid w:val="00B15A11"/>
    <w:rsid w:val="00B16D33"/>
    <w:rsid w:val="00B170BB"/>
    <w:rsid w:val="00B36433"/>
    <w:rsid w:val="00B91182"/>
    <w:rsid w:val="00B923AA"/>
    <w:rsid w:val="00BD7EAF"/>
    <w:rsid w:val="00C02F3D"/>
    <w:rsid w:val="00C07B7D"/>
    <w:rsid w:val="00C2125E"/>
    <w:rsid w:val="00C300A5"/>
    <w:rsid w:val="00C434EA"/>
    <w:rsid w:val="00C73B5A"/>
    <w:rsid w:val="00C76683"/>
    <w:rsid w:val="00C80243"/>
    <w:rsid w:val="00C85BC7"/>
    <w:rsid w:val="00CB5B8C"/>
    <w:rsid w:val="00CF4007"/>
    <w:rsid w:val="00D56D57"/>
    <w:rsid w:val="00DD02F6"/>
    <w:rsid w:val="00E00E55"/>
    <w:rsid w:val="00E10ADA"/>
    <w:rsid w:val="00E60BD5"/>
    <w:rsid w:val="00EB745E"/>
    <w:rsid w:val="00ED0403"/>
    <w:rsid w:val="00ED4E9F"/>
    <w:rsid w:val="00EF62AF"/>
    <w:rsid w:val="00F06BEC"/>
    <w:rsid w:val="00F47654"/>
    <w:rsid w:val="00FA0343"/>
    <w:rsid w:val="00FA6AB7"/>
    <w:rsid w:val="0477349A"/>
    <w:rsid w:val="04D37214"/>
    <w:rsid w:val="0866364A"/>
    <w:rsid w:val="087315C5"/>
    <w:rsid w:val="0CCA5698"/>
    <w:rsid w:val="0DCB56A2"/>
    <w:rsid w:val="0E134225"/>
    <w:rsid w:val="108C4856"/>
    <w:rsid w:val="109A6299"/>
    <w:rsid w:val="11431063"/>
    <w:rsid w:val="12312C66"/>
    <w:rsid w:val="168F5C99"/>
    <w:rsid w:val="1A4D26DA"/>
    <w:rsid w:val="1A8E7190"/>
    <w:rsid w:val="21801382"/>
    <w:rsid w:val="21A71F2F"/>
    <w:rsid w:val="224EA408"/>
    <w:rsid w:val="244C7748"/>
    <w:rsid w:val="25EF35A9"/>
    <w:rsid w:val="26851B4D"/>
    <w:rsid w:val="26CE05E2"/>
    <w:rsid w:val="28EF31D7"/>
    <w:rsid w:val="2A7F36C6"/>
    <w:rsid w:val="2AE67843"/>
    <w:rsid w:val="2BEB7A3B"/>
    <w:rsid w:val="2C444127"/>
    <w:rsid w:val="2E064EEA"/>
    <w:rsid w:val="2E71508E"/>
    <w:rsid w:val="30873003"/>
    <w:rsid w:val="30BD3CBE"/>
    <w:rsid w:val="310A7869"/>
    <w:rsid w:val="3119131B"/>
    <w:rsid w:val="3188117D"/>
    <w:rsid w:val="3617545F"/>
    <w:rsid w:val="381E3097"/>
    <w:rsid w:val="38746213"/>
    <w:rsid w:val="393C566E"/>
    <w:rsid w:val="3DF85820"/>
    <w:rsid w:val="3E70266D"/>
    <w:rsid w:val="3F1C0717"/>
    <w:rsid w:val="412C0193"/>
    <w:rsid w:val="4326283B"/>
    <w:rsid w:val="43D31E0E"/>
    <w:rsid w:val="45C32B75"/>
    <w:rsid w:val="48BB3081"/>
    <w:rsid w:val="4CB033F0"/>
    <w:rsid w:val="4D4E2129"/>
    <w:rsid w:val="517C315B"/>
    <w:rsid w:val="51B53AC1"/>
    <w:rsid w:val="52C04869"/>
    <w:rsid w:val="550F2213"/>
    <w:rsid w:val="552600D9"/>
    <w:rsid w:val="590B26FF"/>
    <w:rsid w:val="59597257"/>
    <w:rsid w:val="5AB50C32"/>
    <w:rsid w:val="5E39F9CA"/>
    <w:rsid w:val="610339B9"/>
    <w:rsid w:val="64127BB2"/>
    <w:rsid w:val="646972B1"/>
    <w:rsid w:val="67FE4DC6"/>
    <w:rsid w:val="6B0965FB"/>
    <w:rsid w:val="6BF86C61"/>
    <w:rsid w:val="6FFBA47A"/>
    <w:rsid w:val="729C34D0"/>
    <w:rsid w:val="75F95F98"/>
    <w:rsid w:val="77CC171C"/>
    <w:rsid w:val="7831152F"/>
    <w:rsid w:val="7A0905C7"/>
    <w:rsid w:val="7A361A0D"/>
    <w:rsid w:val="7A476BE2"/>
    <w:rsid w:val="7C1E312B"/>
    <w:rsid w:val="7C454301"/>
    <w:rsid w:val="7C633D37"/>
    <w:rsid w:val="7D3D2165"/>
    <w:rsid w:val="7E450CC9"/>
    <w:rsid w:val="7E643B7C"/>
    <w:rsid w:val="7E7C275C"/>
    <w:rsid w:val="7E8741A4"/>
    <w:rsid w:val="7E97A99A"/>
    <w:rsid w:val="D3FD747B"/>
    <w:rsid w:val="EF7F9A8A"/>
    <w:rsid w:val="FCF351C5"/>
    <w:rsid w:val="FD4BD8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pPr>
      <w:spacing w:after="120"/>
    </w:pPr>
  </w:style>
  <w:style w:type="paragraph" w:styleId="3">
    <w:name w:val="toc 4"/>
    <w:next w:val="1"/>
    <w:qFormat/>
    <w:uiPriority w:val="0"/>
    <w:pPr>
      <w:wordWrap w:val="0"/>
      <w:ind w:left="850"/>
      <w:jc w:val="both"/>
    </w:pPr>
    <w:rPr>
      <w:rFonts w:ascii="Calibri" w:hAnsi="Calibri" w:eastAsia="宋体" w:cs="Times New Roman"/>
      <w:sz w:val="21"/>
      <w:lang w:val="en-US" w:eastAsia="zh-CN" w:bidi="ar-SA"/>
    </w:rPr>
  </w:style>
  <w:style w:type="paragraph" w:styleId="4">
    <w:name w:val="footer"/>
    <w:basedOn w:val="1"/>
    <w:link w:val="13"/>
    <w:semiHidden/>
    <w:unhideWhenUsed/>
    <w:qFormat/>
    <w:uiPriority w:val="99"/>
    <w:pPr>
      <w:tabs>
        <w:tab w:val="center" w:pos="4153"/>
        <w:tab w:val="right" w:pos="8306"/>
      </w:tabs>
      <w:snapToGrid w:val="0"/>
      <w:jc w:val="left"/>
    </w:pPr>
    <w:rPr>
      <w:sz w:val="18"/>
      <w:szCs w:val="18"/>
    </w:rPr>
  </w:style>
  <w:style w:type="paragraph" w:styleId="5">
    <w:name w:val="header"/>
    <w:basedOn w:val="1"/>
    <w:link w:val="12"/>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HTML Preformatted"/>
    <w:basedOn w:val="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0">
    <w:name w:val="NormalIndent"/>
    <w:basedOn w:val="1"/>
    <w:qFormat/>
    <w:uiPriority w:val="0"/>
    <w:pPr>
      <w:ind w:firstLine="420"/>
    </w:pPr>
  </w:style>
  <w:style w:type="paragraph" w:customStyle="1" w:styleId="11">
    <w:name w:val="样式 行距: 1.5 倍行距"/>
    <w:basedOn w:val="1"/>
    <w:qFormat/>
    <w:uiPriority w:val="0"/>
    <w:pPr>
      <w:widowControl/>
      <w:autoSpaceDE w:val="0"/>
      <w:autoSpaceDN w:val="0"/>
      <w:adjustRightInd w:val="0"/>
      <w:spacing w:line="360" w:lineRule="auto"/>
      <w:ind w:firstLine="200" w:firstLineChars="200"/>
      <w:jc w:val="left"/>
    </w:pPr>
    <w:rPr>
      <w:rFonts w:ascii="宋体" w:hAnsi="宋体" w:cs="宋体"/>
      <w:kern w:val="20"/>
      <w:sz w:val="24"/>
      <w:szCs w:val="20"/>
    </w:rPr>
  </w:style>
  <w:style w:type="character" w:customStyle="1" w:styleId="12">
    <w:name w:val="页眉 字符"/>
    <w:basedOn w:val="9"/>
    <w:link w:val="5"/>
    <w:semiHidden/>
    <w:qFormat/>
    <w:uiPriority w:val="99"/>
    <w:rPr>
      <w:rFonts w:ascii="Times New Roman" w:hAnsi="Times New Roman" w:eastAsia="宋体" w:cs="Times New Roman"/>
      <w:sz w:val="18"/>
      <w:szCs w:val="18"/>
    </w:rPr>
  </w:style>
  <w:style w:type="character" w:customStyle="1" w:styleId="13">
    <w:name w:val="页脚 字符"/>
    <w:basedOn w:val="9"/>
    <w:link w:val="4"/>
    <w:semiHidden/>
    <w:qFormat/>
    <w:uiPriority w:val="99"/>
    <w:rPr>
      <w:rFonts w:ascii="Times New Roman" w:hAnsi="Times New Roman" w:eastAsia="宋体" w:cs="Times New Roman"/>
      <w:sz w:val="18"/>
      <w:szCs w:val="18"/>
    </w:rPr>
  </w:style>
  <w:style w:type="paragraph" w:styleId="14">
    <w:name w:val="List Paragraph"/>
    <w:basedOn w:val="1"/>
    <w:qFormat/>
    <w:uiPriority w:val="34"/>
    <w:pPr>
      <w:ind w:firstLine="420" w:firstLineChars="200"/>
    </w:pPr>
  </w:style>
  <w:style w:type="paragraph" w:customStyle="1" w:styleId="15">
    <w:name w:val="HTML 预设格式 Char"/>
    <w:basedOn w:val="1"/>
    <w:qFormat/>
    <w:uiPriority w:val="0"/>
    <w:pPr>
      <w:jc w:val="left"/>
    </w:pPr>
    <w:rPr>
      <w:rFonts w:hint="eastAsia" w:ascii="宋体" w:hAnsi="宋体"/>
      <w:kern w:val="0"/>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3251</Words>
  <Characters>3322</Characters>
  <Lines>15</Lines>
  <Paragraphs>4</Paragraphs>
  <TotalTime>14</TotalTime>
  <ScaleCrop>false</ScaleCrop>
  <LinksUpToDate>false</LinksUpToDate>
  <CharactersWithSpaces>3395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2020-04-12T01:14:00Z</dcterms:created>
  <dc:creator>zxy</dc:creator>
  <cp:lastModifiedBy>k</cp:lastModifiedBy>
  <dcterms:modified xsi:type="dcterms:W3CDTF">2026-08-06T09:37:25Z</dcterms:modified>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428C350228534D40AA086ED596EE73F7_13</vt:lpwstr>
  </property>
  <property fmtid="{D5CDD505-2E9C-101B-9397-08002B2CF9AE}" pid="4" name="KSOTemplateDocerSaveRecord">
    <vt:lpwstr>eyJoZGlkIjoiYTRmZTg4YTg3OTkxNDNiMGE2ZTM4YzhiYWM4OTZmZWYiLCJ1c2VySWQiOiI5NTMwNTIxNDkifQ==</vt:lpwstr>
  </property>
</Properties>
</file>