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highlight w:val="none"/>
        </w:rPr>
      </w:pPr>
      <w:r>
        <w:rPr>
          <w:rFonts w:hint="eastAsia" w:ascii="黑体" w:hAnsi="黑体" w:eastAsia="黑体"/>
          <w:b/>
          <w:sz w:val="36"/>
          <w:szCs w:val="36"/>
          <w:highlight w:val="none"/>
        </w:rPr>
        <w:t>承诺函</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rPr>
        <w:t>杭州</w:t>
      </w:r>
      <w:r>
        <w:rPr>
          <w:rFonts w:asciiTheme="minorEastAsia" w:hAnsiTheme="minorEastAsia" w:eastAsiaTheme="minorEastAsia"/>
          <w:sz w:val="21"/>
          <w:szCs w:val="21"/>
          <w:highlight w:val="none"/>
        </w:rPr>
        <w:t>产权交易所</w:t>
      </w:r>
      <w:r>
        <w:rPr>
          <w:rFonts w:hint="eastAsia" w:asciiTheme="minorEastAsia" w:hAnsiTheme="minorEastAsia" w:eastAsiaTheme="minorEastAsia"/>
          <w:sz w:val="21"/>
          <w:szCs w:val="21"/>
          <w:highlight w:val="none"/>
        </w:rPr>
        <w:t>有限责任公司</w:t>
      </w:r>
      <w:r>
        <w:rPr>
          <w:rFonts w:asciiTheme="minorEastAsia" w:hAnsiTheme="minorEastAsia" w:eastAsiaTheme="minorEastAsia"/>
          <w:sz w:val="21"/>
          <w:szCs w:val="21"/>
          <w:highlight w:val="none"/>
        </w:rPr>
        <w:t>：</w:t>
      </w:r>
    </w:p>
    <w:p>
      <w:pPr>
        <w:spacing w:line="360" w:lineRule="auto"/>
        <w:rPr>
          <w:rFonts w:asciiTheme="minorEastAsia" w:hAnsiTheme="minorEastAsia" w:eastAsiaTheme="minorEastAsia"/>
          <w:sz w:val="21"/>
          <w:szCs w:val="21"/>
          <w:highlight w:val="none"/>
        </w:rPr>
      </w:pPr>
      <w:r>
        <w:rPr>
          <w:rFonts w:hint="eastAsia" w:asciiTheme="minorEastAsia" w:hAnsiTheme="minorEastAsia" w:eastAsiaTheme="minorEastAsia"/>
          <w:sz w:val="21"/>
          <w:szCs w:val="21"/>
          <w:highlight w:val="none"/>
          <w:lang w:val="en-US" w:eastAsia="zh-CN"/>
        </w:rPr>
        <w:t>杭州企业产权交易中心有限公司</w:t>
      </w:r>
      <w:r>
        <w:rPr>
          <w:rFonts w:hint="eastAsia" w:asciiTheme="minorEastAsia" w:hAnsiTheme="minorEastAsia" w:eastAsiaTheme="minorEastAsia"/>
          <w:sz w:val="21"/>
          <w:szCs w:val="21"/>
          <w:highlight w:val="none"/>
        </w:rPr>
        <w:t>：</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我方拟</w:t>
      </w:r>
      <w:r>
        <w:rPr>
          <w:rFonts w:hint="eastAsia" w:asciiTheme="minorEastAsia" w:hAnsiTheme="minorEastAsia" w:eastAsiaTheme="minorEastAsia" w:cstheme="minorEastAsia"/>
          <w:sz w:val="21"/>
          <w:szCs w:val="21"/>
          <w:highlight w:val="none"/>
          <w:u w:val="none"/>
        </w:rPr>
        <w:t>承租</w:t>
      </w:r>
      <w:bookmarkStart w:id="0" w:name="OLE_LINK3"/>
      <w:r>
        <w:rPr>
          <w:rFonts w:hint="eastAsia" w:asciiTheme="minorEastAsia" w:hAnsiTheme="minorEastAsia" w:eastAsiaTheme="minorEastAsia" w:cstheme="minorEastAsia"/>
          <w:sz w:val="21"/>
          <w:szCs w:val="21"/>
          <w:highlight w:val="none"/>
          <w:u w:val="none"/>
          <w:lang w:val="en-US" w:eastAsia="zh-CN"/>
        </w:rPr>
        <w:t>杭海路900、902、904号2幢1层第8、第9、第12间及2-</w:t>
      </w:r>
      <w:r>
        <w:rPr>
          <w:rFonts w:hint="eastAsia" w:asciiTheme="minorEastAsia" w:hAnsiTheme="minorEastAsia" w:eastAsiaTheme="minorEastAsia" w:cstheme="minorEastAsia"/>
          <w:sz w:val="21"/>
          <w:szCs w:val="21"/>
          <w:highlight w:val="none"/>
          <w:u w:val="none"/>
          <w:lang w:eastAsia="zh-CN"/>
        </w:rPr>
        <w:t>5层和</w:t>
      </w:r>
      <w:r>
        <w:rPr>
          <w:rFonts w:hint="eastAsia" w:asciiTheme="minorEastAsia" w:hAnsiTheme="minorEastAsia" w:eastAsiaTheme="minorEastAsia" w:cstheme="minorEastAsia"/>
          <w:sz w:val="21"/>
          <w:szCs w:val="21"/>
          <w:highlight w:val="none"/>
          <w:u w:val="none"/>
          <w:lang w:val="en-US" w:eastAsia="zh-CN"/>
        </w:rPr>
        <w:t>4幢房屋10年租赁权</w:t>
      </w:r>
      <w:bookmarkEnd w:id="0"/>
      <w:r>
        <w:rPr>
          <w:rFonts w:hint="eastAsia" w:asciiTheme="minorEastAsia" w:hAnsiTheme="minorEastAsia" w:eastAsiaTheme="minorEastAsia" w:cstheme="minorEastAsia"/>
          <w:sz w:val="21"/>
          <w:szCs w:val="21"/>
          <w:highlight w:val="none"/>
        </w:rPr>
        <w:t>项目，现做如下承诺：</w:t>
      </w:r>
    </w:p>
    <w:p>
      <w:pPr>
        <w:spacing w:line="360" w:lineRule="auto"/>
        <w:ind w:firstLine="420" w:firstLineChars="20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1、我方已认真阅读、知悉并自愿遵守</w:t>
      </w:r>
      <w:r>
        <w:rPr>
          <w:rFonts w:hint="eastAsia" w:asciiTheme="minorEastAsia" w:hAnsiTheme="minorEastAsia" w:eastAsiaTheme="minorEastAsia" w:cstheme="minorEastAsia"/>
          <w:sz w:val="21"/>
          <w:szCs w:val="21"/>
          <w:highlight w:val="none"/>
          <w:lang w:val="en-US" w:eastAsia="zh-CN"/>
        </w:rPr>
        <w:t>杭州产权交易所</w:t>
      </w:r>
      <w:r>
        <w:rPr>
          <w:rFonts w:hint="eastAsia" w:asciiTheme="minorEastAsia" w:hAnsiTheme="minorEastAsia" w:eastAsiaTheme="minorEastAsia" w:cstheme="minorEastAsia"/>
          <w:sz w:val="21"/>
          <w:szCs w:val="21"/>
          <w:highlight w:val="none"/>
          <w:u w:val="single"/>
          <w:lang w:val="en-US" w:eastAsia="zh-CN"/>
        </w:rPr>
        <w:t>《房屋出租交易规则》</w:t>
      </w:r>
      <w:r>
        <w:rPr>
          <w:rFonts w:hint="eastAsia" w:asciiTheme="minorEastAsia" w:hAnsiTheme="minorEastAsia" w:eastAsiaTheme="minorEastAsia" w:cstheme="minorEastAsia"/>
          <w:sz w:val="21"/>
          <w:szCs w:val="21"/>
          <w:highlight w:val="none"/>
          <w:u w:val="none"/>
        </w:rPr>
        <w:t>、</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single"/>
          <w:lang w:val="en-US" w:eastAsia="zh-CN"/>
        </w:rPr>
        <w:t>在线报价实施办法</w:t>
      </w:r>
      <w:r>
        <w:rPr>
          <w:rFonts w:hint="eastAsia" w:asciiTheme="minorEastAsia" w:hAnsiTheme="minorEastAsia" w:eastAsiaTheme="minorEastAsia" w:cstheme="minorEastAsia"/>
          <w:sz w:val="21"/>
          <w:szCs w:val="21"/>
          <w:highlight w:val="none"/>
          <w:u w:val="single"/>
        </w:rPr>
        <w:t>》</w:t>
      </w:r>
      <w:r>
        <w:rPr>
          <w:rFonts w:hint="eastAsia" w:asciiTheme="minorEastAsia" w:hAnsiTheme="minorEastAsia" w:eastAsiaTheme="minorEastAsia" w:cstheme="minorEastAsia"/>
          <w:sz w:val="21"/>
          <w:szCs w:val="21"/>
          <w:highlight w:val="none"/>
          <w:u w:val="none"/>
        </w:rPr>
        <w:t>和</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u w:val="single"/>
          <w:lang w:val="en-US" w:eastAsia="zh-CN"/>
        </w:rPr>
        <w:t>在线报价交易须知</w:t>
      </w:r>
      <w:r>
        <w:rPr>
          <w:rFonts w:hint="eastAsia" w:asciiTheme="minorEastAsia" w:hAnsiTheme="minorEastAsia" w:eastAsiaTheme="minorEastAsia" w:cstheme="minorEastAsia"/>
          <w:sz w:val="21"/>
          <w:szCs w:val="21"/>
          <w:highlight w:val="none"/>
          <w:u w:val="single"/>
          <w:lang w:eastAsia="zh-CN"/>
        </w:rPr>
        <w:t>》</w:t>
      </w:r>
      <w:r>
        <w:rPr>
          <w:rFonts w:hint="eastAsia" w:asciiTheme="minorEastAsia" w:hAnsiTheme="minorEastAsia" w:eastAsiaTheme="minorEastAsia" w:cstheme="minorEastAsia"/>
          <w:sz w:val="21"/>
          <w:szCs w:val="21"/>
          <w:highlight w:val="none"/>
        </w:rPr>
        <w:t>等文件的规定，同意按照相关规定参加本项目竞价活动。</w:t>
      </w:r>
    </w:p>
    <w:p>
      <w:pPr>
        <w:keepNext w:val="0"/>
        <w:keepLines w:val="0"/>
        <w:pageBreakBefore w:val="0"/>
        <w:widowControl/>
        <w:tabs>
          <w:tab w:val="left" w:pos="6975"/>
        </w:tabs>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sz w:val="21"/>
          <w:szCs w:val="21"/>
          <w:highlight w:val="none"/>
        </w:rPr>
        <w:t>2、我方</w:t>
      </w:r>
      <w:r>
        <w:rPr>
          <w:rFonts w:hint="eastAsia" w:asciiTheme="minorEastAsia" w:hAnsiTheme="minorEastAsia"/>
          <w:sz w:val="21"/>
          <w:szCs w:val="21"/>
          <w:highlight w:val="none"/>
        </w:rPr>
        <w:t>提交</w:t>
      </w:r>
      <w:r>
        <w:rPr>
          <w:rFonts w:hint="eastAsia" w:asciiTheme="minorEastAsia" w:hAnsiTheme="minorEastAsia"/>
          <w:sz w:val="21"/>
          <w:szCs w:val="21"/>
          <w:highlight w:val="none"/>
          <w:u w:val="single"/>
        </w:rPr>
        <w:t>承租</w:t>
      </w:r>
      <w:r>
        <w:rPr>
          <w:rFonts w:asciiTheme="minorEastAsia" w:hAnsiTheme="minorEastAsia"/>
          <w:sz w:val="21"/>
          <w:szCs w:val="21"/>
          <w:highlight w:val="none"/>
        </w:rPr>
        <w:t>申请</w:t>
      </w:r>
      <w:r>
        <w:rPr>
          <w:rFonts w:hint="eastAsia" w:asciiTheme="minorEastAsia" w:hAnsiTheme="minorEastAsia"/>
          <w:sz w:val="21"/>
          <w:szCs w:val="21"/>
          <w:highlight w:val="none"/>
          <w:lang w:val="en-US" w:eastAsia="zh-CN"/>
        </w:rPr>
        <w:t>材料</w:t>
      </w:r>
      <w:r>
        <w:rPr>
          <w:rFonts w:asciiTheme="minorEastAsia" w:hAnsiTheme="minorEastAsia"/>
          <w:sz w:val="21"/>
          <w:szCs w:val="21"/>
          <w:highlight w:val="none"/>
        </w:rPr>
        <w:t>并且</w:t>
      </w:r>
      <w:r>
        <w:rPr>
          <w:rFonts w:hint="eastAsia" w:asciiTheme="minorEastAsia" w:hAnsiTheme="minorEastAsia"/>
          <w:sz w:val="21"/>
          <w:szCs w:val="21"/>
          <w:highlight w:val="none"/>
        </w:rPr>
        <w:t>交纳交易</w:t>
      </w:r>
      <w:r>
        <w:rPr>
          <w:rFonts w:asciiTheme="minorEastAsia" w:hAnsiTheme="minorEastAsia"/>
          <w:sz w:val="21"/>
          <w:szCs w:val="21"/>
          <w:highlight w:val="none"/>
        </w:rPr>
        <w:t>保证金后，即视为已详细阅读并完全认可本项</w:t>
      </w:r>
      <w:r>
        <w:rPr>
          <w:rFonts w:hint="eastAsia" w:asciiTheme="minorEastAsia" w:hAnsiTheme="minorEastAsia" w:eastAsiaTheme="minorEastAsia" w:cstheme="minorEastAsia"/>
          <w:sz w:val="21"/>
          <w:szCs w:val="21"/>
          <w:highlight w:val="none"/>
        </w:rPr>
        <w:t>目所披露内容以及已完成对标的的现场踏勘，表明已完全了解并自愿接受标的的全部现状及瑕疵，并自愿承担一切交易风险。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eastAsia="宋体" w:asciiTheme="minorEastAsia" w:hAnsiTheme="minorEastAsia"/>
          <w:sz w:val="21"/>
          <w:szCs w:val="21"/>
          <w:highlight w:val="none"/>
          <w:lang w:eastAsia="zh-CN"/>
        </w:rPr>
      </w:pPr>
      <w:r>
        <w:rPr>
          <w:rFonts w:hint="eastAsia" w:asciiTheme="minorEastAsia" w:hAnsiTheme="minorEastAsia" w:eastAsiaTheme="minorEastAsia" w:cstheme="minorEastAsia"/>
          <w:sz w:val="21"/>
          <w:szCs w:val="21"/>
          <w:highlight w:val="none"/>
        </w:rPr>
        <w:t>3、</w:t>
      </w:r>
      <w:r>
        <w:rPr>
          <w:rFonts w:hint="eastAsia" w:asciiTheme="minorEastAsia" w:hAnsiTheme="minorEastAsia" w:eastAsiaTheme="minorEastAsia" w:cstheme="minorEastAsia"/>
          <w:sz w:val="21"/>
          <w:szCs w:val="21"/>
          <w:highlight w:val="none"/>
          <w:lang w:val="en-US" w:eastAsia="zh-CN"/>
        </w:rPr>
        <w:t>我方</w:t>
      </w:r>
      <w:r>
        <w:rPr>
          <w:rFonts w:hint="eastAsia" w:ascii="宋体" w:hAnsi="宋体"/>
          <w:b w:val="0"/>
          <w:bCs/>
          <w:szCs w:val="21"/>
          <w:highlight w:val="none"/>
        </w:rPr>
        <w:t>同意在被确定为承租方之日起3个工作日内，携带承租申请材料原件到杭交所完成现场确认并签署《成交通知书》、《房屋租赁合同》等相关合同文件；并在《成交通知书》、《房屋租赁合同》签署之日起</w:t>
      </w:r>
      <w:r>
        <w:rPr>
          <w:rFonts w:hint="eastAsia" w:ascii="宋体" w:hAnsi="宋体"/>
          <w:b w:val="0"/>
          <w:bCs/>
          <w:szCs w:val="21"/>
          <w:highlight w:val="none"/>
          <w:lang w:val="en-US" w:eastAsia="zh-CN"/>
        </w:rPr>
        <w:t>10</w:t>
      </w:r>
      <w:r>
        <w:rPr>
          <w:rFonts w:hint="eastAsia" w:ascii="宋体" w:hAnsi="宋体"/>
          <w:b w:val="0"/>
          <w:bCs/>
          <w:szCs w:val="21"/>
          <w:highlight w:val="none"/>
        </w:rPr>
        <w:t>个工作日内向杭交所指定账户一次性支付交易服务费、履约保证金、首期租金等交易资金（以到账时间为准）</w:t>
      </w:r>
      <w:r>
        <w:rPr>
          <w:rFonts w:hint="eastAsia" w:ascii="宋体" w:hAnsi="宋体"/>
          <w:sz w:val="21"/>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4、同意杭交所在经出租方申请之日起3个工作日内将承租方已交纳的首期租金、履约保证金全部划转至出租方指定账户。</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eastAsia="宋体" w:asciiTheme="minorEastAsia" w:hAnsi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5、</w:t>
      </w:r>
      <w:r>
        <w:rPr>
          <w:rFonts w:hint="eastAsia" w:ascii="宋体" w:hAnsi="宋体"/>
          <w:b w:val="0"/>
          <w:bCs/>
          <w:szCs w:val="21"/>
          <w:highlight w:val="none"/>
        </w:rPr>
        <w:t>出租方对于租赁业态的要求仅系按照整体经营目标设定，不构成出租方对于满足该业态的任何实质或预期承诺。承租方须在承租前自行对租赁房屋进行全面了解，并对营业所需的各项审批条件和规定进行充分自核。承租方参与竞租的行为将被认为已作充分的预判和决策，无论因何种原因导致不能获得营业开设审批（包括房屋规划用途和房屋既有结构、设计等因素在内），或后续因为政策变化导致无法继续开设的各项经营风险，承租方承诺独立承担，出租方不对无法履行、投入成本、装修损失等承担任何形式的赔偿或补偿责任</w:t>
      </w:r>
      <w:r>
        <w:rPr>
          <w:rFonts w:hint="eastAsia" w:ascii="宋体" w:hAnsi="宋体"/>
          <w:b w:val="0"/>
          <w:bCs/>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6、</w:t>
      </w:r>
      <w:r>
        <w:rPr>
          <w:rFonts w:hint="eastAsia" w:ascii="宋体" w:hAnsi="宋体"/>
          <w:b w:val="0"/>
          <w:bCs/>
          <w:szCs w:val="21"/>
          <w:highlight w:val="none"/>
        </w:rPr>
        <w:t>承租方参与竞租的行为将被视为已明确知悉并接受</w:t>
      </w:r>
      <w:r>
        <w:rPr>
          <w:rFonts w:hint="eastAsia"/>
          <w:highlight w:val="none"/>
        </w:rPr>
        <w:t>证载用途为</w:t>
      </w:r>
      <w:r>
        <w:rPr>
          <w:rFonts w:hint="eastAsia"/>
          <w:highlight w:val="none"/>
          <w:lang w:val="en-US" w:eastAsia="zh-CN"/>
        </w:rPr>
        <w:t>综合（仓储）用地/种子加工综合楼</w:t>
      </w:r>
      <w:r>
        <w:rPr>
          <w:rFonts w:hint="eastAsia" w:ascii="宋体" w:hAnsi="宋体"/>
          <w:b w:val="0"/>
          <w:bCs/>
          <w:szCs w:val="21"/>
          <w:highlight w:val="none"/>
        </w:rPr>
        <w:t>、房屋的规划用途、产权情况、性质等。承租方必须在营业前自行办理开展经营活动所需的政府有关部门批准的执照、批准证书或工商、税务登记相关的各种审批、手续等，且自行承担相关费用。出租方对于承租方办理政府有关部门批准的执照、批准证书或工商、税务登记相关的各种审批、手续等不作任何保证、不承担任何责任，若由于出租方提供的资料和租赁房屋现状原因导致承租方不能通过相关登记、审批等手续的，承租方同意且承诺不因此提出任何索赔。</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default"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7、承租方参与竞租的行为将被视为已明确知悉并接受证载用途为综合（仓储）用地/种子加工综合楼、房屋的规划用途、产权情况、性质等。承租方必须在营业前自行办理开展经营活动所需的政府有关部门批准的执照、批准证书或工商、税务登记相关的各种审批、手续等，且自行承担相关费用。出租方对于承租方办理政府有关部门批准的执照、批准证书或工商、税务登记相关的各种审批、手续等不作任何保证、不承担任何责任，若由于出租方提供的资料和租赁房屋现状原因导致承租方不能通过相关登记、审批等手续的，承租方同意且承诺不因此提出任何索赔</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8、承租方需对杭海路900、902、904号2幢和4幢及地下室实施物业管理工作并承担各项费用。出租方不承担物业管理费且2幢在租商户在现有房屋租赁协议有效期限内不承担物业管理费。现有租户的租赁协议到期后续签或新租户新签的，需按当期物业费标准支付物业管理费</w:t>
      </w:r>
      <w:r>
        <w:rPr>
          <w:rFonts w:hint="eastAsia" w:ascii="宋体" w:hAnsi="宋体" w:cs="Times New Roman"/>
          <w:b w:val="0"/>
          <w:bCs/>
          <w:szCs w:val="21"/>
          <w:highlight w:val="none"/>
          <w:lang w:val="en-US"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cs="Times New Roman"/>
          <w:b w:val="0"/>
          <w:bCs/>
          <w:szCs w:val="21"/>
          <w:highlight w:val="none"/>
          <w:lang w:eastAsia="zh-CN"/>
        </w:rPr>
      </w:pPr>
      <w:r>
        <w:rPr>
          <w:rFonts w:hint="eastAsia" w:ascii="宋体" w:hAnsi="宋体" w:eastAsia="宋体" w:cs="Times New Roman"/>
          <w:b w:val="0"/>
          <w:bCs/>
          <w:szCs w:val="21"/>
          <w:highlight w:val="none"/>
          <w:lang w:val="en-US" w:eastAsia="zh-CN"/>
        </w:rPr>
        <w:t>9、</w:t>
      </w:r>
      <w:r>
        <w:rPr>
          <w:rFonts w:hint="eastAsia" w:ascii="宋体" w:hAnsi="宋体" w:eastAsia="宋体" w:cs="Times New Roman"/>
          <w:b w:val="0"/>
          <w:bCs/>
          <w:szCs w:val="21"/>
          <w:highlight w:val="none"/>
          <w:lang w:eastAsia="zh-CN"/>
        </w:rPr>
        <w:t>杭海路900、902、904号2幢楼顶建筑或构筑物不属于本次租赁范围内，承租方不得以任何形式占用、使用或改造楼顶建筑或构筑物，出租方在租赁房屋交付前确保现有楼顶违建违章部分清理完毕。出租方按照租赁房屋现状向承租方交付，承租方已充分了解并接受租赁房屋及附属设施现状，双方按照现状交接；涉及依法应由出租方承担的房屋主体结构及共有设施维修责任，由出租方依法承担。承租方未经出租方书面同意，不得进入、占用或使用不属于租赁范围的屋顶区域</w:t>
      </w:r>
      <w:r>
        <w:rPr>
          <w:rFonts w:hint="eastAsia" w:ascii="宋体" w:hAnsi="宋体" w:cs="Times New Roman"/>
          <w:b w:val="0"/>
          <w:bCs/>
          <w:szCs w:val="21"/>
          <w:highlight w:val="none"/>
          <w:lang w:eastAsia="zh-CN"/>
        </w:rPr>
        <w:t>。</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10、承租方需无偿向出租方提供10个免费车位，具体分配由</w:t>
      </w:r>
      <w:r>
        <w:rPr>
          <w:rFonts w:hint="eastAsia" w:ascii="宋体" w:hAnsi="宋体" w:eastAsia="宋体" w:cs="Times New Roman"/>
          <w:b w:val="0"/>
          <w:bCs/>
          <w:szCs w:val="21"/>
          <w:highlight w:val="none"/>
          <w:lang w:eastAsia="zh-CN"/>
        </w:rPr>
        <w:t>出租方</w:t>
      </w:r>
      <w:r>
        <w:rPr>
          <w:rFonts w:hint="eastAsia" w:ascii="宋体" w:hAnsi="宋体" w:eastAsia="宋体" w:cs="Times New Roman"/>
          <w:b w:val="0"/>
          <w:bCs/>
          <w:szCs w:val="21"/>
          <w:highlight w:val="none"/>
          <w:lang w:val="en-US" w:eastAsia="zh-CN"/>
        </w:rPr>
        <w:t>确定。出租方已将部分车位以包月形式出租给车主，出租方自房屋移交给承租方次日起，将按</w:t>
      </w:r>
      <w:r>
        <w:rPr>
          <w:rFonts w:hint="eastAsia" w:ascii="宋体" w:hAnsi="宋体" w:eastAsia="宋体" w:cs="Times New Roman"/>
          <w:b w:val="0"/>
          <w:bCs/>
          <w:szCs w:val="21"/>
          <w:highlight w:val="none"/>
          <w:lang w:eastAsia="zh-CN"/>
        </w:rPr>
        <w:t>出租方</w:t>
      </w:r>
      <w:r>
        <w:rPr>
          <w:rFonts w:hint="eastAsia" w:ascii="宋体" w:hAnsi="宋体" w:eastAsia="宋体" w:cs="Times New Roman"/>
          <w:b w:val="0"/>
          <w:bCs/>
          <w:szCs w:val="21"/>
          <w:highlight w:val="none"/>
          <w:lang w:val="en-US" w:eastAsia="zh-CN"/>
        </w:rPr>
        <w:t>停车系统显示包月车辆剩余期限的费用移交给承租方，承租方不得以任何理由终止包月车主的停车需求，包月车辆租赁到期后，由包月车主与承租方自行确认后续包月事宜。对于出租方已出售的停车优惠券，出租方自房屋移交给承租方次日起，将按</w:t>
      </w:r>
      <w:r>
        <w:rPr>
          <w:rFonts w:hint="eastAsia" w:ascii="宋体" w:hAnsi="宋体" w:eastAsia="宋体" w:cs="Times New Roman"/>
          <w:b w:val="0"/>
          <w:bCs/>
          <w:szCs w:val="21"/>
          <w:highlight w:val="none"/>
          <w:lang w:eastAsia="zh-CN"/>
        </w:rPr>
        <w:t>出租方</w:t>
      </w:r>
      <w:r>
        <w:rPr>
          <w:rFonts w:hint="eastAsia" w:ascii="宋体" w:hAnsi="宋体" w:eastAsia="宋体" w:cs="Times New Roman"/>
          <w:b w:val="0"/>
          <w:bCs/>
          <w:szCs w:val="21"/>
          <w:highlight w:val="none"/>
          <w:lang w:val="en-US" w:eastAsia="zh-CN"/>
        </w:rPr>
        <w:t>停车系统显示未核销的优惠券数量及相对应费用移交给承租方，承租方不得以任何理由终止优惠券正常使用。</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b w:val="0"/>
          <w:bCs/>
          <w:color w:val="auto"/>
          <w:szCs w:val="21"/>
          <w:highlight w:val="none"/>
          <w:lang w:val="en-US" w:eastAsia="zh-CN"/>
        </w:rPr>
      </w:pPr>
      <w:r>
        <w:rPr>
          <w:rFonts w:hint="eastAsia" w:ascii="宋体" w:hAnsi="宋体" w:eastAsia="宋体" w:cs="Times New Roman"/>
          <w:b w:val="0"/>
          <w:bCs/>
          <w:szCs w:val="21"/>
          <w:highlight w:val="none"/>
          <w:lang w:val="en-US" w:eastAsia="zh-CN"/>
        </w:rPr>
        <w:t>11、</w:t>
      </w:r>
      <w:r>
        <w:rPr>
          <w:rFonts w:hint="eastAsia" w:ascii="宋体" w:hAnsi="宋体"/>
          <w:b w:val="0"/>
          <w:bCs/>
          <w:color w:val="auto"/>
          <w:szCs w:val="21"/>
          <w:highlight w:val="none"/>
          <w:lang w:val="en-US" w:eastAsia="zh-CN"/>
        </w:rPr>
        <w:t>租赁房屋经依法展示后以交付时实物展示为准，承租方应当详细阅读租赁房屋所涉及披露内容，有责任自行了解标的的状况，认真进行现场踏勘。承租方提交承租申请并且交纳交易保证金后，即视为已详细阅读并完全认可租赁房屋所披露内容以及已完成对标的的现场踏勘，表明已完全了解并自愿接受标的的全部现状及瑕疵，并自愿承担一切交易风险。</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12、根据杭州市上城区杭海路900、902、904号2幢、杭州市上城区杭海路900、902、904号4幢不动产证为浙(2024)杭州市不动产权第0225397号证载用途为综合（仓储）用地/种子加工综合楼，权利性质为出让/自建房，承租方如有商业或其他用途，须自行取得合法合规相关政府部门批准。承租方在租赁房屋内开展其业务及经营前，应向政府主管部门取得所有必要的执照、批准或许可证等，自行办理相关的许可证及相关登记文件，承担由此产生的费用。承租方承诺对上述物业权证证载的地类用途和租赁物业现状、设施及物业环境有充分了解，如因租赁房屋证载的用途和租赁用途不一致而导致未取得前述执照、批准或许可证的，所有损失由承租方自行承担，出租方不承担任何责任。承租方应确保该执照、批准或许可证在租赁期限内完全有效，及在各方面均符合该执照、批准或许可证的规定。并且，承租方在该租赁物业的经营活动不得违反有关的法律、法规，必须确保其经营的合法性，否则，承租方将承担因其不正当经营所造成的一切责任和后果。</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cs="Times New Roman"/>
          <w:b w:val="0"/>
          <w:bCs/>
          <w:szCs w:val="21"/>
          <w:highlight w:val="none"/>
          <w:lang w:val="en-US" w:eastAsia="zh-CN"/>
        </w:rPr>
        <w:t>13、</w:t>
      </w:r>
      <w:r>
        <w:rPr>
          <w:rFonts w:hint="eastAsia" w:ascii="宋体" w:hAnsi="宋体" w:eastAsia="宋体" w:cs="Times New Roman"/>
          <w:b w:val="0"/>
          <w:bCs/>
          <w:szCs w:val="21"/>
          <w:highlight w:val="none"/>
          <w:lang w:val="en-US" w:eastAsia="zh-CN"/>
        </w:rPr>
        <w:t>承租方承租租赁房屋前，须对该处房屋的结构、装修、位置、环境、设施、物业及水电可供容量等现状进行全面了解，承租方承租后，出租方不再为其改变条件进行投入，出租对租赁房屋进行装修或调整时，应向政府部门申请，取得相关同意文件后，并向出租方提供全套图纸及相关装修或调整资料后方可进行相关施工，装修或调整不得对租赁房屋内的空调设备及其他设施设备进行拆除，如有特殊要求，双方另行商定。</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lang w:val="en-US" w:eastAsia="zh-CN"/>
        </w:rPr>
      </w:pPr>
      <w:r>
        <w:rPr>
          <w:rFonts w:hint="eastAsia" w:ascii="宋体" w:hAnsi="宋体" w:cs="Times New Roman"/>
          <w:b w:val="0"/>
          <w:bCs/>
          <w:szCs w:val="21"/>
          <w:highlight w:val="none"/>
          <w:lang w:val="en-US" w:eastAsia="zh-CN"/>
        </w:rPr>
        <w:t>14、</w:t>
      </w:r>
      <w:r>
        <w:rPr>
          <w:rFonts w:hint="eastAsia" w:ascii="宋体" w:hAnsi="宋体" w:eastAsia="宋体" w:cs="Times New Roman"/>
          <w:b w:val="0"/>
          <w:bCs/>
          <w:szCs w:val="21"/>
          <w:highlight w:val="none"/>
          <w:lang w:val="en-US" w:eastAsia="zh-CN"/>
        </w:rPr>
        <w:t>承租方负责杭海路900、902、904号2幢和4幢的物业管理工作，履行上述区域内安全生产、</w:t>
      </w:r>
      <w:bookmarkStart w:id="1" w:name="_GoBack"/>
      <w:bookmarkEnd w:id="1"/>
      <w:r>
        <w:rPr>
          <w:rFonts w:hint="eastAsia" w:ascii="宋体" w:hAnsi="宋体" w:eastAsia="宋体" w:cs="Times New Roman"/>
          <w:b w:val="0"/>
          <w:bCs/>
          <w:szCs w:val="21"/>
          <w:highlight w:val="none"/>
          <w:lang w:val="en-US" w:eastAsia="zh-CN"/>
        </w:rPr>
        <w:t>消防安全的主体责任，负责4幢地下一层人防区人防设施的日常维护和保养，确保人防设施正常运行，不得改动、拆除、占用或破坏人防设施。</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eastAsia="zh-CN"/>
        </w:rPr>
      </w:pPr>
      <w:r>
        <w:rPr>
          <w:rFonts w:hint="eastAsia" w:ascii="宋体" w:hAnsi="宋体" w:eastAsia="宋体" w:cs="Times New Roman"/>
          <w:b w:val="0"/>
          <w:bCs/>
          <w:szCs w:val="21"/>
          <w:highlight w:val="none"/>
          <w:lang w:val="en-US" w:eastAsia="zh-CN"/>
        </w:rPr>
        <w:t>13、</w:t>
      </w:r>
      <w:r>
        <w:rPr>
          <w:rFonts w:hint="eastAsia" w:ascii="宋体" w:hAnsi="宋体" w:eastAsia="宋体" w:cs="Times New Roman"/>
          <w:b w:val="0"/>
          <w:bCs/>
          <w:szCs w:val="21"/>
          <w:highlight w:val="none"/>
          <w:lang w:eastAsia="zh-CN"/>
        </w:rPr>
        <w:t>承租方须承诺以下事项：①未被责令停业或破产状态；②财产未被重组、接管、查封、扣押或冻结；③最近三年在经营活动中未出现违法、违纪、违规以及不良信誉记录；④在生产经营活动中未出现重大安全责任事故；⑤近三年内承租方未与出租方及其关联企业（包括杭州市商贸旅游集团有限公司及杭州市商贸旅游集团有限公司的对外投资企业，含全部直接及间接参股企业）发生过合同争议纠纷、仲裁或诉讼。</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rPr>
      </w:pPr>
      <w:r>
        <w:rPr>
          <w:rFonts w:hint="eastAsia" w:ascii="宋体" w:hAnsi="宋体" w:eastAsia="宋体" w:cs="Times New Roman"/>
          <w:b w:val="0"/>
          <w:bCs/>
          <w:szCs w:val="21"/>
          <w:highlight w:val="none"/>
          <w:lang w:val="en-US" w:eastAsia="zh-CN"/>
        </w:rPr>
        <w:t>1</w:t>
      </w:r>
      <w:r>
        <w:rPr>
          <w:rFonts w:hint="eastAsia" w:ascii="宋体" w:hAnsi="宋体" w:cs="Times New Roman"/>
          <w:b w:val="0"/>
          <w:bCs/>
          <w:szCs w:val="21"/>
          <w:highlight w:val="none"/>
          <w:lang w:val="en-US" w:eastAsia="zh-CN"/>
        </w:rPr>
        <w:t>5</w:t>
      </w:r>
      <w:r>
        <w:rPr>
          <w:rFonts w:hint="eastAsia" w:ascii="宋体" w:hAnsi="宋体" w:eastAsia="宋体" w:cs="Times New Roman"/>
          <w:b w:val="0"/>
          <w:bCs/>
          <w:szCs w:val="21"/>
          <w:highlight w:val="none"/>
          <w:lang w:val="en-US" w:eastAsia="zh-CN"/>
        </w:rPr>
        <w:t>、同意并知悉：</w:t>
      </w:r>
      <w:r>
        <w:rPr>
          <w:rFonts w:hint="eastAsia" w:ascii="宋体" w:hAnsi="宋体" w:eastAsia="宋体" w:cs="Times New Roman"/>
          <w:b w:val="0"/>
          <w:bCs/>
          <w:szCs w:val="21"/>
          <w:highlight w:val="none"/>
        </w:rPr>
        <w:t>出租方与承租方权利义务具体以出租方提供的《房屋租赁合同》（样本）为准。</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1</w:t>
      </w:r>
      <w:r>
        <w:rPr>
          <w:rFonts w:hint="eastAsia" w:ascii="宋体" w:hAnsi="宋体" w:cs="Times New Roman"/>
          <w:b w:val="0"/>
          <w:bCs/>
          <w:szCs w:val="21"/>
          <w:highlight w:val="none"/>
          <w:lang w:val="en-US" w:eastAsia="zh-CN"/>
        </w:rPr>
        <w:t>6</w:t>
      </w:r>
      <w:r>
        <w:rPr>
          <w:rFonts w:hint="eastAsia" w:ascii="宋体" w:hAnsi="宋体" w:eastAsia="宋体" w:cs="Times New Roman"/>
          <w:b w:val="0"/>
          <w:bCs/>
          <w:szCs w:val="21"/>
          <w:highlight w:val="none"/>
          <w:lang w:val="en-US" w:eastAsia="zh-CN"/>
        </w:rPr>
        <w:t>、本次交易有二个及以上意向承租方报名且成交的，承租方须缴纳按首年一个月租金计取的交易服务费；（2）本次交易只有一位意向承租方且成交的，承租方须缴纳按首年半个月租金计取的交易服务费。</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1</w:t>
      </w:r>
      <w:r>
        <w:rPr>
          <w:rFonts w:hint="eastAsia" w:ascii="宋体" w:hAnsi="宋体" w:cs="Times New Roman"/>
          <w:b w:val="0"/>
          <w:bCs/>
          <w:szCs w:val="21"/>
          <w:highlight w:val="none"/>
          <w:lang w:val="en-US" w:eastAsia="zh-CN"/>
        </w:rPr>
        <w:t>7</w:t>
      </w:r>
      <w:r>
        <w:rPr>
          <w:rFonts w:hint="eastAsia" w:ascii="宋体" w:hAnsi="宋体" w:eastAsia="宋体" w:cs="Times New Roman"/>
          <w:b w:val="0"/>
          <w:bCs/>
          <w:szCs w:val="21"/>
          <w:highlight w:val="none"/>
          <w:lang w:val="en-US" w:eastAsia="zh-CN"/>
        </w:rPr>
        <w:t xml:space="preserve">、若非出租方原因，出现以下任一情况时，意向承租方交纳的保证金不予退还，先用于补偿杭交所、经纪会员的各项服务费，剩余部分作为对出租方的经济补偿金，保证金不足以补偿的，相关方有权按照实际损失继续追诉： </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（1）意向承租方提交承租申请材料并交纳交易保证金后单方撤回承租申请的；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（2）产生符合条件的意向承租方后，各意向承租方在竞价期间均不报价的；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rPr>
        <w:t>（3）在被确定为承租方后未按约定签署《房屋租赁合同》的或未按约定支付首期租金、</w:t>
      </w:r>
      <w:r>
        <w:rPr>
          <w:rFonts w:hint="eastAsia" w:ascii="宋体" w:hAnsi="宋体" w:eastAsia="宋体" w:cs="Times New Roman"/>
          <w:b w:val="0"/>
          <w:bCs/>
          <w:szCs w:val="21"/>
          <w:highlight w:val="none"/>
          <w:lang w:val="en-US" w:eastAsia="zh-CN"/>
        </w:rPr>
        <w:t>履约</w:t>
      </w:r>
      <w:r>
        <w:rPr>
          <w:rFonts w:hint="eastAsia" w:ascii="宋体" w:hAnsi="宋体" w:eastAsia="宋体" w:cs="Times New Roman"/>
          <w:b w:val="0"/>
          <w:bCs/>
          <w:szCs w:val="21"/>
          <w:highlight w:val="none"/>
        </w:rPr>
        <w:t>保证金、交易服务费的；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（4）意向承租方未履行书面承诺事项的；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r>
        <w:rPr>
          <w:rFonts w:hint="eastAsia" w:ascii="宋体" w:hAnsi="宋体" w:eastAsia="宋体" w:cs="Times New Roman"/>
          <w:b w:val="0"/>
          <w:bCs/>
          <w:szCs w:val="21"/>
          <w:highlight w:val="none"/>
          <w:lang w:val="en-US" w:eastAsia="zh-CN"/>
        </w:rPr>
        <w:t>（5）存在其他违反交易规则情形的。</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Times New Roman"/>
          <w:b w:val="0"/>
          <w:bCs/>
          <w:szCs w:val="21"/>
          <w:highlight w:val="none"/>
          <w:lang w:val="en-US" w:eastAsia="zh-CN"/>
        </w:rPr>
      </w:pP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意向承租方（签章）：</w:t>
      </w:r>
    </w:p>
    <w:p>
      <w:pPr>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z w:val="21"/>
          <w:szCs w:val="21"/>
          <w:highlight w:val="none"/>
          <w:lang w:val="en-US" w:eastAsia="zh-CN"/>
        </w:rPr>
        <w:t xml:space="preserve">                                         2025年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mZTg4YTg3OTkxNDNiMGE2ZTM4YzhiYWM4OTZmZWYifQ=="/>
  </w:docVars>
  <w:rsids>
    <w:rsidRoot w:val="007E4EDD"/>
    <w:rsid w:val="000119B9"/>
    <w:rsid w:val="0003337E"/>
    <w:rsid w:val="00092C9D"/>
    <w:rsid w:val="00143D8A"/>
    <w:rsid w:val="0020310B"/>
    <w:rsid w:val="002278BB"/>
    <w:rsid w:val="002526A0"/>
    <w:rsid w:val="00255411"/>
    <w:rsid w:val="00274544"/>
    <w:rsid w:val="002F36D9"/>
    <w:rsid w:val="003229C2"/>
    <w:rsid w:val="003A2F6F"/>
    <w:rsid w:val="003E079C"/>
    <w:rsid w:val="00413930"/>
    <w:rsid w:val="00430675"/>
    <w:rsid w:val="004900C6"/>
    <w:rsid w:val="004C246D"/>
    <w:rsid w:val="004D1B74"/>
    <w:rsid w:val="004E1479"/>
    <w:rsid w:val="004E3107"/>
    <w:rsid w:val="004F3BEF"/>
    <w:rsid w:val="00503879"/>
    <w:rsid w:val="005104B5"/>
    <w:rsid w:val="0055051A"/>
    <w:rsid w:val="005A37D0"/>
    <w:rsid w:val="0060197B"/>
    <w:rsid w:val="00627BE3"/>
    <w:rsid w:val="00662215"/>
    <w:rsid w:val="00737286"/>
    <w:rsid w:val="007847DD"/>
    <w:rsid w:val="00790D21"/>
    <w:rsid w:val="007E4EDD"/>
    <w:rsid w:val="0082311C"/>
    <w:rsid w:val="0084282E"/>
    <w:rsid w:val="00884F8A"/>
    <w:rsid w:val="008D72E8"/>
    <w:rsid w:val="00906FAC"/>
    <w:rsid w:val="00934A3A"/>
    <w:rsid w:val="0096235F"/>
    <w:rsid w:val="009733B3"/>
    <w:rsid w:val="009E27F0"/>
    <w:rsid w:val="009F646A"/>
    <w:rsid w:val="00A11F15"/>
    <w:rsid w:val="00A24DD0"/>
    <w:rsid w:val="00A53E81"/>
    <w:rsid w:val="00A66AE6"/>
    <w:rsid w:val="00A96775"/>
    <w:rsid w:val="00AA4243"/>
    <w:rsid w:val="00AF7180"/>
    <w:rsid w:val="00B15A11"/>
    <w:rsid w:val="00B170BB"/>
    <w:rsid w:val="00B36433"/>
    <w:rsid w:val="00B91182"/>
    <w:rsid w:val="00B923AA"/>
    <w:rsid w:val="00BD7EAF"/>
    <w:rsid w:val="00C02F3D"/>
    <w:rsid w:val="00C07B7D"/>
    <w:rsid w:val="00C2125E"/>
    <w:rsid w:val="00C300A5"/>
    <w:rsid w:val="00C434EA"/>
    <w:rsid w:val="00C76683"/>
    <w:rsid w:val="00C80243"/>
    <w:rsid w:val="00C85BC7"/>
    <w:rsid w:val="00CB5B8C"/>
    <w:rsid w:val="00CF4007"/>
    <w:rsid w:val="00D56D57"/>
    <w:rsid w:val="00DD02F6"/>
    <w:rsid w:val="00E00E55"/>
    <w:rsid w:val="00E10ADA"/>
    <w:rsid w:val="00E60BD5"/>
    <w:rsid w:val="00ED0403"/>
    <w:rsid w:val="00ED4E9F"/>
    <w:rsid w:val="00EF62AF"/>
    <w:rsid w:val="00F06BEC"/>
    <w:rsid w:val="00F47654"/>
    <w:rsid w:val="00FA0343"/>
    <w:rsid w:val="00FA6AB7"/>
    <w:rsid w:val="019C1EEA"/>
    <w:rsid w:val="01E5402C"/>
    <w:rsid w:val="03066051"/>
    <w:rsid w:val="03637B8E"/>
    <w:rsid w:val="0D0E659B"/>
    <w:rsid w:val="0DF1051E"/>
    <w:rsid w:val="0F524901"/>
    <w:rsid w:val="173E5800"/>
    <w:rsid w:val="1DA37C3B"/>
    <w:rsid w:val="1EEC13A1"/>
    <w:rsid w:val="20A51056"/>
    <w:rsid w:val="27541626"/>
    <w:rsid w:val="27AA290F"/>
    <w:rsid w:val="285D694C"/>
    <w:rsid w:val="2B1F0483"/>
    <w:rsid w:val="2FA5177C"/>
    <w:rsid w:val="32557358"/>
    <w:rsid w:val="32FB67E2"/>
    <w:rsid w:val="35600E6D"/>
    <w:rsid w:val="37522DE0"/>
    <w:rsid w:val="383E6FED"/>
    <w:rsid w:val="38456167"/>
    <w:rsid w:val="3AC43A69"/>
    <w:rsid w:val="3B103714"/>
    <w:rsid w:val="3B6738AB"/>
    <w:rsid w:val="45962498"/>
    <w:rsid w:val="46DF21A2"/>
    <w:rsid w:val="4ACC618D"/>
    <w:rsid w:val="4D8520D3"/>
    <w:rsid w:val="50D93D32"/>
    <w:rsid w:val="5187378F"/>
    <w:rsid w:val="54E62B26"/>
    <w:rsid w:val="55D769B2"/>
    <w:rsid w:val="585D3FC2"/>
    <w:rsid w:val="5A765B12"/>
    <w:rsid w:val="5A7D1B2E"/>
    <w:rsid w:val="5B7B2FC6"/>
    <w:rsid w:val="5CF46009"/>
    <w:rsid w:val="5EE74137"/>
    <w:rsid w:val="62F53709"/>
    <w:rsid w:val="638A71A7"/>
    <w:rsid w:val="63C12C87"/>
    <w:rsid w:val="655941F8"/>
    <w:rsid w:val="66141D8A"/>
    <w:rsid w:val="663A5F69"/>
    <w:rsid w:val="68434A5B"/>
    <w:rsid w:val="6B7C4F72"/>
    <w:rsid w:val="6BBC636F"/>
    <w:rsid w:val="6BE8130D"/>
    <w:rsid w:val="6D802092"/>
    <w:rsid w:val="6F750ECD"/>
    <w:rsid w:val="6FFC4BAB"/>
    <w:rsid w:val="71165551"/>
    <w:rsid w:val="714C77AC"/>
    <w:rsid w:val="71D57417"/>
    <w:rsid w:val="74AF585B"/>
    <w:rsid w:val="753F4A15"/>
    <w:rsid w:val="772A7FC7"/>
    <w:rsid w:val="787E0CC2"/>
    <w:rsid w:val="78953E89"/>
    <w:rsid w:val="795E558F"/>
    <w:rsid w:val="7FB72E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qFormat="1" w:unhideWhenUsed="0" w:uiPriority="0" w:semiHidden="0"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仿宋" w:hAnsi="仿宋" w:eastAsia="仿宋" w:cs="仿宋"/>
      <w:sz w:val="31"/>
      <w:szCs w:val="31"/>
      <w:lang w:val="en-US" w:eastAsia="en-US" w:bidi="ar-SA"/>
    </w:rPr>
  </w:style>
  <w:style w:type="paragraph" w:styleId="3">
    <w:name w:val="Body Text First Indent"/>
    <w:basedOn w:val="2"/>
    <w:next w:val="1"/>
    <w:unhideWhenUsed/>
    <w:qFormat/>
    <w:uiPriority w:val="0"/>
    <w:pPr>
      <w:keepNext w:val="0"/>
      <w:keepLines w:val="0"/>
      <w:widowControl w:val="0"/>
      <w:suppressLineNumbers w:val="0"/>
      <w:spacing w:before="0" w:beforeAutospacing="0" w:after="120" w:afterAutospacing="0"/>
      <w:ind w:left="0" w:right="0" w:firstLine="420" w:firstLineChars="100"/>
      <w:jc w:val="both"/>
    </w:pPr>
    <w:rPr>
      <w:rFonts w:hint="default" w:ascii="Times New Roman" w:hAnsi="Times New Roman" w:eastAsia="宋体" w:cs="Times New Roman"/>
      <w:kern w:val="2"/>
      <w:sz w:val="21"/>
      <w:szCs w:val="24"/>
      <w:lang w:val="en-US" w:eastAsia="zh-CN" w:bidi="ar-SA"/>
    </w:rPr>
  </w:style>
  <w:style w:type="paragraph" w:styleId="4">
    <w:name w:val="footer"/>
    <w:basedOn w:val="1"/>
    <w:link w:val="12"/>
    <w:semiHidden/>
    <w:unhideWhenUsed/>
    <w:qFormat/>
    <w:uiPriority w:val="99"/>
    <w:pPr>
      <w:tabs>
        <w:tab w:val="center" w:pos="4153"/>
        <w:tab w:val="right" w:pos="8306"/>
      </w:tabs>
      <w:snapToGrid w:val="0"/>
      <w:jc w:val="left"/>
    </w:pPr>
    <w:rPr>
      <w:sz w:val="18"/>
      <w:szCs w:val="18"/>
    </w:rPr>
  </w:style>
  <w:style w:type="paragraph" w:styleId="5">
    <w:name w:val="header"/>
    <w:basedOn w:val="1"/>
    <w:link w:val="11"/>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4"/>
    <w:basedOn w:val="1"/>
    <w:next w:val="1"/>
    <w:qFormat/>
    <w:uiPriority w:val="0"/>
    <w:pPr>
      <w:wordWrap w:val="0"/>
      <w:ind w:left="850"/>
      <w:jc w:val="both"/>
    </w:pPr>
    <w:rPr>
      <w:rFonts w:ascii="Calibri" w:hAnsi="Calibri" w:eastAsia="宋体" w:cs="Times New Roman"/>
      <w:sz w:val="21"/>
      <w:lang w:val="en-US" w:eastAsia="zh-CN" w:bidi="ar-SA"/>
    </w:rPr>
  </w:style>
  <w:style w:type="paragraph" w:styleId="7">
    <w:name w:val="toc 6"/>
    <w:basedOn w:val="1"/>
    <w:next w:val="1"/>
    <w:qFormat/>
    <w:uiPriority w:val="0"/>
    <w:pPr>
      <w:ind w:left="2100" w:leftChars="1000"/>
    </w:pPr>
    <w:rPr>
      <w:szCs w:val="22"/>
    </w:rPr>
  </w:style>
  <w:style w:type="paragraph" w:customStyle="1" w:styleId="10">
    <w:name w:val="NormalIndent"/>
    <w:basedOn w:val="1"/>
    <w:qFormat/>
    <w:uiPriority w:val="0"/>
    <w:pPr>
      <w:ind w:firstLine="420"/>
    </w:pPr>
  </w:style>
  <w:style w:type="character" w:customStyle="1" w:styleId="11">
    <w:name w:val="页眉 Char"/>
    <w:basedOn w:val="9"/>
    <w:link w:val="5"/>
    <w:semiHidden/>
    <w:qFormat/>
    <w:uiPriority w:val="99"/>
    <w:rPr>
      <w:rFonts w:ascii="Times New Roman" w:hAnsi="Times New Roman" w:eastAsia="宋体" w:cs="Times New Roman"/>
      <w:sz w:val="18"/>
      <w:szCs w:val="18"/>
    </w:rPr>
  </w:style>
  <w:style w:type="character" w:customStyle="1" w:styleId="12">
    <w:name w:val="页脚 Char"/>
    <w:basedOn w:val="9"/>
    <w:link w:val="4"/>
    <w:semiHidden/>
    <w:qFormat/>
    <w:uiPriority w:val="99"/>
    <w:rPr>
      <w:rFonts w:ascii="Times New Roman" w:hAnsi="Times New Roman" w:eastAsia="宋体" w:cs="Times New Roman"/>
      <w:sz w:val="18"/>
      <w:szCs w:val="18"/>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1480</Words>
  <Characters>1500</Characters>
  <Lines>8</Lines>
  <Paragraphs>2</Paragraphs>
  <TotalTime>0</TotalTime>
  <ScaleCrop>false</ScaleCrop>
  <LinksUpToDate>false</LinksUpToDate>
  <CharactersWithSpaces>1592</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2020-04-09T09:14:00Z</dcterms:created>
  <dc:creator>zxy</dc:creator>
  <cp:lastModifiedBy>YWX</cp:lastModifiedBy>
  <dcterms:modified xsi:type="dcterms:W3CDTF">2026-07-30T05:41:08Z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824C53EAD98E4E6FAE634577C3C8D155</vt:lpwstr>
  </property>
  <property fmtid="{D5CDD505-2E9C-101B-9397-08002B2CF9AE}" pid="4" name="KSOTemplateDocerSaveRecord">
    <vt:lpwstr>eyJoZGlkIjoiYTRmZTg4YTg3OTkxNDNiMGE2ZTM4YzhiYWM4OTZmZWYiLCJ1c2VySWQiOiI5NTMwNTIxNDkifQ==</vt:lpwstr>
  </property>
</Properties>
</file>