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4" w:line="226" w:lineRule="auto"/>
        <w:ind w:left="4535"/>
        <w:jc w:val="left"/>
        <w:rPr>
          <w:rFonts w:hint="default" w:ascii="宋体" w:hAnsi="宋体" w:eastAsia="宋体" w:cs="宋体"/>
          <w:color w:val="auto"/>
          <w:sz w:val="31"/>
          <w:szCs w:val="31"/>
          <w:highlight w:val="none"/>
          <w:lang w:val="en-US" w:eastAsia="zh-CN"/>
        </w:rPr>
      </w:pPr>
      <w:r>
        <w:rPr>
          <w:rFonts w:ascii="宋体" w:hAnsi="宋体" w:cs="宋体"/>
          <w:color w:val="auto"/>
          <w:spacing w:val="-9"/>
          <w:sz w:val="31"/>
          <w:szCs w:val="31"/>
          <w:highlight w:val="none"/>
        </w:rPr>
        <w:t>合同编号：</w:t>
      </w:r>
      <w:r>
        <w:rPr>
          <w:rFonts w:hint="eastAsia" w:ascii="宋体" w:hAnsi="宋体" w:cs="宋体"/>
          <w:color w:val="auto"/>
          <w:spacing w:val="-9"/>
          <w:sz w:val="31"/>
          <w:szCs w:val="31"/>
          <w:highlight w:val="none"/>
          <w:lang w:val="en-US" w:eastAsia="zh-CN"/>
        </w:rPr>
        <w:t xml:space="preserve">  </w:t>
      </w:r>
    </w:p>
    <w:p>
      <w:pPr>
        <w:pStyle w:val="4"/>
        <w:spacing w:line="243" w:lineRule="auto"/>
        <w:rPr>
          <w:color w:val="auto"/>
          <w:highlight w:val="none"/>
        </w:rPr>
      </w:pPr>
    </w:p>
    <w:p>
      <w:pPr>
        <w:pStyle w:val="4"/>
        <w:spacing w:line="243" w:lineRule="auto"/>
        <w:rPr>
          <w:color w:val="auto"/>
          <w:highlight w:val="none"/>
        </w:rPr>
      </w:pPr>
    </w:p>
    <w:p>
      <w:pPr>
        <w:pStyle w:val="4"/>
        <w:spacing w:line="244" w:lineRule="auto"/>
        <w:rPr>
          <w:color w:val="auto"/>
          <w:highlight w:val="none"/>
        </w:rPr>
      </w:pPr>
    </w:p>
    <w:p>
      <w:pPr>
        <w:pStyle w:val="4"/>
        <w:spacing w:line="244" w:lineRule="auto"/>
        <w:rPr>
          <w:color w:val="auto"/>
          <w:highlight w:val="none"/>
        </w:rPr>
      </w:pPr>
    </w:p>
    <w:p>
      <w:pPr>
        <w:pStyle w:val="4"/>
        <w:spacing w:line="244" w:lineRule="auto"/>
        <w:rPr>
          <w:color w:val="auto"/>
          <w:highlight w:val="none"/>
        </w:rPr>
      </w:pPr>
    </w:p>
    <w:p>
      <w:pPr>
        <w:pStyle w:val="4"/>
        <w:spacing w:line="244" w:lineRule="auto"/>
        <w:rPr>
          <w:color w:val="auto"/>
          <w:highlight w:val="none"/>
        </w:rPr>
      </w:pPr>
    </w:p>
    <w:p>
      <w:pPr>
        <w:spacing w:before="140" w:line="606" w:lineRule="exact"/>
        <w:ind w:left="2825"/>
        <w:outlineLvl w:val="0"/>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pacing w:val="-8"/>
          <w:position w:val="3"/>
          <w:sz w:val="44"/>
          <w:szCs w:val="44"/>
          <w:highlight w:val="none"/>
          <w14:textOutline w14:w="6350" w14:cap="flat" w14:cmpd="sng" w14:algn="ctr">
            <w14:solidFill>
              <w14:srgbClr w14:val="000000"/>
            </w14:solidFill>
            <w14:prstDash w14:val="solid"/>
            <w14:miter w14:val="0"/>
          </w14:textOutline>
        </w:rPr>
        <w:t>房屋租赁合同</w:t>
      </w:r>
    </w:p>
    <w:p>
      <w:pPr>
        <w:pStyle w:val="4"/>
        <w:spacing w:line="246" w:lineRule="auto"/>
        <w:rPr>
          <w:color w:val="auto"/>
          <w:highlight w:val="none"/>
        </w:rPr>
      </w:pPr>
    </w:p>
    <w:p>
      <w:pPr>
        <w:pStyle w:val="4"/>
        <w:spacing w:line="246" w:lineRule="auto"/>
        <w:rPr>
          <w:color w:val="auto"/>
          <w:highlight w:val="none"/>
        </w:rPr>
      </w:pPr>
    </w:p>
    <w:p>
      <w:pPr>
        <w:pStyle w:val="4"/>
        <w:spacing w:line="246" w:lineRule="auto"/>
        <w:rPr>
          <w:color w:val="auto"/>
          <w:highlight w:val="none"/>
        </w:rPr>
      </w:pPr>
    </w:p>
    <w:p>
      <w:pPr>
        <w:pStyle w:val="4"/>
        <w:spacing w:line="246" w:lineRule="auto"/>
        <w:rPr>
          <w:color w:val="auto"/>
          <w:highlight w:val="none"/>
        </w:rPr>
      </w:pPr>
    </w:p>
    <w:p>
      <w:pPr>
        <w:pStyle w:val="4"/>
        <w:spacing w:line="246" w:lineRule="auto"/>
        <w:rPr>
          <w:color w:val="auto"/>
          <w:highlight w:val="none"/>
        </w:rPr>
      </w:pPr>
    </w:p>
    <w:p>
      <w:pPr>
        <w:pStyle w:val="4"/>
        <w:spacing w:line="246" w:lineRule="auto"/>
        <w:rPr>
          <w:color w:val="auto"/>
          <w:highlight w:val="none"/>
        </w:rPr>
      </w:pPr>
    </w:p>
    <w:p>
      <w:pPr>
        <w:pStyle w:val="4"/>
        <w:spacing w:line="247" w:lineRule="auto"/>
        <w:rPr>
          <w:color w:val="auto"/>
          <w:highlight w:val="none"/>
        </w:rPr>
      </w:pPr>
    </w:p>
    <w:p>
      <w:pPr>
        <w:pStyle w:val="4"/>
        <w:spacing w:line="247" w:lineRule="auto"/>
        <w:rPr>
          <w:color w:val="auto"/>
          <w:highlight w:val="none"/>
        </w:rPr>
      </w:pPr>
    </w:p>
    <w:p>
      <w:pPr>
        <w:pStyle w:val="4"/>
        <w:spacing w:line="247" w:lineRule="auto"/>
        <w:rPr>
          <w:color w:val="auto"/>
          <w:highlight w:val="none"/>
        </w:rPr>
      </w:pPr>
    </w:p>
    <w:p>
      <w:pPr>
        <w:pStyle w:val="4"/>
        <w:spacing w:line="247" w:lineRule="auto"/>
        <w:rPr>
          <w:color w:val="auto"/>
          <w:highlight w:val="none"/>
        </w:rPr>
      </w:pPr>
    </w:p>
    <w:p>
      <w:pPr>
        <w:widowControl/>
        <w:kinsoku w:val="0"/>
        <w:autoSpaceDE w:val="0"/>
        <w:autoSpaceDN w:val="0"/>
        <w:adjustRightInd w:val="0"/>
        <w:snapToGrid w:val="0"/>
        <w:spacing w:before="100" w:line="360" w:lineRule="auto"/>
        <w:ind w:left="562"/>
        <w:textAlignment w:val="baseline"/>
        <w:rPr>
          <w:rFonts w:hint="eastAsia" w:ascii="宋体" w:hAnsi="宋体" w:cs="宋体"/>
          <w:color w:val="auto"/>
          <w:sz w:val="32"/>
          <w:szCs w:val="32"/>
          <w:highlight w:val="none"/>
        </w:rPr>
      </w:pPr>
      <w:r>
        <w:rPr>
          <w:rFonts w:hint="eastAsia" w:ascii="宋体" w:hAnsi="宋体" w:cs="宋体"/>
          <w:color w:val="auto"/>
          <w:spacing w:val="-14"/>
          <w:sz w:val="32"/>
          <w:szCs w:val="32"/>
          <w:highlight w:val="none"/>
        </w:rPr>
        <w:t>甲</w:t>
      </w:r>
      <w:r>
        <w:rPr>
          <w:rFonts w:hint="eastAsia" w:ascii="宋体" w:hAnsi="宋体" w:cs="宋体"/>
          <w:color w:val="auto"/>
          <w:spacing w:val="46"/>
          <w:sz w:val="32"/>
          <w:szCs w:val="32"/>
          <w:highlight w:val="none"/>
        </w:rPr>
        <w:t xml:space="preserve">   </w:t>
      </w:r>
      <w:r>
        <w:rPr>
          <w:rFonts w:hint="eastAsia" w:ascii="宋体" w:hAnsi="宋体" w:cs="宋体"/>
          <w:color w:val="auto"/>
          <w:spacing w:val="-14"/>
          <w:sz w:val="32"/>
          <w:szCs w:val="32"/>
          <w:highlight w:val="none"/>
        </w:rPr>
        <w:t>方：</w:t>
      </w:r>
      <w:r>
        <w:rPr>
          <w:rFonts w:hint="eastAsia" w:ascii="宋体" w:hAnsi="宋体" w:cs="宋体"/>
          <w:color w:val="auto"/>
          <w:spacing w:val="-14"/>
          <w:sz w:val="32"/>
          <w:szCs w:val="32"/>
          <w:highlight w:val="none"/>
          <w:u w:val="single"/>
          <w:lang w:val="en-US" w:eastAsia="zh-CN"/>
        </w:rPr>
        <w:t xml:space="preserve">                       </w:t>
      </w:r>
      <w:r>
        <w:rPr>
          <w:rFonts w:hint="eastAsia" w:ascii="宋体" w:hAnsi="宋体" w:cs="宋体"/>
          <w:color w:val="auto"/>
          <w:spacing w:val="-14"/>
          <w:sz w:val="32"/>
          <w:szCs w:val="32"/>
          <w:highlight w:val="none"/>
          <w:u w:val="single"/>
        </w:rPr>
        <w:t xml:space="preserve">       </w:t>
      </w:r>
    </w:p>
    <w:p>
      <w:pPr>
        <w:widowControl/>
        <w:kinsoku w:val="0"/>
        <w:autoSpaceDE w:val="0"/>
        <w:autoSpaceDN w:val="0"/>
        <w:adjustRightInd w:val="0"/>
        <w:snapToGrid w:val="0"/>
        <w:spacing w:before="1" w:line="360" w:lineRule="auto"/>
        <w:ind w:left="552"/>
        <w:textAlignment w:val="baseline"/>
        <w:rPr>
          <w:rFonts w:hint="eastAsia" w:ascii="宋体" w:hAnsi="宋体" w:cs="宋体"/>
          <w:color w:val="auto"/>
          <w:sz w:val="32"/>
          <w:szCs w:val="32"/>
          <w:highlight w:val="none"/>
        </w:rPr>
      </w:pPr>
      <w:r>
        <w:rPr>
          <w:rFonts w:hint="eastAsia" w:ascii="宋体" w:hAnsi="宋体" w:cs="宋体"/>
          <w:color w:val="auto"/>
          <w:spacing w:val="-11"/>
          <w:sz w:val="32"/>
          <w:szCs w:val="32"/>
          <w:highlight w:val="none"/>
        </w:rPr>
        <w:t>乙</w:t>
      </w:r>
      <w:r>
        <w:rPr>
          <w:rFonts w:hint="eastAsia" w:ascii="宋体" w:hAnsi="宋体" w:cs="宋体"/>
          <w:color w:val="auto"/>
          <w:spacing w:val="40"/>
          <w:sz w:val="32"/>
          <w:szCs w:val="32"/>
          <w:highlight w:val="none"/>
        </w:rPr>
        <w:t xml:space="preserve">   </w:t>
      </w:r>
      <w:r>
        <w:rPr>
          <w:rFonts w:hint="eastAsia" w:ascii="宋体" w:hAnsi="宋体" w:cs="宋体"/>
          <w:color w:val="auto"/>
          <w:spacing w:val="-11"/>
          <w:sz w:val="32"/>
          <w:szCs w:val="32"/>
          <w:highlight w:val="none"/>
        </w:rPr>
        <w:t>方：</w:t>
      </w:r>
      <w:r>
        <w:rPr>
          <w:rFonts w:hint="eastAsia" w:ascii="宋体" w:hAnsi="宋体" w:cs="宋体"/>
          <w:color w:val="auto"/>
          <w:spacing w:val="-11"/>
          <w:sz w:val="32"/>
          <w:szCs w:val="32"/>
          <w:highlight w:val="none"/>
          <w:u w:val="single"/>
          <w:lang w:val="en-US" w:eastAsia="zh-CN"/>
        </w:rPr>
        <w:t xml:space="preserve">                      </w:t>
      </w:r>
      <w:r>
        <w:rPr>
          <w:rFonts w:hint="eastAsia" w:ascii="宋体" w:hAnsi="宋体" w:cs="宋体"/>
          <w:color w:val="auto"/>
          <w:spacing w:val="-11"/>
          <w:sz w:val="32"/>
          <w:szCs w:val="32"/>
          <w:highlight w:val="none"/>
          <w:u w:val="single"/>
        </w:rPr>
        <w:t xml:space="preserve">    </w:t>
      </w:r>
      <w:r>
        <w:rPr>
          <w:rFonts w:hint="eastAsia" w:ascii="宋体" w:hAnsi="宋体" w:cs="宋体"/>
          <w:color w:val="auto"/>
          <w:spacing w:val="-12"/>
          <w:sz w:val="32"/>
          <w:szCs w:val="32"/>
          <w:highlight w:val="none"/>
          <w:u w:val="single"/>
        </w:rPr>
        <w:t xml:space="preserve">   </w:t>
      </w:r>
    </w:p>
    <w:p>
      <w:pPr>
        <w:pStyle w:val="4"/>
        <w:widowControl/>
        <w:kinsoku w:val="0"/>
        <w:autoSpaceDE w:val="0"/>
        <w:autoSpaceDN w:val="0"/>
        <w:adjustRightInd w:val="0"/>
        <w:snapToGrid w:val="0"/>
        <w:spacing w:line="360" w:lineRule="auto"/>
        <w:textAlignment w:val="baseline"/>
        <w:rPr>
          <w:rFonts w:hint="eastAsia" w:ascii="宋体" w:hAnsi="宋体" w:cs="宋体"/>
          <w:color w:val="auto"/>
          <w:sz w:val="32"/>
          <w:szCs w:val="32"/>
          <w:highlight w:val="none"/>
        </w:rPr>
      </w:pPr>
    </w:p>
    <w:p>
      <w:pPr>
        <w:pStyle w:val="4"/>
        <w:widowControl/>
        <w:kinsoku w:val="0"/>
        <w:autoSpaceDE w:val="0"/>
        <w:autoSpaceDN w:val="0"/>
        <w:adjustRightInd w:val="0"/>
        <w:snapToGrid w:val="0"/>
        <w:spacing w:line="360" w:lineRule="auto"/>
        <w:textAlignment w:val="baseline"/>
        <w:rPr>
          <w:rFonts w:hint="eastAsia" w:ascii="宋体" w:hAnsi="宋体" w:cs="宋体"/>
          <w:color w:val="auto"/>
          <w:sz w:val="32"/>
          <w:szCs w:val="32"/>
          <w:highlight w:val="none"/>
        </w:rPr>
      </w:pPr>
    </w:p>
    <w:p>
      <w:pPr>
        <w:pStyle w:val="4"/>
        <w:widowControl/>
        <w:kinsoku w:val="0"/>
        <w:autoSpaceDE w:val="0"/>
        <w:autoSpaceDN w:val="0"/>
        <w:adjustRightInd w:val="0"/>
        <w:snapToGrid w:val="0"/>
        <w:spacing w:line="360" w:lineRule="auto"/>
        <w:textAlignment w:val="baseline"/>
        <w:rPr>
          <w:rFonts w:hint="eastAsia" w:ascii="宋体" w:hAnsi="宋体" w:cs="宋体"/>
          <w:color w:val="auto"/>
          <w:sz w:val="32"/>
          <w:szCs w:val="32"/>
          <w:highlight w:val="none"/>
        </w:rPr>
      </w:pPr>
    </w:p>
    <w:p>
      <w:pPr>
        <w:widowControl/>
        <w:kinsoku w:val="0"/>
        <w:autoSpaceDE w:val="0"/>
        <w:autoSpaceDN w:val="0"/>
        <w:adjustRightInd w:val="0"/>
        <w:snapToGrid w:val="0"/>
        <w:spacing w:before="101" w:line="360" w:lineRule="auto"/>
        <w:ind w:left="818"/>
        <w:textAlignment w:val="baseline"/>
        <w:rPr>
          <w:rFonts w:hint="eastAsia" w:ascii="宋体" w:hAnsi="宋体" w:cs="宋体"/>
          <w:color w:val="auto"/>
          <w:sz w:val="32"/>
          <w:szCs w:val="32"/>
          <w:highlight w:val="none"/>
        </w:rPr>
      </w:pPr>
      <w:r>
        <w:rPr>
          <w:rFonts w:hint="eastAsia" w:ascii="宋体" w:hAnsi="宋体" w:cs="宋体"/>
          <w:color w:val="auto"/>
          <w:spacing w:val="-15"/>
          <w:sz w:val="32"/>
          <w:szCs w:val="32"/>
          <w:highlight w:val="none"/>
        </w:rPr>
        <w:t>签订时间：</w:t>
      </w:r>
      <w:r>
        <w:rPr>
          <w:rFonts w:hint="eastAsia" w:ascii="宋体" w:hAnsi="宋体" w:cs="宋体"/>
          <w:color w:val="auto"/>
          <w:spacing w:val="21"/>
          <w:sz w:val="32"/>
          <w:szCs w:val="32"/>
          <w:highlight w:val="none"/>
          <w:u w:val="single"/>
          <w:lang w:val="en-US" w:eastAsia="zh-CN"/>
        </w:rPr>
        <w:t xml:space="preserve">                </w:t>
      </w:r>
      <w:r>
        <w:rPr>
          <w:rFonts w:hint="eastAsia" w:ascii="宋体" w:hAnsi="宋体" w:cs="宋体"/>
          <w:color w:val="auto"/>
          <w:spacing w:val="-15"/>
          <w:sz w:val="32"/>
          <w:szCs w:val="32"/>
          <w:highlight w:val="none"/>
          <w:u w:val="single"/>
        </w:rPr>
        <w:t xml:space="preserve">   </w:t>
      </w:r>
    </w:p>
    <w:p>
      <w:pPr>
        <w:widowControl/>
        <w:kinsoku w:val="0"/>
        <w:autoSpaceDE w:val="0"/>
        <w:autoSpaceDN w:val="0"/>
        <w:adjustRightInd w:val="0"/>
        <w:snapToGrid w:val="0"/>
        <w:spacing w:before="2" w:line="360" w:lineRule="auto"/>
        <w:ind w:left="818"/>
        <w:textAlignment w:val="baseline"/>
        <w:rPr>
          <w:rFonts w:hint="eastAsia" w:ascii="宋体" w:hAnsi="宋体" w:cs="宋体"/>
          <w:b/>
          <w:bCs/>
          <w:color w:val="auto"/>
          <w:sz w:val="32"/>
          <w:szCs w:val="32"/>
          <w:highlight w:val="none"/>
        </w:rPr>
        <w:sectPr>
          <w:pgSz w:w="11906" w:h="16838"/>
          <w:pgMar w:top="1440" w:right="1800" w:bottom="1440" w:left="1800" w:header="851" w:footer="992" w:gutter="0"/>
          <w:cols w:space="720" w:num="1"/>
          <w:docGrid w:type="lines" w:linePitch="312" w:charSpace="0"/>
        </w:sectPr>
      </w:pPr>
      <w:r>
        <w:rPr>
          <w:rFonts w:hint="eastAsia" w:ascii="宋体" w:hAnsi="宋体" w:cs="宋体"/>
          <w:color w:val="auto"/>
          <w:spacing w:val="-9"/>
          <w:sz w:val="32"/>
          <w:szCs w:val="32"/>
          <w:highlight w:val="none"/>
        </w:rPr>
        <w:t>签订地点：</w:t>
      </w:r>
      <w:r>
        <w:rPr>
          <w:rFonts w:hint="eastAsia" w:ascii="宋体" w:hAnsi="宋体" w:cs="宋体"/>
          <w:color w:val="auto"/>
          <w:spacing w:val="-9"/>
          <w:sz w:val="32"/>
          <w:szCs w:val="32"/>
          <w:highlight w:val="none"/>
          <w:u w:val="single"/>
        </w:rPr>
        <w:t xml:space="preserve">          </w:t>
      </w:r>
      <w:r>
        <w:rPr>
          <w:rFonts w:hint="eastAsia" w:ascii="宋体" w:hAnsi="宋体" w:cs="宋体"/>
          <w:color w:val="auto"/>
          <w:spacing w:val="-9"/>
          <w:sz w:val="32"/>
          <w:szCs w:val="32"/>
          <w:highlight w:val="none"/>
          <w:u w:val="single"/>
          <w:lang w:val="en-US" w:eastAsia="zh-CN"/>
        </w:rPr>
        <w:t xml:space="preserve">       </w:t>
      </w:r>
      <w:r>
        <w:rPr>
          <w:rFonts w:hint="eastAsia" w:ascii="宋体" w:hAnsi="宋体" w:cs="宋体"/>
          <w:color w:val="auto"/>
          <w:spacing w:val="-9"/>
          <w:sz w:val="32"/>
          <w:szCs w:val="32"/>
          <w:highlight w:val="none"/>
          <w:u w:val="single"/>
        </w:rPr>
        <w:t xml:space="preserve">        </w:t>
      </w:r>
    </w:p>
    <w:p>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房屋租赁合同</w:t>
      </w:r>
    </w:p>
    <w:p>
      <w:pPr>
        <w:spacing w:line="360" w:lineRule="auto"/>
        <w:jc w:val="right"/>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甲方（产权方）： 杭州市水务集团有限公司</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乙方（承租方）：</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国家、省有关法律、法规和本市的有关规定，为明确甲方、乙方双方的权利义务关系，双方在自愿、公平、诚信、等价有偿原则的基础上就房屋租赁事宜达成协商。为明确双方的权利义务关系，特订立本合同，以资共同遵守。</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第一条：房屋位置及面积</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甲方同意将座落在杭州市上城区建国南路168号供水大厦西侧一层，其房屋建筑面积约</w:t>
      </w:r>
      <w:r>
        <w:rPr>
          <w:rFonts w:hint="eastAsia" w:ascii="宋体" w:hAnsi="宋体" w:cs="宋体"/>
          <w:color w:val="auto"/>
          <w:sz w:val="24"/>
          <w:highlight w:val="none"/>
          <w:lang w:val="en-US" w:eastAsia="zh-CN"/>
        </w:rPr>
        <w:t>641.30</w:t>
      </w:r>
      <w:r>
        <w:rPr>
          <w:rFonts w:hint="eastAsia" w:ascii="宋体" w:hAnsi="宋体" w:cs="宋体"/>
          <w:color w:val="auto"/>
          <w:sz w:val="24"/>
          <w:highlight w:val="none"/>
        </w:rPr>
        <w:t>平方米出租给乙方使用。甲方为该房屋的产权单位，行使出租人的权利。乙方对甲方所要出租的房屋已做了充分了解并进行了实地踏勘，愿意以房屋现状承租该房屋。该出租房屋的房屋质量、面积、水电状况及具体位置以该房屋现场展示为准。</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第二条：房屋租赁期限</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该房屋租赁期</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rPr>
        <w:t>年，租赁期限自202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日至20</w:t>
      </w:r>
      <w:r>
        <w:rPr>
          <w:rFonts w:hint="eastAsia" w:ascii="宋体" w:hAnsi="宋体" w:cs="宋体"/>
          <w:color w:val="auto"/>
          <w:sz w:val="24"/>
          <w:highlight w:val="none"/>
          <w:lang w:val="en-US" w:eastAsia="zh-CN"/>
        </w:rPr>
        <w:t>31</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日止。免租装修期</w:t>
      </w:r>
      <w:r>
        <w:rPr>
          <w:rFonts w:hint="eastAsia" w:ascii="宋体" w:hAnsi="宋体" w:cs="宋体"/>
          <w:color w:val="auto"/>
          <w:sz w:val="24"/>
          <w:highlight w:val="none"/>
          <w:u w:val="single"/>
          <w:lang w:val="en-US" w:eastAsia="zh-CN"/>
        </w:rPr>
        <w:t>4</w:t>
      </w:r>
      <w:r>
        <w:rPr>
          <w:rFonts w:hint="eastAsia" w:ascii="宋体" w:hAnsi="宋体" w:cs="宋体"/>
          <w:color w:val="auto"/>
          <w:sz w:val="24"/>
          <w:highlight w:val="none"/>
        </w:rPr>
        <w:t>个月，自</w:t>
      </w:r>
      <w:r>
        <w:rPr>
          <w:rFonts w:hint="eastAsia" w:ascii="宋体" w:hAnsi="宋体" w:cs="宋体"/>
          <w:color w:val="auto"/>
          <w:sz w:val="24"/>
          <w:highlight w:val="none"/>
          <w:u w:val="single"/>
          <w:lang w:val="en-US" w:eastAsia="zh-CN"/>
        </w:rPr>
        <w:t>2026</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日至</w:t>
      </w:r>
      <w:r>
        <w:rPr>
          <w:rFonts w:hint="eastAsia" w:ascii="宋体" w:hAnsi="宋体" w:cs="宋体"/>
          <w:color w:val="auto"/>
          <w:sz w:val="24"/>
          <w:highlight w:val="none"/>
          <w:u w:val="single"/>
          <w:lang w:val="en-US" w:eastAsia="zh-CN"/>
        </w:rPr>
        <w:t>2026</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日止。免租期计入租期但不计租金。</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第三条：房屋租金标准</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1、该房屋的首年年租金为大写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2、租金逐年递增</w:t>
      </w:r>
      <w:r>
        <w:rPr>
          <w:rFonts w:hint="eastAsia" w:ascii="宋体" w:hAnsi="宋体" w:cs="宋体"/>
          <w:color w:val="auto"/>
          <w:sz w:val="24"/>
          <w:highlight w:val="none"/>
          <w:u w:val="single"/>
          <w:lang w:val="en-US" w:eastAsia="zh-CN"/>
        </w:rPr>
        <w:t>0.5</w:t>
      </w:r>
      <w:r>
        <w:rPr>
          <w:rFonts w:hint="eastAsia" w:ascii="宋体" w:hAnsi="宋体" w:cs="宋体"/>
          <w:color w:val="auto"/>
          <w:sz w:val="24"/>
          <w:highlight w:val="none"/>
        </w:rPr>
        <w:t>%的方式增长。</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3、第2年租金为大写人民币</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4、第3年租金为大写人民币</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5、第4年租金为大写人民币</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6、第5年租金为大写人民币</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7、本合同价税合计￥</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元整</w:t>
      </w:r>
      <w:r>
        <w:rPr>
          <w:rFonts w:hint="eastAsia" w:ascii="宋体" w:hAnsi="宋体" w:cs="宋体"/>
          <w:color w:val="auto"/>
          <w:sz w:val="24"/>
          <w:highlight w:val="none"/>
        </w:rPr>
        <w:t>），其中不含税价</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元，增值税</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元，增值税率</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%。本合同约定的不含税价格不因国家税率变化而变化，若在合同履行期间，如遇国家税率政策调整，则价税合计相应调整。</w:t>
      </w:r>
    </w:p>
    <w:p>
      <w:pPr>
        <w:spacing w:line="360" w:lineRule="auto"/>
        <w:ind w:firstLine="482" w:firstLineChars="200"/>
        <w:rPr>
          <w:rFonts w:hint="eastAsia" w:ascii="宋体" w:hAnsi="宋体" w:cs="宋体"/>
          <w:b/>
          <w:bCs/>
          <w:color w:val="auto"/>
          <w:sz w:val="24"/>
          <w:highlight w:val="none"/>
        </w:rPr>
      </w:pP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第四条：租赁保证金</w:t>
      </w:r>
    </w:p>
    <w:p>
      <w:pPr>
        <w:numPr>
          <w:ilvl w:val="0"/>
          <w:numId w:val="1"/>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乙方应向甲方支付租赁保证金（首年</w:t>
      </w:r>
      <w:r>
        <w:rPr>
          <w:rFonts w:hint="eastAsia" w:ascii="宋体" w:hAnsi="宋体" w:cs="宋体"/>
          <w:color w:val="auto"/>
          <w:sz w:val="24"/>
          <w:highlight w:val="none"/>
          <w:u w:val="single"/>
          <w:lang w:val="en-US" w:eastAsia="zh-CN"/>
        </w:rPr>
        <w:t>4个月租金</w:t>
      </w:r>
      <w:r>
        <w:rPr>
          <w:rFonts w:hint="eastAsia" w:ascii="宋体" w:hAnsi="宋体" w:cs="宋体"/>
          <w:color w:val="auto"/>
          <w:sz w:val="24"/>
          <w:highlight w:val="none"/>
        </w:rPr>
        <w:t>）大写：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元</w:t>
      </w:r>
      <w:r>
        <w:rPr>
          <w:rFonts w:hint="eastAsia" w:ascii="宋体" w:hAnsi="宋体" w:cs="宋体"/>
          <w:color w:val="auto"/>
          <w:sz w:val="24"/>
          <w:highlight w:val="none"/>
        </w:rPr>
        <w:t>整，小写：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元； </w:t>
      </w:r>
    </w:p>
    <w:p>
      <w:pPr>
        <w:numPr>
          <w:ilvl w:val="0"/>
          <w:numId w:val="1"/>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租赁保证金待租赁期满合同履行完毕且承租方无违约情况的，甲方将退还租赁保证金（不计息）；如存在违约情况的，甲方将扣除相应违约金后，退还剩余租赁保证金（不计息）。</w:t>
      </w:r>
    </w:p>
    <w:p>
      <w:pPr>
        <w:numPr>
          <w:ilvl w:val="0"/>
          <w:numId w:val="1"/>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该租赁保证金不是乙方预付的租金、物业管理费，仅是乙方履行本合同约定的义务的担保。如乙方违反本合同的规定，甲方书面通知乙方后，有权不予返还租赁保证金或直接从该保证金中扣除乙方应向甲方支付的相关费用及违约金。乙方应在甲方扣除之日起30个工作日内予以补足致本条约定金额。</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第五条：装修保证金</w:t>
      </w:r>
    </w:p>
    <w:p>
      <w:pPr>
        <w:numPr>
          <w:ilvl w:val="-1"/>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1、乙方应向甲方支付装修保证金（首年</w:t>
      </w:r>
      <w:r>
        <w:rPr>
          <w:rFonts w:hint="eastAsia" w:ascii="宋体" w:hAnsi="宋体" w:cs="宋体"/>
          <w:color w:val="auto"/>
          <w:sz w:val="24"/>
          <w:highlight w:val="none"/>
          <w:u w:val="single"/>
          <w:lang w:val="en-US" w:eastAsia="zh-CN"/>
        </w:rPr>
        <w:t>4个月租金</w:t>
      </w:r>
      <w:r>
        <w:rPr>
          <w:rFonts w:hint="eastAsia" w:ascii="宋体" w:hAnsi="宋体" w:cs="宋体"/>
          <w:color w:val="auto"/>
          <w:sz w:val="24"/>
          <w:highlight w:val="none"/>
        </w:rPr>
        <w:t>）大写：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元</w:t>
      </w:r>
      <w:r>
        <w:rPr>
          <w:rFonts w:hint="eastAsia" w:ascii="宋体" w:hAnsi="宋体" w:cs="宋体"/>
          <w:color w:val="auto"/>
          <w:sz w:val="24"/>
          <w:highlight w:val="none"/>
        </w:rPr>
        <w:t>整，小写：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w:t>
      </w:r>
      <w:r>
        <w:rPr>
          <w:rFonts w:hint="eastAsia" w:ascii="宋体" w:hAnsi="宋体" w:cs="宋体"/>
          <w:color w:val="auto"/>
          <w:sz w:val="24"/>
          <w:highlight w:val="none"/>
          <w:lang w:eastAsia="zh-CN"/>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2、若乙方有下列情形的，甲方书面通知乙方后，有权不退还装修保证金或直接从装修保证金中扣除，并通知乙方装修保证金不退还或扣除情况及事实理由。</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（1）未经甲方审核通过方案进行装修；</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（2）装修过程中造成甲方及其他第三人人身、财产损失未能及时赔偿，甲方先行垫付相关款项的；</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（3）其他乙方严重违反装修相关法律法规并自身未能解决的。</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乙方缴纳的装修保证金若不足扣除的，甲方可继续从租赁保证金中扣除。扣除时乙方装修保证金还未到退还时，乙方在接到甲方书面通知之日起10个工作日内将把甲方扣除的装修保证金部分补足。</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3、装修保证金的退还：该装修保证金在乙方装修完毕并将相关图纸、证照及验收合格审批文件等向甲方备案后于30个工作内由甲方一次性无息退还给乙方。</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4、如乙方违反本合同约定或相关规定违规装修，导致被甲方或其他单位中断水电等，或者装修时发生人身、财产损害事件的，均由乙方自行承担全部责任，如果导致甲方承担相关责任的，甲方有权向乙方追偿。</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第六条：支付方式</w:t>
      </w:r>
    </w:p>
    <w:p>
      <w:pPr>
        <w:numPr>
          <w:ilvl w:val="-1"/>
          <w:numId w:val="0"/>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房屋租金（</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）付，先付后用。承租方应于每期租金缴纳期提前</w:t>
      </w:r>
      <w:r>
        <w:rPr>
          <w:rFonts w:hint="eastAsia" w:ascii="宋体" w:hAnsi="宋体" w:cs="宋体"/>
          <w:color w:val="auto"/>
          <w:sz w:val="24"/>
          <w:highlight w:val="none"/>
          <w:u w:val="single"/>
          <w:lang w:val="en-US" w:eastAsia="zh-CN"/>
        </w:rPr>
        <w:t>30</w:t>
      </w:r>
      <w:r>
        <w:rPr>
          <w:rFonts w:hint="eastAsia" w:ascii="宋体" w:hAnsi="宋体" w:cs="宋体"/>
          <w:color w:val="auto"/>
          <w:sz w:val="24"/>
          <w:highlight w:val="none"/>
        </w:rPr>
        <w:t>日支付下一期租金。</w:t>
      </w:r>
    </w:p>
    <w:p>
      <w:pPr>
        <w:numPr>
          <w:ilvl w:val="-1"/>
          <w:numId w:val="0"/>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首期房屋租金、租赁保证金、装修保证金由乙方</w:t>
      </w:r>
      <w:bookmarkStart w:id="1" w:name="_GoBack"/>
      <w:bookmarkEnd w:id="1"/>
      <w:r>
        <w:rPr>
          <w:rFonts w:hint="eastAsia" w:ascii="宋体" w:hAnsi="宋体" w:cs="宋体"/>
          <w:color w:val="auto"/>
          <w:sz w:val="24"/>
          <w:highlight w:val="none"/>
        </w:rPr>
        <w:t>支付。乙方须在</w:t>
      </w:r>
      <w:r>
        <w:rPr>
          <w:rFonts w:hint="eastAsia" w:ascii="宋体" w:hAnsi="宋体" w:cs="宋体"/>
          <w:color w:val="auto"/>
          <w:sz w:val="24"/>
          <w:highlight w:val="none"/>
          <w:u w:val="single"/>
          <w:lang w:val="en-US" w:eastAsia="zh-CN"/>
        </w:rPr>
        <w:t xml:space="preserve">  年  月  日</w:t>
      </w:r>
      <w:r>
        <w:rPr>
          <w:rFonts w:hint="eastAsia" w:ascii="宋体" w:hAnsi="宋体" w:cs="宋体"/>
          <w:color w:val="auto"/>
          <w:sz w:val="24"/>
          <w:highlight w:val="none"/>
          <w:u w:val="single"/>
        </w:rPr>
        <w:t>前一次性付清</w:t>
      </w:r>
      <w:r>
        <w:rPr>
          <w:rFonts w:hint="eastAsia" w:ascii="宋体" w:hAnsi="宋体" w:cs="宋体"/>
          <w:color w:val="auto"/>
          <w:sz w:val="24"/>
          <w:highlight w:val="none"/>
        </w:rPr>
        <w:t>，并支付到甲方指定账户。（乙方付款详情详见附件1）</w:t>
      </w:r>
    </w:p>
    <w:p>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第七条：</w:t>
      </w:r>
      <w:r>
        <w:rPr>
          <w:rFonts w:hint="eastAsia" w:ascii="宋体" w:hAnsi="宋体" w:cs="宋体"/>
          <w:color w:val="auto"/>
          <w:sz w:val="24"/>
          <w:highlight w:val="none"/>
        </w:rPr>
        <w:t>租赁物业现场经甲乙双方确认，甲方应在起租日将房屋交付乙方，双方不再另行办理交付手续。乙方按期付清第一期房租、租赁保证金和、装修保证金，乙方逾期支付上述费用，甲方有权延期交房，逾期付款超过10工作日，视乙方根本违约，甲方有权单方面解除已签订的《房屋租赁合同》，乙方已支付的款项（包括但不限于租赁保证金、装修保证金和第一期租金等）不予退还，并由乙方承担由此产生的一切法律责任。</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第八条：其他费用结算：</w:t>
      </w:r>
    </w:p>
    <w:p>
      <w:pPr>
        <w:numPr>
          <w:ilvl w:val="0"/>
          <w:numId w:val="2"/>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物业管理费（若有）：自合同签署次日起，由乙方自行向租赁物业所在物业管理公司（若有）签署物业管理协议并缴纳物业管理费，物业管理费标准按物业管理公司相关规定执行。物业管理内容仅涵盖《杭州市物业管理条例》规定的各项服务内容 。租赁物业内部包括消防设施及内部电梯维保、维修、安全责任等内在的各项工作由乙方自行负责并承担费用。租赁期限内，若物业管理公司按规定程序对物业管理费的收费标准进行调整，则乙方需按调整后的收费标准缴纳，乙方对此无异议。</w:t>
      </w:r>
    </w:p>
    <w:p>
      <w:pPr>
        <w:numPr>
          <w:ilvl w:val="0"/>
          <w:numId w:val="2"/>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水、电、燃气费：在租赁期限内，租赁房屋内无独立水、电、燃气计量设备（分户水表、分户电表和分户燃气表）的，经甲方许可后，乙方可自行申报安装水、电、燃气分表并承担相应安装费用。乙方根据该独立表支付水、电、燃气费。若原租赁房屋内有分户水、电、燃气表计量设备的，乙方应当在交付时与甲方就水、电、燃气表的数量及读数进行确认。乙方应依照相关物业、相关机构和单位的付款通知单规定的时间和方式支付水、电、燃气费等。</w:t>
      </w:r>
    </w:p>
    <w:p>
      <w:pPr>
        <w:numPr>
          <w:ilvl w:val="0"/>
          <w:numId w:val="2"/>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如有其它因乙方的经营行为而产生的费用，同样由乙方自行承担。</w:t>
      </w:r>
    </w:p>
    <w:p>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 xml:space="preserve">第九条：乙方保证所租赁的房屋经营业态：   </w:t>
      </w:r>
      <w:r>
        <w:rPr>
          <w:rFonts w:hint="eastAsia" w:ascii="宋体" w:hAnsi="宋体" w:cs="宋体"/>
          <w:color w:val="auto"/>
          <w:sz w:val="24"/>
          <w:highlight w:val="none"/>
        </w:rPr>
        <w:t xml:space="preserve">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1、乙方保证所租赁房屋的经营业态：</w:t>
      </w:r>
      <w:r>
        <w:rPr>
          <w:rFonts w:hint="eastAsia" w:ascii="宋体" w:hAnsi="宋体" w:cs="宋体"/>
          <w:color w:val="auto"/>
          <w:sz w:val="24"/>
          <w:highlight w:val="none"/>
          <w:lang w:val="en-US" w:eastAsia="zh-CN"/>
        </w:rPr>
        <w:t>可</w:t>
      </w:r>
      <w:r>
        <w:rPr>
          <w:rFonts w:hint="eastAsia" w:ascii="宋体" w:hAnsi="宋体" w:cs="宋体"/>
          <w:color w:val="auto"/>
          <w:sz w:val="24"/>
          <w:highlight w:val="none"/>
        </w:rPr>
        <w:t>作</w:t>
      </w:r>
      <w:r>
        <w:rPr>
          <w:rFonts w:hint="eastAsia" w:ascii="宋体" w:hAnsi="宋体" w:cs="宋体"/>
          <w:color w:val="auto"/>
          <w:sz w:val="24"/>
          <w:highlight w:val="none"/>
          <w:lang w:val="en-US" w:eastAsia="zh-CN"/>
        </w:rPr>
        <w:t>办公</w:t>
      </w:r>
      <w:r>
        <w:rPr>
          <w:rFonts w:hint="eastAsia" w:ascii="宋体" w:hAnsi="宋体" w:cs="宋体"/>
          <w:color w:val="auto"/>
          <w:sz w:val="24"/>
          <w:highlight w:val="none"/>
        </w:rPr>
        <w:t>使用，</w:t>
      </w:r>
      <w:r>
        <w:rPr>
          <w:rFonts w:hint="eastAsia" w:ascii="宋体" w:hAnsi="宋体" w:cs="宋体"/>
          <w:color w:val="auto"/>
          <w:sz w:val="24"/>
          <w:highlight w:val="none"/>
          <w:lang w:val="en-US" w:eastAsia="zh-CN"/>
        </w:rPr>
        <w:t>严禁经营娱乐、民宿、棋牌、公寓、产生油烟的餐饮项目及其它的扰民行业，不得生产、经营、储存易燃易爆等物品。</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2、乙方同意按现状承租，在签订本合同前已经充分了解租赁物业现状、用途及相关政策要求，甲方对于乙方获取经营许可不承担任何责任。</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第十条 ：房屋的使用和收回后的验收</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房屋按现状进行交付，乙方负责租赁房屋及全部设施设备的启用、维修、保养、年检、更新、改造等。项目所有拆除、改建、加固及装修的费用（包括但不限于房屋结构的维修加固及临时建筑的拆除、所有设备的维修、更新、新增、扩容及项目的重新装修的费用）均由乙方承担。若租赁期内出现因乙方装修、改造等原因造成的房屋（含主体结构）漏水、渗水、沉降的等现象的，乙方应承担维修工作并自行承担相关的费用。</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未事先征得甲方和按规定应报经有关部门核准的书面同意，不得擅自改变房屋的结构和使用性质。乙方如需对房屋进行改造、搭建构筑物、装修或增扩设备时，应征得甲方和按规定向有关部门办理审批同意手续后，方可进行，其所有相关责任和费用由乙方承担。合同终止后，甲方不予以赔偿。乙方如需在场地堆放货物，需出示堆放示意图及方位图向甲方征求同意，擅自杂乱堆放货物，甲方有权要求腾退整改，其所有责任和费用由乙方承担，甲方有权不予返还租赁保证金或直接从该保证金中扣除乙方应向甲方支付的相关费用。如有租赁保证金不足的，在扣除之日起30天内应予以补足。</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乙方根据经营的需要，若需对甲方交付的房屋进行必要的装修、装潢及设备添置，应将装修方案提交甲方确认，其工程设计、施工和工程费用及各类报批费用由乙方承担。进行装修前期投入或/及正式进行装修施工前，乙方应取得相关审批许可，提供装修方案给甲方，并与甲方签订《租赁房屋装修施工安全责任协议》及相关物业管理契约。乙方的装修行为不得对房屋结构产生任何影响，否则甲方有权拒绝。乙方如擅自进行装修的，相关损失由乙方承担。</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租赁期间，乙方严禁擅自搭建其他违章建筑及设施，甲方有权对乙方擅自搭建的违章建筑及设施进行拆除，其所有责任和费用由乙方承担，甲方有权不予返还租赁保证金或直接从该保证金中扣除乙方应向甲方支付的相关费用。如有租赁保证金不足的，在扣除之日起30天内应予以补足。</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5、租赁合同期满，乙方在租赁期间的新增设备及可移动部分可由乙方自行拆卸搬离，新增的构筑物及装修部分无条件归甲方所有，与承租房屋一起移交于甲方，甲方不作赔偿。</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乙方交还房屋时应保持承租房屋和房屋原有附属设施、设备的完好、正常。未经甲方同意乙方在租赁期间对房屋进行装饰、装修、改变结构、搭建构筑物的，甲方有权要求乙方交还房屋时，对房屋全部或部分恢复甲方交付房屋时的原状。</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第十一条：本合同的解除和终止</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1、租赁期满，本合同自然终止。</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2、因不可抗力因素导致合同无法履行的，本合同终止。</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3、如确有特殊情况，双方可协商变更或终止本合同。如甲方提前6个月通知乙方收回房屋，乙方应无条件归还房屋。</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乙方知晓并许可在租赁期内，如遇甲方自身开发需要及城市规划、市政建设等情况时，需要收回、拆除、改造租赁的房屋的，甲方有权随时终止合同，乙方应无条件同意将房屋归还，由此造成的损失，甲方不承担责任。因上述原因而终止本合同时，房屋租赁费按照乙方实际使用时间计算，不足整月的按天数计算，多退少补。</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5、乙方在收到甲方书面解除合同通知之日起5个工作日内，应向甲方支付完其所有所欠费用并在3个工作日内自行迁出该房屋内所有物品，否则该房屋内所有物品视为乙方放弃。屋内装修装潢视作承租方自动放弃。</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第十二条：违约责任</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（一）违约行为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1、承租方逾期支付或未支付租金的；</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2、承租方在租赁期内拖欠租金连续超过60天的，或拖缴水、电、物业管理等费用累计超过3次及以上的；</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3、擅自改变本合同规定的经营业态，或利用该房屋进行违法违规活动的；</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4、承租方未经甲方书面同意擅自将房屋转租、转让、转借他人或调换使用的；</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5、违反《房屋租赁消防、安全、综治管理责任书》的；</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6、违反本合同第十条第2、3、4款的（即擅自改变房屋的结构和使用性质及自搭建其他违章建筑及设施等相关违约行为）。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（二）违约责任的承担</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1、承租方逾期支付或未支付租金的，甲方将每日按应支付金额的万分之五收取逾期违约金。</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租赁期内，承租方存在第十二条第（一）款第2、3、4、5项行为的，甲方有权以书面方式要求承租方予以整改纠正，承租方未在10个工作日内予以整改纠正的，甲方拟有权提前3个工作日通知承租方停水、停电，由此造成的损失承租方自行承担。对承租方未按要求整改纠正的，甲方有权单方面解除合同，并收回该房屋，并且保证金不予退还，且由此而造成市水务集团损失的，承租方应予以赔偿。</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3、租赁期内，承租方存在第十二条第（一）款第6项行为的，应按照本合同第十条的相关规定承担违约责任。</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4、因承租方违约的，承租方应当赔偿甲方包括但不限于诉讼费、律师费、鉴定费、公证费等在内的费用。</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第十三条：甲方的义务</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1、甲方声明对合同项下的租赁物业享有完全的权利。甲方有权将租赁场地出租给乙方在约定的期限内使用，并有能力履行约定的义务。</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2、甲方应按本合同的约定如期向乙方交付房屋，并对乙方是否合法开展经营活动进行监督。监督时，甲方需尊重乙方的经营权利，不得以监督为名干涉乙方的正常经营活动。</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第十四条：乙方义务</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1、乙方应按合同约定，按时支付租金、保证金及其他各项应付费用。在租赁期限内逾期交付水、电、气、物业管理等费用的，由此造成的一切经济损失和法律责任由乙方自行承担。</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承担租赁房屋及设备设施的消防、安全责任。在租赁期间发生的人身、财产、火灾及造成他人伤害事故等，由乙方承担全部责任。由于乙方原因而给甲方造成损失的，应由乙方负责赔偿，并承担由此而产生的民事和刑事责任。</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乙方在承租房屋前，已对该处房屋的设施配置及水电可供容量等现状是否使用于后期运营的业态进行了充分判断并在租赁前充分考虑了改造投入的成本等其他因素。充分了解甲方不会再为该房屋及其设施设备的运营进行任何形式的投入。</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4、乙方不得非法使用场地或在场地内存放危险物品影响公共安全。</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5、乙方应承担房屋租赁期间的防火安全、门前三包、综合治理及安全保卫等工作，应执行当地有关部门规定并承担全部责任和服从甲方监督检查。</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6、乙方不得将各种杂物、废弃物、货物等物品倒入水池或放置、占用、堵塞消防通道、安全出口走道、楼梯间等公共部位和区域。乙方不得挪用、毁坏消防器材及设备，不得将消防用水挪作他用。</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7、乙方不得在租赁物业生产、储存、经营易燃易爆和有害有毒危险品，不得出现违规使用电气、燃气设备。</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8、乙方不得使用瓶装燃气。如需使用燃气的，应经甲方书面同意后，由乙方自行负责申报安装管道燃气。</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9、乙方须严格执行甲方、房屋所在地属地政府管理部门或物业管理部门制定的消防、治安保卫及其他管理方面的规章制度要求。</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10、如乙方未按本条1至9项的内容履行义务，造成甲方或任何第三方造成人身、财务损失的，应当由乙方全额赔偿，给第三方造成的任何责任及损失，与甲方均无关。</w:t>
      </w:r>
    </w:p>
    <w:p>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第十五条：</w:t>
      </w:r>
      <w:r>
        <w:rPr>
          <w:rFonts w:hint="eastAsia" w:ascii="宋体" w:hAnsi="宋体" w:cs="宋体"/>
          <w:color w:val="auto"/>
          <w:sz w:val="24"/>
          <w:highlight w:val="none"/>
        </w:rPr>
        <w:t>租赁期满，甲方有权收回全部出租房屋，乙方应如期归还该房屋并保证房屋的完好及正常使用，且双方就租赁该房屋而产生的一切权利和义务清理完毕并办理书面交接手续后20个工作日内，甲方向乙方退还剩余租赁保证金（不计利息）。如乙方逾期不归还的，则每逾期一天应向甲方支付2倍日租金；如逾期超过15天乙方仍未归还所租房屋的，房屋内的物品视作乙方自动放弃相关财务所有权，甲方有权自行处理，产生的费用由乙方承担。</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租赁期届满或合同解除后，乙方须在7个工作日内自行将相关公司登记地址等予以迁移。逾期未迁移的，即使乙方已经实际不再使用房屋，但仍视为乙方继续占用该房屋，每逾期一日，按原每日租金的2倍支付房屋占有使用费。</w:t>
      </w:r>
    </w:p>
    <w:p>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第十六条：</w:t>
      </w:r>
      <w:r>
        <w:rPr>
          <w:rFonts w:hint="eastAsia" w:ascii="宋体" w:hAnsi="宋体" w:cs="宋体"/>
          <w:color w:val="auto"/>
          <w:sz w:val="24"/>
          <w:highlight w:val="none"/>
        </w:rPr>
        <w:t>本合同约定的租期内，乙方单方提出退租的，需提前六个月向甲方提出书面申请，经甲方同意后方可退租，租赁保证金不予退还，已付未用的租金亦不予退还。租期未满一年提前退租的，乙方应当支付免租期租金及当年租金的30%作为违约金；租期超过一年未满三年提前退租的，乙方应当支付当年租金的20%作为违约金；租期超过三年及以上提前退租的，乙方应当支付当年租金的10%作为违约金。相关装修部分按本合同第十条的内容确认。</w:t>
      </w:r>
    </w:p>
    <w:p>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lang w:val="en-US" w:eastAsia="zh-CN"/>
        </w:rPr>
        <w:t>第</w:t>
      </w:r>
      <w:r>
        <w:rPr>
          <w:rFonts w:hint="eastAsia" w:ascii="宋体" w:hAnsi="宋体" w:cs="宋体"/>
          <w:b/>
          <w:bCs/>
          <w:color w:val="auto"/>
          <w:sz w:val="24"/>
          <w:highlight w:val="none"/>
        </w:rPr>
        <w:t>十七条：双方约定的其他事项</w:t>
      </w:r>
      <w:r>
        <w:rPr>
          <w:rFonts w:hint="eastAsia" w:ascii="宋体" w:hAnsi="宋体" w:cs="宋体"/>
          <w:color w:val="auto"/>
          <w:sz w:val="24"/>
          <w:highlight w:val="none"/>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1、该出租房屋不动产权证证载权利性质为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用途为</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乙方在出租房产内进行经营活动前，应取得政府有关部门批准必要的执照、批准证书或许可证等（如法律、法规要求），相关费用均由乙方承担。乙方承诺按照该执照、批准证等证书或许可证的规定进行经营活动。甲方应予以配合支持。</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乙方同意，在装修前期投入正式进行装修施工前，乙方应取得相关审批许可，提供装修方案给甲方，并与甲方签订《租赁房屋装修施工安全责任协议》及相关物业管理契约。乙方擅自进行装修的，相关损失由乙方自行承担。</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租赁期间，租赁用途涉及需要办理工商审批、消防审批等相关行政审批手续的，应由乙方自行负责办理审批并承担审批手续所需相关费用，甲方不承担任何责任。乙方应充分了解上述情况，如因证载用途与租赁用途不一致无法办理工商审批、消防审批等行政审批类相关手续导致乙方确实无法使用的，乙方有权在合同签订日起三个月内申请解除合同。申请经甲方同意，并书面通知乙方后，双方另行签署房屋租赁解除合同予以解除。房屋租赁解除合同签署后，由甲方向乙方退还乙方已实际支付的全部租金，租赁保证金不予退还。超过上述期限的，乙方不得以无法办理审批手续为由要求解除本合同及相关责任损失赔偿。</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3、乙方取得相关资质（工商、消防、特许资质）后，方可投入装修施工，乙方未取得许可即进行装修的，由乙方承担相关损失；乙方装修施工后未通过相关资质验收的，由乙方自行承担装修费用及相应损失。</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4、租赁期间，如遇政府重大活动、政府要求、供水安全保障或其他因素，乙方应无条件服从政府或甲方安排。因此造成的损失，由乙方自行承担，甲方不予以赔偿。</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5、如遇乙方确需转租的，乙方应书面向甲方提出申请，并经甲方同意后方可进行。</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6、乙方同意，甲方需待原承租人租赁合同期满腾退后交付乙方，由于其搬离时间延长，甲方未能在已定起租时间交付房屋的，租赁期限以实际交付房屋给乙方之日起计算，自动后延为租赁期整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年。</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7、拟出租房屋面积为现场勘测丈量，与实际面积可能存在一定的误差，如有差异，则成交的年租金不作调整。</w:t>
      </w:r>
    </w:p>
    <w:p>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第十八条：</w:t>
      </w:r>
      <w:r>
        <w:rPr>
          <w:rFonts w:hint="eastAsia" w:ascii="宋体" w:hAnsi="宋体" w:cs="宋体"/>
          <w:color w:val="auto"/>
          <w:sz w:val="24"/>
          <w:highlight w:val="none"/>
        </w:rPr>
        <w:t>本合同未尽事宜，经各方协商一致，可订立补充条款。补充协议与本协议冲突之处，以补充协议为准。但补充条款应符合国家、省、市有关房屋租赁管理规定，与本合同具备同等法律效力。</w:t>
      </w:r>
    </w:p>
    <w:p>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第十九条：</w:t>
      </w:r>
      <w:r>
        <w:rPr>
          <w:rFonts w:hint="eastAsia" w:ascii="宋体" w:hAnsi="宋体" w:cs="宋体"/>
          <w:color w:val="auto"/>
          <w:sz w:val="24"/>
          <w:highlight w:val="none"/>
        </w:rPr>
        <w:t>因本合同发生的争议，各方应尽量协商解决，若协商不成，双方同意向杭州市上城区人民法院提起诉讼。</w:t>
      </w:r>
    </w:p>
    <w:p>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第二十条：</w:t>
      </w:r>
      <w:r>
        <w:rPr>
          <w:rFonts w:hint="eastAsia" w:ascii="宋体" w:hAnsi="宋体" w:cs="宋体"/>
          <w:color w:val="auto"/>
          <w:sz w:val="24"/>
          <w:highlight w:val="none"/>
        </w:rPr>
        <w:t>本合同一式陆份，双方各执叁份。</w:t>
      </w:r>
    </w:p>
    <w:p>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第二十一条：</w:t>
      </w:r>
      <w:r>
        <w:rPr>
          <w:rFonts w:hint="eastAsia" w:ascii="宋体" w:hAnsi="宋体" w:cs="宋体"/>
          <w:color w:val="auto"/>
          <w:sz w:val="24"/>
          <w:highlight w:val="none"/>
        </w:rPr>
        <w:t>本合同经甲乙双方签字、盖章后生效。</w:t>
      </w:r>
    </w:p>
    <w:p>
      <w:pPr>
        <w:spacing w:line="360" w:lineRule="auto"/>
        <w:rPr>
          <w:rFonts w:hint="eastAsia" w:ascii="宋体" w:hAnsi="宋体" w:cs="宋体"/>
          <w:color w:val="auto"/>
          <w:sz w:val="24"/>
          <w:highlight w:val="none"/>
        </w:rPr>
      </w:pP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附件：</w:t>
      </w:r>
    </w:p>
    <w:p>
      <w:pPr>
        <w:numPr>
          <w:ilvl w:val="0"/>
          <w:numId w:val="3"/>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甲方账户信息</w:t>
      </w:r>
    </w:p>
    <w:p>
      <w:pPr>
        <w:numPr>
          <w:ilvl w:val="0"/>
          <w:numId w:val="3"/>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乙方账户信息</w:t>
      </w:r>
    </w:p>
    <w:p>
      <w:pPr>
        <w:numPr>
          <w:ilvl w:val="0"/>
          <w:numId w:val="3"/>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房屋租赁消防、安全、综治管理责任书</w:t>
      </w:r>
    </w:p>
    <w:p>
      <w:pPr>
        <w:numPr>
          <w:ilvl w:val="0"/>
          <w:numId w:val="3"/>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廉洁承诺书</w:t>
      </w:r>
    </w:p>
    <w:p>
      <w:pPr>
        <w:spacing w:line="360" w:lineRule="auto"/>
        <w:ind w:firstLine="480" w:firstLineChars="200"/>
        <w:rPr>
          <w:rFonts w:hint="eastAsia" w:ascii="宋体" w:hAnsi="宋体" w:cs="宋体"/>
          <w:color w:val="auto"/>
          <w:sz w:val="24"/>
          <w:highlight w:val="none"/>
        </w:rPr>
      </w:pPr>
    </w:p>
    <w:p>
      <w:pPr>
        <w:rPr>
          <w:rFonts w:hint="eastAsia" w:ascii="宋体" w:hAnsi="宋体" w:cs="宋体"/>
          <w:color w:val="auto"/>
          <w:sz w:val="24"/>
          <w:highlight w:val="none"/>
        </w:rPr>
      </w:pPr>
      <w:r>
        <w:rPr>
          <w:rFonts w:hint="eastAsia" w:ascii="宋体" w:hAnsi="宋体" w:cs="宋体"/>
          <w:color w:val="auto"/>
          <w:sz w:val="24"/>
          <w:highlight w:val="none"/>
        </w:rPr>
        <w:br w:type="page"/>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附件：</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1、房屋租金缴纳由乙方打款至以下账户。</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户名：杭州市水务集团有限公司</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纳税人识别号：91330100583221568C</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地址：杭州市上城区建国南路168号</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电话：87886781</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开户行：工行解放路支行</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银行账号：1202020719920339328</w:t>
      </w:r>
    </w:p>
    <w:p>
      <w:pPr>
        <w:spacing w:line="360" w:lineRule="auto"/>
        <w:rPr>
          <w:rFonts w:hint="eastAsia" w:ascii="宋体" w:hAnsi="宋体" w:cs="宋体"/>
          <w:color w:val="auto"/>
          <w:sz w:val="24"/>
          <w:highlight w:val="none"/>
        </w:rPr>
      </w:pPr>
    </w:p>
    <w:p>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首期租金、租赁保证金、装修保证金，应由乙方在约定时间打款至交易平台账户。交易平台将按委托服务约定，将款项转至甲方指定账户。</w:t>
      </w:r>
    </w:p>
    <w:p>
      <w:pPr>
        <w:spacing w:line="360" w:lineRule="auto"/>
        <w:ind w:firstLine="480" w:firstLineChars="200"/>
        <w:rPr>
          <w:rFonts w:hint="eastAsia" w:ascii="宋体" w:hAnsi="宋体" w:cs="宋体"/>
          <w:color w:val="auto"/>
          <w:sz w:val="24"/>
          <w:highlight w:val="none"/>
        </w:rPr>
      </w:pP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3、乙方账户信息。</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户名：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纳税人识别号：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地址：</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电话：</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开户行：</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银行账号：</w:t>
      </w:r>
    </w:p>
    <w:p>
      <w:pPr>
        <w:spacing w:line="360" w:lineRule="auto"/>
        <w:ind w:firstLine="480" w:firstLineChars="200"/>
        <w:rPr>
          <w:rFonts w:hint="eastAsia" w:ascii="宋体" w:hAnsi="宋体" w:cs="宋体"/>
          <w:color w:val="auto"/>
          <w:sz w:val="24"/>
          <w:highlight w:val="none"/>
        </w:rPr>
      </w:pPr>
    </w:p>
    <w:p>
      <w:pPr>
        <w:spacing w:line="240" w:lineRule="auto"/>
        <w:ind w:firstLine="0" w:firstLineChars="0"/>
        <w:jc w:val="center"/>
        <w:rPr>
          <w:rFonts w:hint="eastAsia" w:ascii="宋体" w:hAnsi="宋体" w:cs="宋体"/>
          <w:color w:val="auto"/>
          <w:sz w:val="24"/>
          <w:highlight w:val="none"/>
        </w:rPr>
      </w:pPr>
      <w:bookmarkStart w:id="0" w:name="OLE_LINK1"/>
      <w:r>
        <w:rPr>
          <w:rFonts w:hint="eastAsia" w:ascii="宋体" w:hAnsi="宋体" w:cs="宋体"/>
          <w:color w:val="auto"/>
          <w:sz w:val="24"/>
          <w:highlight w:val="none"/>
        </w:rPr>
        <w:t>（以下无正文）</w:t>
      </w:r>
    </w:p>
    <w:p>
      <w:pPr>
        <w:spacing w:line="240" w:lineRule="auto"/>
        <w:ind w:firstLine="0" w:firstLineChars="0"/>
        <w:jc w:val="left"/>
        <w:rPr>
          <w:rFonts w:hint="eastAsia" w:ascii="宋体" w:hAnsi="宋体" w:cs="宋体"/>
          <w:color w:val="auto"/>
          <w:sz w:val="24"/>
          <w:highlight w:val="none"/>
        </w:rPr>
      </w:pPr>
      <w:r>
        <w:rPr>
          <w:rFonts w:hint="eastAsia" w:ascii="宋体" w:hAnsi="宋体" w:cs="宋体"/>
          <w:color w:val="auto"/>
          <w:sz w:val="24"/>
          <w:highlight w:val="none"/>
        </w:rPr>
        <w:br w:type="page"/>
      </w:r>
    </w:p>
    <w:p>
      <w:pPr>
        <w:pStyle w:val="2"/>
        <w:rPr>
          <w:rFonts w:hint="eastAsia"/>
          <w:color w:val="auto"/>
          <w:highlight w:val="none"/>
        </w:rPr>
      </w:pPr>
    </w:p>
    <w:p>
      <w:pPr>
        <w:spacing w:line="360" w:lineRule="auto"/>
        <w:ind w:firstLine="480" w:firstLineChars="200"/>
        <w:jc w:val="center"/>
        <w:rPr>
          <w:rFonts w:hint="eastAsia" w:ascii="宋体" w:hAnsi="宋体" w:cs="宋体"/>
          <w:color w:val="auto"/>
          <w:sz w:val="24"/>
          <w:highlight w:val="none"/>
        </w:rPr>
      </w:pPr>
      <w:r>
        <w:rPr>
          <w:rFonts w:hint="eastAsia" w:ascii="宋体" w:hAnsi="宋体" w:cs="宋体"/>
          <w:color w:val="auto"/>
          <w:sz w:val="24"/>
          <w:highlight w:val="none"/>
        </w:rPr>
        <w:t>《房屋租赁合同》签署页</w:t>
      </w:r>
    </w:p>
    <w:bookmarkEnd w:id="0"/>
    <w:p>
      <w:pPr>
        <w:spacing w:line="360" w:lineRule="auto"/>
        <w:ind w:firstLine="480" w:firstLineChars="200"/>
        <w:rPr>
          <w:rFonts w:hint="eastAsia" w:ascii="宋体" w:hAnsi="宋体" w:cs="宋体"/>
          <w:color w:val="auto"/>
          <w:sz w:val="24"/>
          <w:highlight w:val="none"/>
        </w:rPr>
      </w:pPr>
    </w:p>
    <w:p>
      <w:pPr>
        <w:spacing w:line="360" w:lineRule="auto"/>
        <w:ind w:firstLine="480" w:firstLineChars="200"/>
        <w:rPr>
          <w:rFonts w:hint="eastAsia" w:ascii="宋体" w:hAnsi="宋体" w:cs="宋体"/>
          <w:color w:val="auto"/>
          <w:sz w:val="24"/>
          <w:highlight w:val="none"/>
        </w:rPr>
      </w:pP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甲方（出租人）（签章）：杭州市水务集团有限公司</w:t>
      </w:r>
    </w:p>
    <w:p>
      <w:pPr>
        <w:spacing w:line="360" w:lineRule="auto"/>
        <w:rPr>
          <w:rFonts w:hint="eastAsia" w:ascii="宋体" w:hAnsi="宋体" w:cs="宋体"/>
          <w:color w:val="auto"/>
          <w:sz w:val="24"/>
          <w:highlight w:val="none"/>
        </w:rPr>
      </w:pP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法定代表人（或委托代理人）：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经办人及联系电话：</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乙方（承租人）（签章）：</w:t>
      </w:r>
    </w:p>
    <w:p>
      <w:pPr>
        <w:spacing w:line="360" w:lineRule="auto"/>
        <w:ind w:firstLine="480" w:firstLineChars="200"/>
        <w:rPr>
          <w:rFonts w:hint="eastAsia" w:ascii="宋体" w:hAnsi="宋体" w:cs="宋体"/>
          <w:color w:val="auto"/>
          <w:sz w:val="24"/>
          <w:highlight w:val="none"/>
        </w:rPr>
      </w:pP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法定代表人（或委托代理人）：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经办人及联系电话：</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w:t>
      </w:r>
    </w:p>
    <w:p>
      <w:pPr>
        <w:spacing w:line="360" w:lineRule="auto"/>
        <w:ind w:firstLine="480" w:firstLineChars="200"/>
        <w:rPr>
          <w:rFonts w:hint="eastAsia" w:ascii="宋体" w:hAnsi="宋体" w:cs="宋体"/>
          <w:color w:val="auto"/>
          <w:sz w:val="24"/>
          <w:highlight w:val="none"/>
        </w:rPr>
      </w:pP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w:t>
      </w:r>
    </w:p>
    <w:p>
      <w:pPr>
        <w:spacing w:line="360" w:lineRule="auto"/>
        <w:ind w:firstLine="480" w:firstLineChars="200"/>
        <w:rPr>
          <w:rFonts w:hint="eastAsia" w:ascii="宋体" w:hAnsi="宋体" w:cs="宋体"/>
          <w:color w:val="auto"/>
          <w:sz w:val="24"/>
          <w:highlight w:val="none"/>
        </w:rPr>
      </w:pPr>
    </w:p>
    <w:p>
      <w:pPr>
        <w:spacing w:line="360" w:lineRule="auto"/>
        <w:ind w:firstLine="480" w:firstLineChars="200"/>
        <w:rPr>
          <w:rFonts w:hint="eastAsia" w:ascii="宋体" w:hAnsi="宋体" w:cs="宋体"/>
          <w:color w:val="auto"/>
          <w:sz w:val="24"/>
          <w:highlight w:val="none"/>
        </w:rPr>
      </w:pPr>
    </w:p>
    <w:p>
      <w:pPr>
        <w:spacing w:line="360" w:lineRule="auto"/>
        <w:ind w:firstLine="480" w:firstLineChars="200"/>
        <w:rPr>
          <w:rFonts w:hint="eastAsia" w:ascii="方正小标宋简体" w:hAnsi="方正小标宋简体" w:eastAsia="方正小标宋简体" w:cs="方正小标宋简体"/>
          <w:color w:val="auto"/>
          <w:sz w:val="44"/>
          <w:szCs w:val="44"/>
          <w:highlight w:val="none"/>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2026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pPr>
        <w:spacing w:line="360" w:lineRule="auto"/>
        <w:rPr>
          <w:rFonts w:hint="eastAsia" w:ascii="方正小标宋简体" w:hAnsi="方正小标宋简体" w:eastAsia="方正小标宋简体" w:cs="方正小标宋简体"/>
          <w:color w:val="auto"/>
          <w:sz w:val="44"/>
          <w:szCs w:val="44"/>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房屋租赁消防、安全、综治管理责任书</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甲  方： 杭州市水务集团有限公司</w:t>
      </w:r>
    </w:p>
    <w:p>
      <w:pPr>
        <w:spacing w:line="360" w:lineRule="auto"/>
        <w:rPr>
          <w:rFonts w:hint="eastAsia" w:ascii="宋体" w:hAnsi="宋体" w:cs="宋体"/>
          <w:color w:val="auto"/>
          <w:sz w:val="24"/>
          <w:highlight w:val="none"/>
          <w:lang w:val="en-US" w:eastAsia="zh-CN"/>
        </w:rPr>
      </w:pPr>
      <w:r>
        <w:rPr>
          <w:rFonts w:hint="eastAsia" w:ascii="宋体" w:hAnsi="宋体" w:cs="宋体"/>
          <w:color w:val="auto"/>
          <w:sz w:val="24"/>
          <w:highlight w:val="none"/>
        </w:rPr>
        <w:t>乙  方：</w:t>
      </w:r>
      <w:r>
        <w:rPr>
          <w:rFonts w:hint="eastAsia" w:ascii="宋体" w:hAnsi="宋体" w:cs="宋体"/>
          <w:color w:val="auto"/>
          <w:sz w:val="24"/>
          <w:highlight w:val="none"/>
          <w:lang w:val="en-US" w:eastAsia="zh-CN"/>
        </w:rPr>
        <w:t xml:space="preserve"> </w:t>
      </w:r>
    </w:p>
    <w:p>
      <w:pPr>
        <w:pStyle w:val="2"/>
        <w:rPr>
          <w:rFonts w:hint="eastAsia"/>
          <w:lang w:eastAsia="zh-CN"/>
        </w:rPr>
      </w:pP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双方签订的房屋租赁合同，加强对租赁房屋的消防、安全、综治管理，预防火灾、治安性灾害事故等管理，维护社会正常秩序和确保安全稳定，保证双方共同履行管理职责和合法权益，根据《中华人民共和国消防法》，《公安部第61号令（机关、团体、企业、事业单位消防安全管理规定）》，《浙江省机关、团体、企业、事业单位治安保卫工作条例》及国家、省、市制定实施的相关法规。坚持落实“谁主管，谁负责”的工作原则，特签订本消防，安全，综治管理责任书。</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一、甲方履行责任：</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1、对乙方所租赁房屋进行消防、安全、综治管理工作的定期或不定期督促，检查。</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2、对乙方所租房屋存在的火险隐患及不安全因素，按照有关法律法规，及时提出书面整改意见和防范措施，并督促限期整改。</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3、配合乙方开展防火、防盗及法制等一系列内容的安全知识宣传教育。</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对乙方装修房屋活动进行指导和监督，并将注意事项和禁止行为告知乙方。若发现违规，违章装修房屋或妨碍他人正常使用物业的现象（如渗、漏、堵、冒等），应当及时纠正，造成他人损失的应承担赔偿损失，对拒不改正的，甲方可采取相应措施制止其行为，并上报有关行政管理部门依法处理。</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二、乙方履行责任：</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认真贯彻执行国家颁布实施的消防、安全、综治管理有关法律法规和省、市相关的行政法规管理条例。遵守甲方物业管理、安全管理、车辆出入管理、人员出入管理等制度。违反物管制度的参考水务集团处罚标准，由出租方填发违章扣罚单交乙方，收取违章罚款。违章人员所在单位向违章人员扣回所交违章扣款。</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2、确定一名主要行政领导全面而负责消防，安全，治安管理工作，并配备一名主要专(兼)职安全管理人员负责日常工作。</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乙方应认真履行和落实《房屋租赁消防、安全、综治管理责任书》，未按要求做好租赁房屋的安全工作，在各类安全检查中有重大安全隐患，经要求整改，拒不整改或整改多次仍不符合要求的，甲方有权扣除租赁保证金或采取停电、停水等措施，直至解除合同。</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4、制定消防、安全、综治管理制度，定期安排，布置各项安全防范工作，并经常检查安全管理工作执行情况，要有详细内容记录。</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5、经营商场、酒店餐饮等公共娱乐场所，必须严格执行国家有关法律法规，建立内部消防、安全、综治管理组织。</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6、对租赁房屋进行内部装修（饰）、改建、扩建等，必须向相关政府部门办理申报审批手续，并与甲方物业管理部门签订《租赁房屋装修施工安全责任协议》及相关物业管理契约后，方可进行施工作业。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7、如委托甲方对其自用部位和毗连部位的有关设施、设备进行维修、养护，应支付相应费用。</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8、因乙方造成大楼公用设施、设备或其他租赁客户设施、设备损坏，由乙方负责修复或赔偿经济损失。</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9、严格履行租赁房屋使用性质，不能将承租房屋作“三合一”（即工作场地，仓库，宿舍）混合使用，经营业态不得违反招租文件或合同约定。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10、动用明火作业和使用特种设备及大功率电热器具，必须报家方物业管理部门办理审批手续，作业和使用期间必须落实定人管理，定点使用，定安全管理措施。</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实行定期或不定期进行安全检查，及时落实整改火险隐患及不安全因素，对甲方提出或督促的整改通知，要立即组织研讨认真布置落实整改方案或做出限期整改，将整改落实情况书面上报甲方物业管理部门备案。</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根据租赁房屋用途的特点，按规定配好备足消防器材，落实专人负责保管、保养，确保消防器材正常，完整好用。未经许可不得擅自挪用、移动，随意改装。不准在消防器材和灭火栓前（旁）堆放杂物及物资，保障安全通道畅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积极开展对全体员工进行消防、安全，综治管理的法制法规和防范知识的宣传教育，并进行必要的安全培训，达到三懂三会（懂得岗位操作中的火险隐患和不安全因素，懂得火灾的预防措施，懂得扑救初起火灾的方法。会报警，会使用各种消防器材，会扑救初起火灾和自救逃生）。</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三、乙方履行其他责任：</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1、不得擅自违反租赁房屋合同及房屋租赁消防、安全、综治管理责任书条款，因乙方责任发生消防、安全、综治事故造成损失或被政府管理部门处罚的，由乙方全部负责承担。</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2、租赁房屋内设财务室，必须落实“三铁一器”（既防盗安全门，铁制保安窗，防盗保险柜（箱），报警器）。并经有关公安部门审检，领取安全合格财会室证书。</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3、租赁房屋内不得留宿人员，因实际需要住宿人员，必须经甲方审报，并到当地公安机关办理暂住证。未经批准，一律不得在租赁房屋内住（留）宿。</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为了保证乙方遵守上述消防安全责任，根据甲方主管部门的规定，乙方须向甲方交纳一定的风险抵押金（包括在租房保证金中）。在租赁期间无违反租房消防安全管理行为，在租赁合同终时返还风险抵押金。如有违反消防、安全、综治管理行为，甲方有权向相关执法部门提出汇报并做出相应的经济处罚。造成严重后果的，依据国家，省市消防，安全管理法律法规赔偿全部经济损失，直至追究刑事责任。</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5、在物业范围内，不得有下列行为：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（1）擅自改变房屋结构及其设施设备的结构、外貌（含外墙、外门窗等部位的颜色、形状和规格）、设计用途，功能和布局等；</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（2）对房屋的内外承重墙、梁、柱、板进行违章凿、拆、搭、建；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（3）各类防盗设施或保安门、窗、棚等安装超出外墙立面。</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（4）占用或损坏楼梯、通道、屋面、平台、道路、停车场、自行车库等公共设施及场地；</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（5）损坏、拆除或改造供电、供水、制冷、供暖、通讯、有线电视、排水、排污、消防等公用设施；</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（6）随意堆放杂物、丢弃垃圾、高空抛物；</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（7）高层建筑擅自安装空调、花架，在窗台上随意搁置物品；</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（8）违反规定存放易燃、易爆、剧毒、放射性等物品和排放有毒、有害、危险物质等；</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（9）践踏、占用绿化地，损坏、涂划建筑外表；</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（10）在公共场所、道路两侧乱设指令；</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（11）影响市容观瞻的乱搭、乱贴、乱挂、设立广告牌；</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（12）随意停放车辆；</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（13）聚众喧闹，噪声扰民等危害公共利益或其他不道德的行为；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（14）违反规定携带家禽、家畜及宠物；</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6、自觉维护公共场所的整洁、美观、畅通及公用设施的完好。</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7、加强精神文明建设，弘扬社会主义道德风尚、互相友爱、和睦相处，共同创造良好的工作和生活环境。</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四、乙方不得在该物业内进行法律、法规及政府规定禁止的其他行为。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六、本责任书一式陆份，双方各执叁份，责任书经双方签字盖章后生效。</w:t>
      </w:r>
    </w:p>
    <w:p>
      <w:pPr>
        <w:spacing w:line="360" w:lineRule="auto"/>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（以下无正文）</w:t>
      </w:r>
    </w:p>
    <w:p>
      <w:pPr>
        <w:spacing w:line="240" w:lineRule="auto"/>
        <w:jc w:val="left"/>
        <w:rPr>
          <w:rFonts w:hint="eastAsia" w:ascii="宋体" w:hAnsi="宋体" w:cs="宋体"/>
          <w:color w:val="auto"/>
          <w:sz w:val="24"/>
          <w:highlight w:val="none"/>
        </w:rPr>
      </w:pPr>
      <w:r>
        <w:rPr>
          <w:rFonts w:hint="eastAsia" w:ascii="宋体" w:hAnsi="宋体" w:cs="宋体"/>
          <w:color w:val="auto"/>
          <w:sz w:val="24"/>
          <w:highlight w:val="none"/>
        </w:rPr>
        <w:br w:type="page"/>
      </w:r>
    </w:p>
    <w:p>
      <w:pPr>
        <w:pStyle w:val="2"/>
        <w:rPr>
          <w:rFonts w:hint="eastAsia"/>
          <w:color w:val="auto"/>
          <w:highlight w:val="none"/>
        </w:rPr>
      </w:pPr>
    </w:p>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签署页</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甲方（出租人）（签章）：杭州市水务集团有限公司　</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法定代表人（或委托代理人）：　　</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经办人及联系电话：</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　</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乙方（承租人）（签章）：</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法定代表人（或委托代理人）：　　</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经办人及联系电话：</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　　</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　　</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2026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sectPr>
          <w:footerReference r:id="rId4" w:type="default"/>
          <w:pgSz w:w="11906" w:h="16838"/>
          <w:pgMar w:top="1440" w:right="1800" w:bottom="1440" w:left="1800" w:header="851" w:footer="992" w:gutter="0"/>
          <w:pgNumType w:start="1"/>
          <w:cols w:space="425" w:num="1"/>
          <w:docGrid w:type="lines" w:linePitch="312" w:charSpace="0"/>
        </w:sectPr>
      </w:pPr>
    </w:p>
    <w:p>
      <w:pPr>
        <w:jc w:val="center"/>
        <w:rPr>
          <w:rFonts w:hint="eastAsia" w:ascii="仿宋" w:hAnsi="仿宋"/>
          <w:b/>
          <w:color w:val="auto"/>
          <w:sz w:val="36"/>
          <w:szCs w:val="36"/>
          <w:highlight w:val="none"/>
        </w:rPr>
      </w:pPr>
      <w:r>
        <w:rPr>
          <w:rFonts w:hint="eastAsia" w:ascii="仿宋" w:hAnsi="仿宋"/>
          <w:b/>
          <w:color w:val="auto"/>
          <w:sz w:val="36"/>
          <w:szCs w:val="36"/>
          <w:highlight w:val="none"/>
        </w:rPr>
        <w:t>杭州市水务集团租赁单位月度检查表</w:t>
      </w:r>
    </w:p>
    <w:p>
      <w:pPr>
        <w:ind w:firstLine="420" w:firstLineChars="200"/>
        <w:rPr>
          <w:rFonts w:hint="eastAsia" w:ascii="仿宋" w:hAnsi="仿宋"/>
          <w:b/>
          <w:color w:val="auto"/>
          <w:sz w:val="36"/>
          <w:szCs w:val="36"/>
          <w:highlight w:val="none"/>
        </w:rPr>
      </w:pPr>
      <w:r>
        <w:rPr>
          <w:color w:val="auto"/>
          <w:highlight w:val="none"/>
        </w:rPr>
        <w:t>为全面贯彻</w:t>
      </w:r>
      <w:r>
        <w:rPr>
          <w:rFonts w:hint="eastAsia"/>
          <w:color w:val="auto"/>
          <w:highlight w:val="none"/>
        </w:rPr>
        <w:t>安全生产</w:t>
      </w:r>
      <w:r>
        <w:rPr>
          <w:color w:val="auto"/>
          <w:highlight w:val="none"/>
        </w:rPr>
        <w:t>制度，充分调动</w:t>
      </w:r>
      <w:r>
        <w:rPr>
          <w:rFonts w:hint="eastAsia"/>
          <w:color w:val="auto"/>
          <w:highlight w:val="none"/>
        </w:rPr>
        <w:t>各租赁单位</w:t>
      </w:r>
      <w:r>
        <w:rPr>
          <w:color w:val="auto"/>
          <w:highlight w:val="none"/>
        </w:rPr>
        <w:t>的积极性，努力提高管理水平，有效控制</w:t>
      </w:r>
      <w:r>
        <w:rPr>
          <w:rFonts w:hint="eastAsia"/>
          <w:color w:val="auto"/>
          <w:highlight w:val="none"/>
        </w:rPr>
        <w:t>各类风险</w:t>
      </w:r>
      <w:r>
        <w:rPr>
          <w:color w:val="auto"/>
          <w:highlight w:val="none"/>
        </w:rPr>
        <w:t>，保证</w:t>
      </w:r>
      <w:r>
        <w:rPr>
          <w:rFonts w:hint="eastAsia"/>
          <w:color w:val="auto"/>
          <w:highlight w:val="none"/>
        </w:rPr>
        <w:t>租赁场所的生产安全</w:t>
      </w:r>
      <w:r>
        <w:rPr>
          <w:color w:val="auto"/>
          <w:highlight w:val="none"/>
        </w:rPr>
        <w:t>，</w:t>
      </w:r>
      <w:r>
        <w:rPr>
          <w:rFonts w:hint="eastAsia"/>
          <w:color w:val="auto"/>
          <w:highlight w:val="none"/>
        </w:rPr>
        <w:t>特</w:t>
      </w:r>
      <w:r>
        <w:rPr>
          <w:color w:val="auto"/>
          <w:highlight w:val="none"/>
        </w:rPr>
        <w:t>制定本</w:t>
      </w:r>
      <w:r>
        <w:rPr>
          <w:rFonts w:hint="eastAsia"/>
          <w:color w:val="auto"/>
          <w:highlight w:val="none"/>
        </w:rPr>
        <w:t>检查表</w:t>
      </w:r>
      <w:r>
        <w:rPr>
          <w:color w:val="auto"/>
          <w:highlight w:val="none"/>
        </w:rPr>
        <w:t>。</w:t>
      </w:r>
    </w:p>
    <w:p>
      <w:pPr>
        <w:spacing w:line="360" w:lineRule="auto"/>
        <w:rPr>
          <w:rFonts w:hint="eastAsia" w:ascii="仿宋" w:hAnsi="仿宋"/>
          <w:color w:val="auto"/>
          <w:sz w:val="28"/>
          <w:szCs w:val="28"/>
          <w:highlight w:val="none"/>
        </w:rPr>
      </w:pPr>
      <w:r>
        <w:rPr>
          <w:rFonts w:hint="eastAsia" w:ascii="仿宋" w:hAnsi="仿宋"/>
          <w:color w:val="auto"/>
          <w:sz w:val="28"/>
          <w:szCs w:val="28"/>
          <w:highlight w:val="none"/>
        </w:rPr>
        <w:t>承租单位：                      检查时间：</w:t>
      </w:r>
    </w:p>
    <w:tbl>
      <w:tblPr>
        <w:tblStyle w:val="10"/>
        <w:tblW w:w="7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843"/>
        <w:gridCol w:w="3118"/>
        <w:gridCol w:w="794"/>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718" w:type="dxa"/>
            <w:vAlign w:val="center"/>
          </w:tcPr>
          <w:p>
            <w:pPr>
              <w:jc w:val="center"/>
              <w:rPr>
                <w:rFonts w:hint="eastAsia" w:ascii="仿宋" w:hAnsi="仿宋"/>
                <w:b/>
                <w:color w:val="auto"/>
                <w:kern w:val="0"/>
                <w:sz w:val="24"/>
                <w:highlight w:val="none"/>
              </w:rPr>
            </w:pPr>
            <w:r>
              <w:rPr>
                <w:rFonts w:ascii="仿宋" w:hAnsi="仿宋"/>
                <w:b/>
                <w:color w:val="auto"/>
                <w:kern w:val="0"/>
                <w:sz w:val="24"/>
                <w:highlight w:val="none"/>
              </w:rPr>
              <w:t>序号</w:t>
            </w:r>
          </w:p>
        </w:tc>
        <w:tc>
          <w:tcPr>
            <w:tcW w:w="1843" w:type="dxa"/>
            <w:vAlign w:val="center"/>
          </w:tcPr>
          <w:p>
            <w:pPr>
              <w:jc w:val="center"/>
              <w:rPr>
                <w:rFonts w:hint="eastAsia" w:ascii="仿宋" w:hAnsi="仿宋"/>
                <w:b/>
                <w:color w:val="auto"/>
                <w:kern w:val="0"/>
                <w:sz w:val="24"/>
                <w:highlight w:val="none"/>
              </w:rPr>
            </w:pPr>
            <w:r>
              <w:rPr>
                <w:rFonts w:ascii="仿宋" w:hAnsi="仿宋"/>
                <w:b/>
                <w:color w:val="auto"/>
                <w:kern w:val="0"/>
                <w:sz w:val="24"/>
                <w:highlight w:val="none"/>
              </w:rPr>
              <w:t>考核项目</w:t>
            </w:r>
          </w:p>
        </w:tc>
        <w:tc>
          <w:tcPr>
            <w:tcW w:w="3118" w:type="dxa"/>
            <w:vAlign w:val="center"/>
          </w:tcPr>
          <w:p>
            <w:pPr>
              <w:jc w:val="center"/>
              <w:rPr>
                <w:rFonts w:hint="eastAsia" w:ascii="仿宋" w:hAnsi="仿宋"/>
                <w:b/>
                <w:color w:val="auto"/>
                <w:kern w:val="0"/>
                <w:sz w:val="24"/>
                <w:highlight w:val="none"/>
              </w:rPr>
            </w:pPr>
            <w:r>
              <w:rPr>
                <w:rFonts w:ascii="仿宋" w:hAnsi="仿宋"/>
                <w:b/>
                <w:color w:val="auto"/>
                <w:kern w:val="0"/>
                <w:sz w:val="24"/>
                <w:highlight w:val="none"/>
              </w:rPr>
              <w:t>评分标准</w:t>
            </w:r>
          </w:p>
        </w:tc>
        <w:tc>
          <w:tcPr>
            <w:tcW w:w="794" w:type="dxa"/>
            <w:vAlign w:val="center"/>
          </w:tcPr>
          <w:p>
            <w:pPr>
              <w:jc w:val="center"/>
              <w:rPr>
                <w:rFonts w:hint="eastAsia" w:ascii="仿宋" w:hAnsi="仿宋"/>
                <w:b/>
                <w:color w:val="auto"/>
                <w:kern w:val="0"/>
                <w:sz w:val="24"/>
                <w:highlight w:val="none"/>
              </w:rPr>
            </w:pPr>
            <w:r>
              <w:rPr>
                <w:rFonts w:hint="eastAsia" w:ascii="仿宋" w:hAnsi="仿宋"/>
                <w:b/>
                <w:color w:val="auto"/>
                <w:kern w:val="0"/>
                <w:sz w:val="24"/>
                <w:highlight w:val="none"/>
              </w:rPr>
              <w:t>扣罚金额</w:t>
            </w:r>
          </w:p>
        </w:tc>
        <w:tc>
          <w:tcPr>
            <w:tcW w:w="1421" w:type="dxa"/>
            <w:vAlign w:val="center"/>
          </w:tcPr>
          <w:p>
            <w:pPr>
              <w:jc w:val="center"/>
              <w:rPr>
                <w:rFonts w:hint="eastAsia" w:ascii="仿宋" w:hAnsi="仿宋"/>
                <w:b/>
                <w:color w:val="auto"/>
                <w:kern w:val="0"/>
                <w:sz w:val="24"/>
                <w:highlight w:val="none"/>
              </w:rPr>
            </w:pPr>
            <w:r>
              <w:rPr>
                <w:rFonts w:ascii="仿宋" w:hAnsi="仿宋"/>
                <w:b/>
                <w:color w:val="auto"/>
                <w:kern w:val="0"/>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b/>
                <w:color w:val="auto"/>
                <w:kern w:val="0"/>
                <w:sz w:val="24"/>
                <w:highlight w:val="none"/>
              </w:rPr>
            </w:pPr>
            <w:r>
              <w:rPr>
                <w:rFonts w:hint="eastAsia" w:ascii="仿宋" w:hAnsi="仿宋"/>
                <w:b/>
                <w:color w:val="auto"/>
                <w:kern w:val="0"/>
                <w:sz w:val="24"/>
                <w:highlight w:val="none"/>
              </w:rPr>
              <w:t>一</w:t>
            </w:r>
          </w:p>
        </w:tc>
        <w:tc>
          <w:tcPr>
            <w:tcW w:w="1843" w:type="dxa"/>
            <w:vAlign w:val="center"/>
          </w:tcPr>
          <w:p>
            <w:pPr>
              <w:rPr>
                <w:rFonts w:hint="eastAsia" w:ascii="仿宋" w:hAnsi="仿宋"/>
                <w:color w:val="auto"/>
                <w:kern w:val="0"/>
                <w:sz w:val="24"/>
                <w:highlight w:val="none"/>
              </w:rPr>
            </w:pPr>
            <w:r>
              <w:rPr>
                <w:rFonts w:hint="eastAsia" w:ascii="仿宋" w:hAnsi="仿宋"/>
                <w:b/>
                <w:color w:val="auto"/>
                <w:kern w:val="0"/>
                <w:sz w:val="24"/>
                <w:highlight w:val="none"/>
              </w:rPr>
              <w:t>装修审批</w:t>
            </w:r>
          </w:p>
        </w:tc>
        <w:tc>
          <w:tcPr>
            <w:tcW w:w="3118" w:type="dxa"/>
            <w:vAlign w:val="center"/>
          </w:tcPr>
          <w:p>
            <w:pPr>
              <w:rPr>
                <w:rFonts w:hint="eastAsia" w:ascii="仿宋" w:hAnsi="仿宋"/>
                <w:color w:val="auto"/>
                <w:kern w:val="0"/>
                <w:sz w:val="24"/>
                <w:highlight w:val="none"/>
              </w:rPr>
            </w:pP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1</w:t>
            </w:r>
          </w:p>
        </w:tc>
        <w:tc>
          <w:tcPr>
            <w:tcW w:w="1843"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租赁房屋进行内部装修审批备案</w:t>
            </w: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未经甲方同意私自开工装修扣500-1000元</w:t>
            </w:r>
            <w:r>
              <w:rPr>
                <w:rFonts w:ascii="仿宋" w:hAnsi="仿宋"/>
                <w:color w:val="auto"/>
                <w:kern w:val="0"/>
                <w:sz w:val="24"/>
                <w:highlight w:val="none"/>
              </w:rPr>
              <w:t xml:space="preserve"> </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b/>
                <w:color w:val="auto"/>
                <w:kern w:val="0"/>
                <w:sz w:val="24"/>
                <w:highlight w:val="none"/>
              </w:rPr>
            </w:pPr>
            <w:r>
              <w:rPr>
                <w:rFonts w:hint="eastAsia" w:ascii="仿宋" w:hAnsi="仿宋"/>
                <w:color w:val="auto"/>
                <w:kern w:val="0"/>
                <w:sz w:val="24"/>
                <w:highlight w:val="none"/>
              </w:rPr>
              <w:t>2</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未向公安消防等部门办理申报审批手续私自开工装修扣500-1000元</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b/>
                <w:color w:val="auto"/>
                <w:kern w:val="0"/>
                <w:sz w:val="24"/>
                <w:highlight w:val="none"/>
              </w:rPr>
            </w:pPr>
            <w:r>
              <w:rPr>
                <w:rFonts w:hint="eastAsia" w:ascii="仿宋" w:hAnsi="仿宋"/>
                <w:b/>
                <w:color w:val="auto"/>
                <w:kern w:val="0"/>
                <w:sz w:val="24"/>
                <w:highlight w:val="none"/>
              </w:rPr>
              <w:t>3</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未到甲方物业管理部门办理审批手续，擅自动用明火作业和使用特种设备扣200-1000元</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b/>
                <w:color w:val="auto"/>
                <w:kern w:val="0"/>
                <w:sz w:val="24"/>
                <w:highlight w:val="none"/>
              </w:rPr>
            </w:pPr>
            <w:r>
              <w:rPr>
                <w:rFonts w:hint="eastAsia" w:ascii="仿宋" w:hAnsi="仿宋"/>
                <w:b/>
                <w:color w:val="auto"/>
                <w:kern w:val="0"/>
                <w:sz w:val="24"/>
                <w:highlight w:val="none"/>
              </w:rPr>
              <w:t>4</w:t>
            </w:r>
          </w:p>
        </w:tc>
        <w:tc>
          <w:tcPr>
            <w:tcW w:w="1843" w:type="dxa"/>
            <w:vAlign w:val="center"/>
          </w:tcPr>
          <w:p>
            <w:pP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特种专业工种无证上岗扣100元/人。</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b/>
                <w:color w:val="auto"/>
                <w:kern w:val="0"/>
                <w:sz w:val="24"/>
                <w:highlight w:val="none"/>
              </w:rPr>
            </w:pPr>
            <w:r>
              <w:rPr>
                <w:rFonts w:hint="eastAsia" w:ascii="仿宋" w:hAnsi="仿宋"/>
                <w:b/>
                <w:color w:val="auto"/>
                <w:kern w:val="0"/>
                <w:sz w:val="24"/>
                <w:highlight w:val="none"/>
              </w:rPr>
              <w:t>5</w:t>
            </w:r>
          </w:p>
        </w:tc>
        <w:tc>
          <w:tcPr>
            <w:tcW w:w="1843" w:type="dxa"/>
            <w:vAlign w:val="center"/>
          </w:tcPr>
          <w:p>
            <w:pP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场地内存在擅自搭建扣1000元-5000元/次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b/>
                <w:color w:val="auto"/>
                <w:kern w:val="0"/>
                <w:sz w:val="24"/>
                <w:highlight w:val="none"/>
              </w:rPr>
            </w:pPr>
            <w:r>
              <w:rPr>
                <w:rFonts w:hint="eastAsia" w:ascii="仿宋" w:hAnsi="仿宋"/>
                <w:b/>
                <w:color w:val="auto"/>
                <w:kern w:val="0"/>
                <w:sz w:val="24"/>
                <w:highlight w:val="none"/>
              </w:rPr>
              <w:t>6</w:t>
            </w:r>
          </w:p>
        </w:tc>
        <w:tc>
          <w:tcPr>
            <w:tcW w:w="1843" w:type="dxa"/>
            <w:vAlign w:val="center"/>
          </w:tcPr>
          <w:p>
            <w:pP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实际装修与装修审批备案内容不符扣400元-1000元/次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b/>
                <w:color w:val="auto"/>
                <w:kern w:val="0"/>
                <w:sz w:val="24"/>
                <w:highlight w:val="none"/>
              </w:rPr>
            </w:pPr>
            <w:r>
              <w:rPr>
                <w:rFonts w:hint="eastAsia" w:ascii="仿宋" w:hAnsi="仿宋"/>
                <w:b/>
                <w:color w:val="auto"/>
                <w:kern w:val="0"/>
                <w:sz w:val="24"/>
                <w:highlight w:val="none"/>
              </w:rPr>
              <w:t>7</w:t>
            </w:r>
          </w:p>
        </w:tc>
        <w:tc>
          <w:tcPr>
            <w:tcW w:w="1843" w:type="dxa"/>
            <w:vAlign w:val="center"/>
          </w:tcPr>
          <w:p>
            <w:pPr>
              <w:jc w:val="center"/>
              <w:rPr>
                <w:rFonts w:hint="eastAsia" w:ascii="仿宋" w:hAnsi="仿宋"/>
                <w:b/>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装修期间造成甲方或其他租赁客户设施、设备损坏200-1000元/次，并照价赔偿</w:t>
            </w:r>
          </w:p>
        </w:tc>
        <w:tc>
          <w:tcPr>
            <w:tcW w:w="794" w:type="dxa"/>
            <w:vAlign w:val="center"/>
          </w:tcPr>
          <w:p>
            <w:pPr>
              <w:jc w:val="center"/>
              <w:rPr>
                <w:rFonts w:hint="eastAsia" w:ascii="仿宋" w:hAnsi="仿宋"/>
                <w:b/>
                <w:color w:val="auto"/>
                <w:kern w:val="0"/>
                <w:sz w:val="24"/>
                <w:highlight w:val="none"/>
              </w:rPr>
            </w:pPr>
          </w:p>
        </w:tc>
        <w:tc>
          <w:tcPr>
            <w:tcW w:w="1421" w:type="dxa"/>
            <w:vAlign w:val="center"/>
          </w:tcPr>
          <w:p>
            <w:pPr>
              <w:jc w:val="center"/>
              <w:rPr>
                <w:rFonts w:hint="eastAsia" w:ascii="仿宋" w:hAnsi="仿宋"/>
                <w:b/>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b/>
                <w:color w:val="auto"/>
                <w:kern w:val="0"/>
                <w:sz w:val="24"/>
                <w:highlight w:val="none"/>
              </w:rPr>
            </w:pPr>
            <w:r>
              <w:rPr>
                <w:rFonts w:hint="eastAsia" w:ascii="仿宋" w:hAnsi="仿宋"/>
                <w:b/>
                <w:color w:val="auto"/>
                <w:kern w:val="0"/>
                <w:sz w:val="24"/>
                <w:highlight w:val="none"/>
              </w:rPr>
              <w:t>二</w:t>
            </w:r>
          </w:p>
        </w:tc>
        <w:tc>
          <w:tcPr>
            <w:tcW w:w="1843" w:type="dxa"/>
            <w:vAlign w:val="center"/>
          </w:tcPr>
          <w:p>
            <w:pPr>
              <w:jc w:val="center"/>
              <w:rPr>
                <w:rFonts w:hint="eastAsia" w:ascii="仿宋" w:hAnsi="仿宋"/>
                <w:color w:val="auto"/>
                <w:kern w:val="0"/>
                <w:sz w:val="24"/>
                <w:highlight w:val="none"/>
              </w:rPr>
            </w:pPr>
            <w:r>
              <w:rPr>
                <w:rFonts w:hint="eastAsia" w:ascii="仿宋" w:hAnsi="仿宋"/>
                <w:b/>
                <w:color w:val="auto"/>
                <w:kern w:val="0"/>
                <w:sz w:val="24"/>
                <w:highlight w:val="none"/>
              </w:rPr>
              <w:t>消防安全管理</w:t>
            </w: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未按规定设置消防设施或有失效的扣200元/次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1</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未经许可擅自挪用、移动，随意改装消防设施、设备扣500-1000元/次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2</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安全出口、疏散通道未保持畅通，堆放杂物扣200-1000元/次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3</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未按规定设置安全疏散指示标志、应急照明并保持完好扣100元/处</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4</w:t>
            </w:r>
          </w:p>
        </w:tc>
        <w:tc>
          <w:tcPr>
            <w:tcW w:w="1843" w:type="dxa"/>
            <w:vAlign w:val="center"/>
          </w:tcPr>
          <w:p>
            <w:pPr>
              <w:jc w:val="center"/>
              <w:rPr>
                <w:rFonts w:hint="eastAsia" w:ascii="仿宋" w:hAnsi="仿宋"/>
                <w:b/>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未按规范使用液化气钢瓶或其他燃料扣200-1000元/次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5</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液化气钢瓶间或管道煤气未定期检查无记录扣200元/次。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6</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油烟管道未定期清洗无记录扣200元/次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7</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b/>
                <w:color w:val="auto"/>
                <w:kern w:val="0"/>
                <w:sz w:val="24"/>
                <w:highlight w:val="none"/>
              </w:rPr>
            </w:pPr>
            <w:r>
              <w:rPr>
                <w:rFonts w:hint="eastAsia" w:ascii="仿宋" w:hAnsi="仿宋"/>
                <w:color w:val="auto"/>
                <w:kern w:val="0"/>
                <w:sz w:val="24"/>
                <w:highlight w:val="none"/>
              </w:rPr>
              <w:t>使用不符合规范的接线板扣100-200元/次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8</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b/>
                <w:color w:val="auto"/>
                <w:kern w:val="0"/>
                <w:sz w:val="24"/>
                <w:highlight w:val="none"/>
              </w:rPr>
            </w:pPr>
            <w:r>
              <w:rPr>
                <w:rFonts w:hint="eastAsia" w:ascii="仿宋" w:hAnsi="仿宋"/>
                <w:color w:val="auto"/>
                <w:kern w:val="0"/>
                <w:sz w:val="24"/>
                <w:highlight w:val="none"/>
              </w:rPr>
              <w:t>电线私拉乱接扣200-1000元/次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9</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b/>
                <w:color w:val="auto"/>
                <w:kern w:val="0"/>
                <w:sz w:val="24"/>
                <w:highlight w:val="none"/>
              </w:rPr>
            </w:pPr>
            <w:r>
              <w:rPr>
                <w:rFonts w:hint="eastAsia" w:ascii="仿宋" w:hAnsi="仿宋"/>
                <w:color w:val="auto"/>
                <w:kern w:val="0"/>
                <w:sz w:val="24"/>
                <w:highlight w:val="none"/>
              </w:rPr>
              <w:t>消防设施未定期维保和年检（消防部门要求的场所）扣500-1000元/次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10</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仓库中存放危化品或易燃易爆用品扣500-2000元/次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11</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仓库未使用防爆灯扣200元/次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12</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在经营、仓储、生产场所有人员居住的（除值班人员）扣2000-5000元/次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b/>
                <w:color w:val="auto"/>
                <w:kern w:val="0"/>
                <w:sz w:val="24"/>
                <w:highlight w:val="none"/>
              </w:rPr>
            </w:pPr>
            <w:r>
              <w:rPr>
                <w:rFonts w:hint="eastAsia" w:ascii="仿宋" w:hAnsi="仿宋"/>
                <w:b/>
                <w:color w:val="auto"/>
                <w:kern w:val="0"/>
                <w:sz w:val="24"/>
                <w:highlight w:val="none"/>
              </w:rPr>
              <w:t>三</w:t>
            </w:r>
          </w:p>
        </w:tc>
        <w:tc>
          <w:tcPr>
            <w:tcW w:w="1843" w:type="dxa"/>
            <w:vAlign w:val="center"/>
          </w:tcPr>
          <w:p>
            <w:pPr>
              <w:jc w:val="center"/>
              <w:rPr>
                <w:rFonts w:hint="eastAsia" w:ascii="仿宋" w:hAnsi="仿宋"/>
                <w:b/>
                <w:color w:val="auto"/>
                <w:kern w:val="0"/>
                <w:sz w:val="24"/>
                <w:highlight w:val="none"/>
              </w:rPr>
            </w:pPr>
            <w:r>
              <w:rPr>
                <w:rFonts w:ascii="仿宋" w:hAnsi="仿宋"/>
                <w:b/>
                <w:color w:val="auto"/>
                <w:kern w:val="0"/>
                <w:sz w:val="24"/>
                <w:highlight w:val="none"/>
              </w:rPr>
              <w:t>其他事项</w:t>
            </w:r>
          </w:p>
        </w:tc>
        <w:tc>
          <w:tcPr>
            <w:tcW w:w="3118" w:type="dxa"/>
            <w:vAlign w:val="center"/>
          </w:tcPr>
          <w:p>
            <w:pPr>
              <w:rPr>
                <w:rFonts w:hint="eastAsia" w:ascii="仿宋" w:hAnsi="仿宋"/>
                <w:color w:val="auto"/>
                <w:kern w:val="0"/>
                <w:sz w:val="24"/>
                <w:highlight w:val="none"/>
              </w:rPr>
            </w:pP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1</w:t>
            </w:r>
          </w:p>
        </w:tc>
        <w:tc>
          <w:tcPr>
            <w:tcW w:w="1843" w:type="dxa"/>
            <w:vAlign w:val="center"/>
          </w:tcPr>
          <w:p>
            <w:pPr>
              <w:jc w:val="center"/>
              <w:rPr>
                <w:rFonts w:hint="eastAsia" w:ascii="仿宋" w:hAnsi="仿宋"/>
                <w:b/>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未按时缴纳房租、水电等费用扣1000-5000元/次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2</w:t>
            </w:r>
          </w:p>
        </w:tc>
        <w:tc>
          <w:tcPr>
            <w:tcW w:w="1843" w:type="dxa"/>
            <w:vAlign w:val="center"/>
          </w:tcPr>
          <w:p>
            <w:pPr>
              <w:jc w:val="center"/>
              <w:rPr>
                <w:rFonts w:hint="eastAsia" w:ascii="仿宋" w:hAnsi="仿宋"/>
                <w:b/>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环境卫生脏乱差扣200-1000元/次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3</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未经有关部门审批私设广告牌200-500元/次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4</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未经甲方同意，擅自改变经营业态扣1000-5000元/次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5</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无证经营或超范围经营扣1000-5000元/次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6</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无故不参加甲方组织的各类培训和会议，扣100-500元/次</w:t>
            </w:r>
          </w:p>
        </w:tc>
        <w:tc>
          <w:tcPr>
            <w:tcW w:w="794" w:type="dxa"/>
            <w:vAlign w:val="center"/>
          </w:tcPr>
          <w:p>
            <w:pPr>
              <w:jc w:val="center"/>
              <w:rPr>
                <w:rFonts w:hint="eastAsia" w:ascii="仿宋" w:hAnsi="仿宋"/>
                <w:color w:val="auto"/>
                <w:kern w:val="0"/>
                <w:sz w:val="24"/>
                <w:highlight w:val="none"/>
              </w:rPr>
            </w:pPr>
          </w:p>
        </w:tc>
        <w:tc>
          <w:tcPr>
            <w:tcW w:w="1421" w:type="dxa"/>
            <w:vAlign w:val="center"/>
          </w:tcPr>
          <w:p>
            <w:pPr>
              <w:jc w:val="center"/>
              <w:rPr>
                <w:rFonts w:hint="eastAsia" w:ascii="仿宋" w:hAnsi="仿宋"/>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7</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不积极处置或配合处置突发事件的，视情形扣1000-5000元</w:t>
            </w:r>
          </w:p>
        </w:tc>
        <w:tc>
          <w:tcPr>
            <w:tcW w:w="794" w:type="dxa"/>
            <w:vAlign w:val="center"/>
          </w:tcPr>
          <w:p>
            <w:pPr>
              <w:jc w:val="center"/>
              <w:rPr>
                <w:rFonts w:hint="eastAsia" w:ascii="仿宋" w:hAnsi="仿宋"/>
                <w:b/>
                <w:color w:val="auto"/>
                <w:kern w:val="0"/>
                <w:sz w:val="24"/>
                <w:highlight w:val="none"/>
              </w:rPr>
            </w:pPr>
          </w:p>
        </w:tc>
        <w:tc>
          <w:tcPr>
            <w:tcW w:w="1421" w:type="dxa"/>
            <w:vAlign w:val="center"/>
          </w:tcPr>
          <w:p>
            <w:pPr>
              <w:jc w:val="center"/>
              <w:rPr>
                <w:rFonts w:hint="eastAsia" w:ascii="仿宋" w:hAnsi="仿宋"/>
                <w:b/>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8" w:type="dxa"/>
            <w:vAlign w:val="center"/>
          </w:tcPr>
          <w:p>
            <w:pPr>
              <w:jc w:val="center"/>
              <w:rPr>
                <w:rFonts w:hint="eastAsia" w:ascii="仿宋" w:hAnsi="仿宋"/>
                <w:color w:val="auto"/>
                <w:kern w:val="0"/>
                <w:sz w:val="24"/>
                <w:highlight w:val="none"/>
              </w:rPr>
            </w:pPr>
            <w:r>
              <w:rPr>
                <w:rFonts w:hint="eastAsia" w:ascii="仿宋" w:hAnsi="仿宋"/>
                <w:color w:val="auto"/>
                <w:kern w:val="0"/>
                <w:sz w:val="24"/>
                <w:highlight w:val="none"/>
              </w:rPr>
              <w:t>8</w:t>
            </w:r>
          </w:p>
        </w:tc>
        <w:tc>
          <w:tcPr>
            <w:tcW w:w="1843" w:type="dxa"/>
            <w:vAlign w:val="center"/>
          </w:tcPr>
          <w:p>
            <w:pPr>
              <w:jc w:val="center"/>
              <w:rPr>
                <w:rFonts w:hint="eastAsia" w:ascii="仿宋" w:hAnsi="仿宋"/>
                <w:color w:val="auto"/>
                <w:kern w:val="0"/>
                <w:sz w:val="24"/>
                <w:highlight w:val="none"/>
              </w:rPr>
            </w:pPr>
          </w:p>
        </w:tc>
        <w:tc>
          <w:tcPr>
            <w:tcW w:w="3118" w:type="dxa"/>
            <w:vAlign w:val="center"/>
          </w:tcPr>
          <w:p>
            <w:pPr>
              <w:rPr>
                <w:rFonts w:hint="eastAsia" w:ascii="仿宋" w:hAnsi="仿宋"/>
                <w:color w:val="auto"/>
                <w:kern w:val="0"/>
                <w:sz w:val="24"/>
                <w:highlight w:val="none"/>
              </w:rPr>
            </w:pPr>
            <w:r>
              <w:rPr>
                <w:rFonts w:hint="eastAsia" w:ascii="仿宋" w:hAnsi="仿宋"/>
                <w:color w:val="auto"/>
                <w:kern w:val="0"/>
                <w:sz w:val="24"/>
                <w:highlight w:val="none"/>
              </w:rPr>
              <w:t>发生其他不良事件的，视情形扣200-5000元/次</w:t>
            </w:r>
          </w:p>
        </w:tc>
        <w:tc>
          <w:tcPr>
            <w:tcW w:w="794" w:type="dxa"/>
            <w:vAlign w:val="center"/>
          </w:tcPr>
          <w:p>
            <w:pPr>
              <w:jc w:val="center"/>
              <w:rPr>
                <w:rFonts w:hint="eastAsia" w:ascii="仿宋" w:hAnsi="仿宋"/>
                <w:b/>
                <w:color w:val="auto"/>
                <w:kern w:val="0"/>
                <w:sz w:val="24"/>
                <w:highlight w:val="none"/>
              </w:rPr>
            </w:pPr>
          </w:p>
        </w:tc>
        <w:tc>
          <w:tcPr>
            <w:tcW w:w="1421" w:type="dxa"/>
            <w:vAlign w:val="center"/>
          </w:tcPr>
          <w:p>
            <w:pPr>
              <w:jc w:val="center"/>
              <w:rPr>
                <w:rFonts w:hint="eastAsia" w:ascii="仿宋" w:hAnsi="仿宋"/>
                <w:b/>
                <w:color w:val="auto"/>
                <w:kern w:val="0"/>
                <w:sz w:val="24"/>
                <w:highlight w:val="none"/>
              </w:rPr>
            </w:pPr>
          </w:p>
        </w:tc>
      </w:tr>
    </w:tbl>
    <w:p>
      <w:pPr>
        <w:rPr>
          <w:color w:val="auto"/>
          <w:sz w:val="28"/>
          <w:szCs w:val="28"/>
          <w:highlight w:val="none"/>
        </w:rPr>
      </w:pPr>
      <w:r>
        <w:rPr>
          <w:rFonts w:hint="eastAsia"/>
          <w:color w:val="auto"/>
          <w:sz w:val="28"/>
          <w:szCs w:val="28"/>
          <w:highlight w:val="none"/>
        </w:rPr>
        <w:t>备注1甲方</w:t>
      </w:r>
      <w:r>
        <w:rPr>
          <w:rFonts w:hint="eastAsia" w:ascii="宋体" w:hAnsi="宋体"/>
          <w:color w:val="auto"/>
          <w:sz w:val="28"/>
          <w:szCs w:val="28"/>
          <w:highlight w:val="none"/>
        </w:rPr>
        <w:t>对</w:t>
      </w:r>
      <w:r>
        <w:rPr>
          <w:rFonts w:hint="eastAsia"/>
          <w:color w:val="auto"/>
          <w:sz w:val="28"/>
          <w:szCs w:val="28"/>
          <w:highlight w:val="none"/>
        </w:rPr>
        <w:t>租赁场所</w:t>
      </w:r>
      <w:r>
        <w:rPr>
          <w:rFonts w:hint="eastAsia" w:ascii="宋体" w:hAnsi="宋体"/>
          <w:color w:val="auto"/>
          <w:sz w:val="28"/>
          <w:szCs w:val="28"/>
          <w:highlight w:val="none"/>
        </w:rPr>
        <w:t>开展月度检查、专项检查和领导抽查。</w:t>
      </w:r>
      <w:r>
        <w:rPr>
          <w:rFonts w:hint="eastAsia"/>
          <w:color w:val="auto"/>
          <w:sz w:val="28"/>
          <w:szCs w:val="28"/>
          <w:highlight w:val="none"/>
        </w:rPr>
        <w:t>检查内容包括消防安全检查、电气安全检查、、违章搭建、经营业态、教育培训、制度建设等。</w:t>
      </w:r>
    </w:p>
    <w:p>
      <w:pPr>
        <w:rPr>
          <w:color w:val="auto"/>
          <w:sz w:val="28"/>
          <w:szCs w:val="28"/>
          <w:highlight w:val="none"/>
        </w:rPr>
      </w:pPr>
      <w:r>
        <w:rPr>
          <w:rFonts w:hint="eastAsia"/>
          <w:color w:val="auto"/>
          <w:sz w:val="28"/>
          <w:szCs w:val="28"/>
          <w:highlight w:val="none"/>
        </w:rPr>
        <w:t>备注2 租赁场所受到上级主管单位或集团各部门通报批评或出具书面整改意见的，按照《租赁单位月度检查表》中相对应项从重处罚。</w:t>
      </w:r>
    </w:p>
    <w:p>
      <w:pPr>
        <w:rPr>
          <w:color w:val="auto"/>
          <w:sz w:val="28"/>
          <w:szCs w:val="28"/>
          <w:highlight w:val="none"/>
        </w:rPr>
      </w:pPr>
      <w:r>
        <w:rPr>
          <w:rFonts w:hint="eastAsia"/>
          <w:color w:val="auto"/>
          <w:sz w:val="28"/>
          <w:szCs w:val="28"/>
          <w:highlight w:val="none"/>
        </w:rPr>
        <w:t>备注3 发生火灾或安全生产事故的，扣5000-20000元/次，并黄牌警告1次；性质严重的，直接解除租赁合同。</w:t>
      </w:r>
    </w:p>
    <w:p>
      <w:pPr>
        <w:rPr>
          <w:color w:val="auto"/>
          <w:sz w:val="28"/>
          <w:szCs w:val="28"/>
          <w:highlight w:val="none"/>
        </w:rPr>
      </w:pPr>
      <w:r>
        <w:rPr>
          <w:rFonts w:hint="eastAsia"/>
          <w:color w:val="auto"/>
          <w:sz w:val="28"/>
          <w:szCs w:val="28"/>
          <w:highlight w:val="none"/>
        </w:rPr>
        <w:t>备注4 租赁单位在被我方约谈之后，仍未整改到位或拒不整改，扣5000-20000元/次，并黄牌警告1次。</w:t>
      </w:r>
    </w:p>
    <w:p>
      <w:pPr>
        <w:rPr>
          <w:color w:val="auto"/>
          <w:sz w:val="28"/>
          <w:szCs w:val="28"/>
          <w:highlight w:val="none"/>
        </w:rPr>
      </w:pPr>
      <w:r>
        <w:rPr>
          <w:rFonts w:hint="eastAsia"/>
          <w:color w:val="auto"/>
          <w:sz w:val="28"/>
          <w:szCs w:val="28"/>
          <w:highlight w:val="none"/>
        </w:rPr>
        <w:t>备注5 合同周期内有二次（含二次）以上黄牌警告的，提前终止租赁合同，并列入租赁单位黑名单中，不得租赁集团房产。</w:t>
      </w:r>
    </w:p>
    <w:p>
      <w:pPr>
        <w:rPr>
          <w:color w:val="auto"/>
          <w:highlight w:val="none"/>
        </w:rPr>
      </w:pPr>
    </w:p>
    <w:p>
      <w:pPr>
        <w:spacing w:line="540" w:lineRule="exact"/>
        <w:rPr>
          <w:color w:val="auto"/>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pPr>
    </w:p>
    <w:p>
      <w:pPr>
        <w:spacing w:line="360" w:lineRule="auto"/>
        <w:jc w:val="center"/>
        <w:rPr>
          <w:rFonts w:hint="eastAsia" w:ascii="方正小标宋简体" w:hAnsi="方正小标宋简体" w:eastAsia="方正小标宋简体" w:cs="方正小标宋简体"/>
          <w:color w:val="auto"/>
          <w:sz w:val="44"/>
          <w:szCs w:val="44"/>
          <w:highlight w:val="none"/>
        </w:rPr>
        <w:sectPr>
          <w:footerReference r:id="rId5" w:type="default"/>
          <w:pgSz w:w="11906" w:h="16838"/>
          <w:pgMar w:top="1440" w:right="1800" w:bottom="1440" w:left="1800" w:header="851" w:footer="992" w:gutter="0"/>
          <w:pgNumType w:start="1"/>
          <w:cols w:space="425" w:num="1"/>
          <w:docGrid w:type="lines" w:linePitch="312" w:charSpace="0"/>
        </w:sectPr>
      </w:pPr>
    </w:p>
    <w:p>
      <w:pPr>
        <w:spacing w:line="360" w:lineRule="auto"/>
        <w:jc w:val="center"/>
        <w:rPr>
          <w:rFonts w:hint="eastAsia" w:ascii="宋体" w:hAnsi="宋体" w:cs="宋体"/>
          <w:color w:val="auto"/>
          <w:sz w:val="24"/>
          <w:highlight w:val="none"/>
        </w:rPr>
      </w:pPr>
      <w:r>
        <w:rPr>
          <w:rFonts w:hint="eastAsia" w:ascii="方正小标宋简体" w:hAnsi="方正小标宋简体" w:eastAsia="方正小标宋简体" w:cs="方正小标宋简体"/>
          <w:color w:val="auto"/>
          <w:sz w:val="44"/>
          <w:szCs w:val="44"/>
          <w:highlight w:val="none"/>
        </w:rPr>
        <w:t>廉洁承诺书</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根据各方签订的房屋租赁合同</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文本，为保证合同合规合法履行，保证合同资金的安全和有效使用，本单位遵照杭州市水务集团有限公司党风廉政建设“十不准”，做出以下承诺：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一、不准赠送礼品。不准向水务集团员工赠送礼金、礼品、礼卡、消费卡、土特产及各类电子红包等；</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二、不准安排宴请。不准宴请水务集团员工以及安排健身、旅游等活动；</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三、不准聚众赌博。不准在施工场地聚众赌博；不准邀请水务集团员工出入私人会所、高档娱乐场所、有关休闲场所等；</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不准违规让利。不准向水务集团员工出借小汽车、笔记本电脑及高档电子设备等贵重物品；不得以高于市场价格购买、租用水务集团员工房产及汽车，以低于市场价格向水务集团员工出售（租）房产及汽车；不准安排水务集团员工在其关联的经营场所进行低价或免费消费；</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五、不准赠送干股。不准向水务集团员工、近亲属及特定关系人赠送、转让、出售内部股份；不准推荐本企业上市公司股票、披露内幕消息等；</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六、不准出借资金。不准向水务集团员工借贷；</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七、不准帮助买单。不准为水务集团员工应当自己承担的消费买单；</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八、不准定向用工。不准安排水务集团从事工程招标、物资采购的员工近亲属及特定关系人到本企业就业；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九、不准充当掮客。不准在水务集团工程招投标、物资采购、服务采购等活动中充当掮客；</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十、不准联合经商。不准与水务集团员工、近亲属及特定关系人联合经商。</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本单位若违反上述规定，将根据情节、依据性质分别接受责令改正、经济处罚、解除合同、报主管部门列入黑名单等处理，涉嫌行贿犯罪的移送司法机关进行调查处置。</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本承诺书作为房屋租赁合同</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的附件，一式</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份，合同</w:t>
      </w:r>
      <w:r>
        <w:rPr>
          <w:rFonts w:hint="eastAsia" w:ascii="宋体" w:hAnsi="宋体" w:cs="宋体"/>
          <w:color w:val="auto"/>
          <w:sz w:val="24"/>
          <w:highlight w:val="none"/>
          <w:lang w:val="en-US" w:eastAsia="zh-CN"/>
        </w:rPr>
        <w:t>双</w:t>
      </w:r>
      <w:r>
        <w:rPr>
          <w:rFonts w:hint="eastAsia" w:ascii="宋体" w:hAnsi="宋体" w:cs="宋体"/>
          <w:color w:val="auto"/>
          <w:sz w:val="24"/>
          <w:highlight w:val="none"/>
        </w:rPr>
        <w:t>方各执</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份。</w:t>
      </w:r>
    </w:p>
    <w:p>
      <w:pPr>
        <w:spacing w:line="360" w:lineRule="auto"/>
        <w:ind w:left="480" w:right="2100" w:rightChars="1000" w:hanging="480" w:hangingChars="200"/>
        <w:jc w:val="right"/>
        <w:rPr>
          <w:rFonts w:hint="eastAsia" w:ascii="宋体" w:hAnsi="宋体" w:cs="宋体"/>
          <w:color w:val="auto"/>
          <w:sz w:val="24"/>
          <w:highlight w:val="none"/>
        </w:rPr>
      </w:pPr>
      <w:r>
        <w:rPr>
          <w:rFonts w:hint="eastAsia" w:ascii="宋体" w:hAnsi="宋体" w:cs="宋体"/>
          <w:color w:val="auto"/>
          <w:sz w:val="24"/>
          <w:highlight w:val="none"/>
        </w:rPr>
        <w:t>承诺方（公章）：</w:t>
      </w:r>
    </w:p>
    <w:p>
      <w:pPr>
        <w:spacing w:line="360" w:lineRule="auto"/>
        <w:ind w:left="480" w:right="2100" w:rightChars="1000" w:hanging="480" w:hangingChars="200"/>
        <w:jc w:val="right"/>
        <w:rPr>
          <w:rFonts w:hint="eastAsia" w:ascii="宋体" w:hAnsi="宋体" w:cs="宋体"/>
          <w:color w:val="auto"/>
          <w:sz w:val="24"/>
          <w:highlight w:val="none"/>
        </w:rPr>
      </w:pPr>
      <w:r>
        <w:rPr>
          <w:rFonts w:hint="eastAsia" w:ascii="宋体" w:hAnsi="宋体" w:cs="宋体"/>
          <w:color w:val="auto"/>
          <w:sz w:val="24"/>
          <w:highlight w:val="none"/>
        </w:rPr>
        <w:t xml:space="preserve">                   法定代表人(签字或盖章)： </w:t>
      </w:r>
    </w:p>
    <w:p>
      <w:pPr>
        <w:spacing w:line="360" w:lineRule="auto"/>
        <w:ind w:left="480" w:right="2100" w:rightChars="1000" w:hanging="480" w:hangingChars="200"/>
        <w:jc w:val="right"/>
        <w:rPr>
          <w:rFonts w:hint="eastAsia" w:ascii="宋体" w:hAnsi="宋体" w:cs="宋体"/>
          <w:color w:val="auto"/>
          <w:sz w:val="24"/>
          <w:highlight w:val="none"/>
        </w:rPr>
      </w:pPr>
      <w:r>
        <w:rPr>
          <w:rFonts w:hint="eastAsia" w:ascii="宋体" w:hAnsi="宋体" w:cs="宋体"/>
          <w:color w:val="auto"/>
          <w:sz w:val="24"/>
          <w:highlight w:val="none"/>
        </w:rPr>
        <w:t>（或委托代理人）                                                      年    月    日</w:t>
      </w:r>
    </w:p>
    <w:sectPr>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724036"/>
    <w:multiLevelType w:val="singleLevel"/>
    <w:tmpl w:val="A2724036"/>
    <w:lvl w:ilvl="0" w:tentative="0">
      <w:start w:val="1"/>
      <w:numFmt w:val="decimal"/>
      <w:suff w:val="nothing"/>
      <w:lvlText w:val="%1、"/>
      <w:lvlJc w:val="left"/>
    </w:lvl>
  </w:abstractNum>
  <w:abstractNum w:abstractNumId="1">
    <w:nsid w:val="109CE75C"/>
    <w:multiLevelType w:val="singleLevel"/>
    <w:tmpl w:val="109CE75C"/>
    <w:lvl w:ilvl="0" w:tentative="0">
      <w:start w:val="1"/>
      <w:numFmt w:val="decimal"/>
      <w:suff w:val="nothing"/>
      <w:lvlText w:val="%1、"/>
      <w:lvlJc w:val="left"/>
    </w:lvl>
  </w:abstractNum>
  <w:abstractNum w:abstractNumId="2">
    <w:nsid w:val="1336BAB5"/>
    <w:multiLevelType w:val="singleLevel"/>
    <w:tmpl w:val="1336BAB5"/>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ZiODJjNGM0MTk0NDk3ZTdjOTBjOGJmZGQ2MzlkNjEifQ=="/>
  </w:docVars>
  <w:rsids>
    <w:rsidRoot w:val="26C77D5A"/>
    <w:rsid w:val="00557849"/>
    <w:rsid w:val="0061663D"/>
    <w:rsid w:val="00797D76"/>
    <w:rsid w:val="00A00E78"/>
    <w:rsid w:val="00B64C6E"/>
    <w:rsid w:val="0124146F"/>
    <w:rsid w:val="025D0778"/>
    <w:rsid w:val="06E728E4"/>
    <w:rsid w:val="09C61564"/>
    <w:rsid w:val="0CDB1206"/>
    <w:rsid w:val="0EA72CF0"/>
    <w:rsid w:val="106A4CC8"/>
    <w:rsid w:val="10CA13F2"/>
    <w:rsid w:val="122972BF"/>
    <w:rsid w:val="183A1F85"/>
    <w:rsid w:val="203D7274"/>
    <w:rsid w:val="26C77D5A"/>
    <w:rsid w:val="28DD176A"/>
    <w:rsid w:val="2BC531E0"/>
    <w:rsid w:val="2F7748AD"/>
    <w:rsid w:val="31501E21"/>
    <w:rsid w:val="317C758B"/>
    <w:rsid w:val="328556F5"/>
    <w:rsid w:val="3F7710F8"/>
    <w:rsid w:val="4154219F"/>
    <w:rsid w:val="439F2EAD"/>
    <w:rsid w:val="47ED4DFB"/>
    <w:rsid w:val="50F26610"/>
    <w:rsid w:val="5112374B"/>
    <w:rsid w:val="55A46F63"/>
    <w:rsid w:val="5BDB76B3"/>
    <w:rsid w:val="61187EF8"/>
    <w:rsid w:val="647C7E6D"/>
    <w:rsid w:val="65395A4C"/>
    <w:rsid w:val="657C53CF"/>
    <w:rsid w:val="68787361"/>
    <w:rsid w:val="6FA64482"/>
    <w:rsid w:val="73996151"/>
    <w:rsid w:val="74CD2C9A"/>
    <w:rsid w:val="79435F77"/>
    <w:rsid w:val="7959529F"/>
    <w:rsid w:val="7F015CD5"/>
    <w:rsid w:val="7F323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after="120"/>
      <w:jc w:val="left"/>
    </w:pPr>
    <w:rPr>
      <w:b/>
      <w:bCs/>
      <w:caps/>
      <w:sz w:val="20"/>
      <w:szCs w:val="20"/>
    </w:rPr>
  </w:style>
  <w:style w:type="paragraph" w:styleId="3">
    <w:name w:val="annotation text"/>
    <w:basedOn w:val="1"/>
    <w:qFormat/>
    <w:uiPriority w:val="0"/>
    <w:pPr>
      <w:jc w:val="left"/>
    </w:pPr>
  </w:style>
  <w:style w:type="paragraph" w:styleId="4">
    <w:name w:val="Body Text"/>
    <w:basedOn w:val="1"/>
    <w:qFormat/>
    <w:uiPriority w:val="1"/>
    <w:pPr>
      <w:spacing w:after="120"/>
    </w:pPr>
  </w:style>
  <w:style w:type="paragraph" w:styleId="5">
    <w:name w:val="footer"/>
    <w:basedOn w:val="1"/>
    <w:unhideWhenUsed/>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6"/>
    <w:basedOn w:val="1"/>
    <w:next w:val="1"/>
    <w:unhideWhenUsed/>
    <w:qFormat/>
    <w:uiPriority w:val="39"/>
    <w:pPr>
      <w:ind w:left="1050"/>
      <w:jc w:val="left"/>
    </w:pPr>
    <w:rPr>
      <w:szCs w:val="21"/>
    </w:rPr>
  </w:style>
  <w:style w:type="paragraph" w:styleId="8">
    <w:name w:val="Body Text First Indent"/>
    <w:basedOn w:val="4"/>
    <w:next w:val="7"/>
    <w:qFormat/>
    <w:uiPriority w:val="99"/>
    <w:pPr>
      <w:widowControl/>
      <w:ind w:firstLine="420" w:firstLineChars="100"/>
      <w:jc w:val="left"/>
    </w:pPr>
    <w:rPr>
      <w:rFonts w:ascii="Times New Roman"/>
      <w:kern w:val="0"/>
    </w:rPr>
  </w:style>
  <w:style w:type="table" w:styleId="10">
    <w:name w:val="Table Grid"/>
    <w:basedOn w:val="9"/>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11190</Words>
  <Characters>11480</Characters>
  <Lines>96</Lines>
  <Paragraphs>27</Paragraphs>
  <TotalTime>2</TotalTime>
  <ScaleCrop>false</ScaleCrop>
  <LinksUpToDate>false</LinksUpToDate>
  <CharactersWithSpaces>12143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2025-02-14T06:01:00Z</dcterms:created>
  <dc:creator>余婧弘</dc:creator>
  <cp:lastModifiedBy>YWX</cp:lastModifiedBy>
  <cp:lastPrinted>2026-07-28T07:22:44Z</cp:lastPrinted>
  <dcterms:modified xsi:type="dcterms:W3CDTF">2026-07-28T07:24:26Z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B52924EFD8D2423494A23346A0CF1DE2_13</vt:lpwstr>
  </property>
  <property fmtid="{D5CDD505-2E9C-101B-9397-08002B2CF9AE}" pid="4" name="KSOTemplateDocerSaveRecord">
    <vt:lpwstr>eyJoZGlkIjoiY2M2MDRiODQ4OWUwMzU3YTE3ZTM4MTgxMTA5NzZjOWYiLCJ1c2VySWQiOiIxNzc3Mzc0OTMwIn0=</vt:lpwstr>
  </property>
</Properties>
</file>