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B42B6">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B61736">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36AD3C6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lang w:val="en-US" w:eastAsia="zh-CN"/>
        </w:rPr>
        <w:t>杭州市拱墅区半山明园路3-2-205房屋3年租赁权</w:t>
      </w:r>
      <w:r>
        <w:rPr>
          <w:rFonts w:hint="eastAsia" w:asciiTheme="minorEastAsia" w:hAnsiTheme="minorEastAsia" w:eastAsiaTheme="minorEastAsia" w:cstheme="minorEastAsia"/>
          <w:sz w:val="20"/>
          <w:szCs w:val="20"/>
          <w:highlight w:val="none"/>
        </w:rPr>
        <w:t>项目，现做如下承诺：</w:t>
      </w:r>
    </w:p>
    <w:p w14:paraId="5173C8F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2EBCBCF3">
      <w:pPr>
        <w:keepNext w:val="0"/>
        <w:keepLines w:val="0"/>
        <w:pageBreakBefore w:val="0"/>
        <w:widowControl/>
        <w:tabs>
          <w:tab w:val="left" w:pos="6975"/>
        </w:tabs>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7FD0AE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64ADE905">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同意在被确定为承租方之日起3个工作日内携带承租申请材料原件到杭交所完成现场确认和签署《房屋租赁合同》、《房产租赁安全管理责任书》。承租方须在《房屋租赁合同》、《房产租赁安全管理责任书》签署当天支付租赁保证金至出租方指定账户，须在《房屋租赁合同》签署之日起3日内支付首期租金至出租方指定账户。</w:t>
      </w:r>
    </w:p>
    <w:p w14:paraId="0AB1EE40">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（2）同意承租方已付的交易保证金直接转为交易服务费，剩余部分由杭交所凭双方签署的《房屋租赁合同》或租金发票等相应凭证支付至承租方指定账户。</w:t>
      </w:r>
    </w:p>
    <w:p w14:paraId="3E74E49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承租方将租赁标的物用于《房屋租赁合同》约定用途以外的其他用途的，须经出租方书面同意，并按有关法律、法规规定办理改变租赁标的物用途的报批手续，出租方可根据实际情况提供必要的协助，但所需费用均由承租方承担。</w:t>
      </w:r>
    </w:p>
    <w:p w14:paraId="56CCC0BB">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（4）出租方与承租方交付、接收租赁房屋时，应当签署一份交接书，交接书应当载明交接日期及租赁房屋之状况；交接书一旦签署，视同承租方已实际取得租赁房屋使用权，则双方的交付、接收义务立即完成。</w:t>
      </w:r>
    </w:p>
    <w:p w14:paraId="55B98C68">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本次租赁房屋的交接，在出租方与承租方之间进行。承租方付清第一期租金、租赁保证金后由出租方在起租日前将租赁房屋交付给承租方。如承租方逾期付款，出租方有权延期交付，租期不顺延。</w:t>
      </w:r>
    </w:p>
    <w:p w14:paraId="479F613F">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租赁房屋的原承租人获得本次租赁权的，按约定付清第一期租金、租赁保证金、交易服务费后并签署交接书，即视作出租方已完成本次租赁权的交付。（原承租人适用）</w:t>
      </w:r>
    </w:p>
    <w:p w14:paraId="3A755CCB">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若承租方为原承租人外的其他人的，承租方应理解出租方在清退原承租人工作方面的复杂性。如果因出租方无法顺利收回租赁房屋原因导致延迟交付的，不视为出租方违约。承租方须无条件同意等待租赁房屋的腾退，直至交付止，等待期间不得要求退回已交的第一期租金、租赁保证金、交易服务费或修改《房屋租赁合同》。实际交付时，出租方与承租方补签《补充协议书》，明确租期起始时间等。租赁期以《补充协议书》上确定的交付次日起算，即以实际交付租赁房屋之次日起算租赁期限，自动后延为租赁期满，在此期间承租方如有损失，全部自行承担。（非原承租人适用）</w:t>
      </w:r>
    </w:p>
    <w:p w14:paraId="722AE98F">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在本合同期限内，乙方根据居住需要，在不影响房屋结构安全和消防安全的原则下，可以对该房屋进行装修、改动，但装修、改动方案必须先经甲方书面认可，且装修、改造、修改及其它改进应报杭州市政府有关部门审批同意方可实施，相关费用由乙方承担。</w:t>
      </w:r>
    </w:p>
    <w:p w14:paraId="3A43C96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（6）租赁期间，防火安全，门前三包，综合治理及安全、保卫等工作，乙方应执行当地有关部门规定并承担全部责任、费用，服从甲方监督检查。</w:t>
      </w:r>
    </w:p>
    <w:p w14:paraId="036D1137">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7）《房屋租赁合同》结束（不论基于何种原因，包括但不限于提前解除、终止或租赁期限届满），甲方有权要求乙方按下述方式交还租赁标的物：乙方自费将租赁标的物内的由其出资添置的可移动设备、用具等物品搬离租赁标的物，租赁标的物交还时的状况应当与乙方在最后一段正常居住时间时的状况一致；对于不可移动的装修装潢以及其他设施设备，如不影响甲方继续出租的，乙方自愿放弃，该部分财产无偿归甲方所有，双方均无需补偿；如影响甲方继续出租的，应甲方要求，乙方应当将房屋恢复原状，并自行承担相关费用，如乙方不按甲方要求恢复原状的，则按违约处理。</w:t>
      </w:r>
    </w:p>
    <w:p w14:paraId="6FFB77D2">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（8）租赁期内，未经出租方书面同意，承租方不得擅自对租赁房屋进行转让、转包、转借、转租、分租（未经出租方书面认可的联营、合伙、合股、合作、承包等均视为转租）。</w:t>
      </w:r>
    </w:p>
    <w:p w14:paraId="56A1CFA2">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9）该租赁房屋内装饰装修、可拆除设备设施等物品非租赁房屋交付内容，承租方在报名时已经现场勘查确认无误，若出租方未能按约定时间清空租赁房屋并交付房屋的，承租方应承诺：如因搬移滞留物品（含装饰装修、家具等）、拆除相关设备设施、在此注册企业等事项导致房屋交付延期的，承租方应无条件同意等待租赁房屋的清空，直至出租方实际交付止，但出租方不承担任何违约责任。房屋租赁期限、租金等问题，不因此发生变动。</w:t>
      </w:r>
    </w:p>
    <w:p w14:paraId="20CB306A">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（10）租赁期限内，未经出租方书面同意及有关部门批准，承租方不得擅自改变房屋用途。</w:t>
      </w:r>
    </w:p>
    <w:p w14:paraId="6532A0A1">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11）租赁期限内，未经出租方书面同意及有关部门批准，承租方不得擅自更改或拆除租赁房屋的主体结构或其任何部分或任何附属设施；不得严重损坏租赁场所内的附属设施、公共区域或公共设施，致使不能正常使用。</w:t>
      </w:r>
    </w:p>
    <w:p w14:paraId="2C056C8D">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（12）出租方与承租方的权利义务详见《房屋租赁合同》（样本）。</w:t>
      </w:r>
    </w:p>
    <w:p w14:paraId="7328D89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bookmarkStart w:id="0" w:name="_GoBack"/>
      <w:bookmarkEnd w:id="0"/>
      <w:r>
        <w:rPr>
          <w:rFonts w:hint="eastAsia" w:asciiTheme="minorEastAsia" w:hAnsiTheme="minorEastAsia" w:eastAsiaTheme="minorEastAsia"/>
          <w:sz w:val="20"/>
          <w:szCs w:val="20"/>
          <w:highlight w:val="none"/>
          <w:lang w:val="en-US" w:eastAsia="zh-CN"/>
        </w:rPr>
        <w:t>4、本项目房屋交付以附件《房屋租赁合同》样本相关内容为准。</w:t>
      </w:r>
    </w:p>
    <w:p w14:paraId="4C215CF1">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5、本项目成交的，承租方须交纳交易服务费，计算标准如下:</w:t>
      </w:r>
    </w:p>
    <w:p w14:paraId="6103956C">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(1)本次交易有二个及以上意向承租方报名且成交的，承租方须缴纳按各年年租金累计额2%计的交易服务费;(2)本次交易只有一位意向承租方报名且成交的，承租方须缴纳各年年租金累计额1%计的交易服务费。</w:t>
      </w:r>
    </w:p>
    <w:p w14:paraId="2709B5B9">
      <w:pPr>
        <w:keepNext w:val="0"/>
        <w:keepLines w:val="0"/>
        <w:pageBreakBefore w:val="0"/>
        <w:kinsoku/>
        <w:wordWrap/>
        <w:overflowPunct/>
        <w:topLinePunct w:val="0"/>
        <w:autoSpaceDE/>
        <w:autoSpaceDN/>
        <w:bidi w:val="0"/>
        <w:adjustRightInd/>
        <w:snapToGrid/>
        <w:spacing w:line="240" w:lineRule="auto"/>
        <w:ind w:firstLine="400" w:firstLineChars="200"/>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、若非</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原因，出现以下任一情况时，</w:t>
      </w:r>
      <w:r>
        <w:rPr>
          <w:rFonts w:hint="eastAsia" w:asciiTheme="minorEastAsia" w:hAnsiTheme="minorEastAsia" w:eastAsiaTheme="minorEastAsia"/>
          <w:sz w:val="20"/>
          <w:szCs w:val="20"/>
          <w:highlight w:val="none"/>
          <w:u w:val="single"/>
        </w:rPr>
        <w:t>意向承租方</w:t>
      </w:r>
      <w:r>
        <w:rPr>
          <w:rFonts w:asciiTheme="minorEastAsia" w:hAnsiTheme="minorEastAsia" w:eastAsiaTheme="minorEastAsia"/>
          <w:sz w:val="20"/>
          <w:szCs w:val="20"/>
          <w:highlight w:val="none"/>
        </w:rPr>
        <w:t>交纳的保证金</w:t>
      </w:r>
      <w:r>
        <w:rPr>
          <w:rFonts w:hint="eastAsia" w:asciiTheme="minorEastAsia" w:hAnsiTheme="minorEastAsia" w:eastAsiaTheme="minorEastAsia"/>
          <w:sz w:val="20"/>
          <w:szCs w:val="20"/>
          <w:highlight w:val="none"/>
        </w:rPr>
        <w:t>不予退还</w:t>
      </w:r>
      <w:r>
        <w:rPr>
          <w:rFonts w:asciiTheme="minorEastAsia" w:hAnsiTheme="minorEastAsia" w:eastAsiaTheme="minorEastAsia"/>
          <w:sz w:val="20"/>
          <w:szCs w:val="20"/>
          <w:highlight w:val="none"/>
        </w:rPr>
        <w:t>，先用于补偿</w:t>
      </w:r>
      <w:r>
        <w:rPr>
          <w:rFonts w:hint="eastAsia" w:asciiTheme="minorEastAsia" w:hAnsiTheme="minorEastAsia" w:eastAsiaTheme="minorEastAsia"/>
          <w:sz w:val="20"/>
          <w:szCs w:val="20"/>
          <w:highlight w:val="none"/>
          <w:u w:val="single"/>
        </w:rPr>
        <w:t>杭交所</w:t>
      </w:r>
      <w:r>
        <w:rPr>
          <w:rFonts w:asciiTheme="minorEastAsia" w:hAnsiTheme="minorEastAsia" w:eastAsiaTheme="minorEastAsia"/>
          <w:sz w:val="20"/>
          <w:szCs w:val="20"/>
          <w:highlight w:val="none"/>
        </w:rPr>
        <w:t>的各项服务费，剩余部分作为对</w:t>
      </w:r>
      <w:r>
        <w:rPr>
          <w:rFonts w:hint="eastAsia" w:asciiTheme="minorEastAsia" w:hAnsiTheme="minorEastAsia" w:eastAsiaTheme="minorEastAsia"/>
          <w:sz w:val="20"/>
          <w:szCs w:val="20"/>
          <w:highlight w:val="none"/>
          <w:u w:val="single"/>
        </w:rPr>
        <w:t>出租方</w:t>
      </w:r>
      <w:r>
        <w:rPr>
          <w:rFonts w:asciiTheme="minorEastAsia" w:hAnsiTheme="minorEastAsia" w:eastAsiaTheme="minorEastAsia"/>
          <w:sz w:val="20"/>
          <w:szCs w:val="20"/>
          <w:highlight w:val="none"/>
        </w:rPr>
        <w:t>的经济补偿金，保证金不足以补偿的，相关方有权按照实际损失继续追诉：</w:t>
      </w:r>
      <w:r>
        <w:rPr>
          <w:rFonts w:hint="eastAsia" w:asciiTheme="minorEastAsia" w:hAnsiTheme="minorEastAsia" w:eastAsiaTheme="minorEastAsia"/>
          <w:sz w:val="20"/>
          <w:szCs w:val="20"/>
          <w:highlight w:val="none"/>
        </w:rPr>
        <w:t xml:space="preserve"> </w:t>
      </w:r>
    </w:p>
    <w:p w14:paraId="6E0B05A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3324D4A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4E9E123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（3）在被确定为承租方后未按约定签署《房屋租赁合同》、《房产租赁安全管理责任书》的或未按约定支付交易服务费、租赁保证金及首期租金的；</w:t>
      </w:r>
    </w:p>
    <w:p w14:paraId="173AE91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316889F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138C627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sz w:val="20"/>
          <w:szCs w:val="20"/>
          <w:highlight w:val="none"/>
        </w:rPr>
      </w:pPr>
    </w:p>
    <w:p w14:paraId="62E160D9">
      <w:pPr>
        <w:keepNext w:val="0"/>
        <w:keepLines w:val="0"/>
        <w:pageBreakBefore w:val="0"/>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2CFAA482">
      <w:pPr>
        <w:keepNext w:val="0"/>
        <w:keepLines w:val="0"/>
        <w:pageBreakBefore w:val="0"/>
        <w:kinsoku/>
        <w:wordWrap/>
        <w:overflowPunct/>
        <w:topLinePunct w:val="0"/>
        <w:autoSpaceDE/>
        <w:autoSpaceDN/>
        <w:bidi w:val="0"/>
        <w:adjustRightInd/>
        <w:snapToGrid/>
        <w:spacing w:line="24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EF76478"/>
    <w:rsid w:val="20AD3B94"/>
    <w:rsid w:val="20B45AE0"/>
    <w:rsid w:val="22902E14"/>
    <w:rsid w:val="27541626"/>
    <w:rsid w:val="27AA290F"/>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9E044AB"/>
    <w:rsid w:val="3B103714"/>
    <w:rsid w:val="3B6738AB"/>
    <w:rsid w:val="3EBA141C"/>
    <w:rsid w:val="3F38F362"/>
    <w:rsid w:val="3F583597"/>
    <w:rsid w:val="41D05755"/>
    <w:rsid w:val="432F2454"/>
    <w:rsid w:val="45962498"/>
    <w:rsid w:val="464E3FDC"/>
    <w:rsid w:val="4BDC56F8"/>
    <w:rsid w:val="5187378F"/>
    <w:rsid w:val="52C25561"/>
    <w:rsid w:val="57E809C6"/>
    <w:rsid w:val="5A272E2C"/>
    <w:rsid w:val="5A356312"/>
    <w:rsid w:val="5A7D1B2E"/>
    <w:rsid w:val="5B7B2FC6"/>
    <w:rsid w:val="627A2493"/>
    <w:rsid w:val="63C12C87"/>
    <w:rsid w:val="64BF4C96"/>
    <w:rsid w:val="659F7A99"/>
    <w:rsid w:val="6B7C4F72"/>
    <w:rsid w:val="6BBC636F"/>
    <w:rsid w:val="6C8A5B48"/>
    <w:rsid w:val="6DCC02D7"/>
    <w:rsid w:val="6FEB24FF"/>
    <w:rsid w:val="714C77AC"/>
    <w:rsid w:val="71D57417"/>
    <w:rsid w:val="779041CA"/>
    <w:rsid w:val="795E558F"/>
    <w:rsid w:val="7EB7A527"/>
    <w:rsid w:val="7FB72E77"/>
    <w:rsid w:val="9993150A"/>
    <w:rsid w:val="9DDBBC40"/>
    <w:rsid w:val="9FE7DE8D"/>
    <w:rsid w:val="BBBD4F4B"/>
    <w:rsid w:val="BBFEA59E"/>
    <w:rsid w:val="BDF7692C"/>
    <w:rsid w:val="CBF6CE9B"/>
    <w:rsid w:val="DAFDA84A"/>
    <w:rsid w:val="EB5F53CC"/>
    <w:rsid w:val="EBED4EFC"/>
    <w:rsid w:val="F8379502"/>
    <w:rsid w:val="F8F690FD"/>
    <w:rsid w:val="F9DFD292"/>
    <w:rsid w:val="FFDF77DF"/>
    <w:rsid w:val="FFE38B54"/>
    <w:rsid w:val="FFF66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2</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2020-04-15T17:14:00Z</dcterms:created>
  <dc:creator>zxy</dc:creator>
  <cp:lastModifiedBy>宣佳妮</cp:lastModifiedBy>
  <dcterms:modified xsi:type="dcterms:W3CDTF">2026-07-27T15:10:08Z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