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F15AF">
      <w:pPr>
        <w:jc w:val="center"/>
        <w:rPr>
          <w:rFonts w:ascii="宋体" w:eastAsia="宋体"/>
          <w:sz w:val="36"/>
        </w:rPr>
      </w:pPr>
      <w:r>
        <w:rPr>
          <w:rFonts w:hint="eastAsia" w:ascii="宋体" w:eastAsia="宋体"/>
          <w:sz w:val="36"/>
        </w:rPr>
        <w:t>杭州市实业投资集团有限公司</w:t>
      </w:r>
    </w:p>
    <w:p w14:paraId="50F298B1">
      <w:pPr>
        <w:jc w:val="center"/>
        <w:rPr>
          <w:rFonts w:hint="eastAsia" w:ascii="宋体" w:eastAsia="宋体"/>
          <w:sz w:val="36"/>
          <w:lang w:eastAsia="zh-CN"/>
        </w:rPr>
      </w:pPr>
      <w:r>
        <w:rPr>
          <w:rFonts w:hint="eastAsia" w:ascii="宋体" w:eastAsia="宋体"/>
          <w:sz w:val="36"/>
        </w:rPr>
        <w:t>房产出租合同</w:t>
      </w:r>
      <w:r>
        <w:rPr>
          <w:rFonts w:hint="eastAsia" w:ascii="宋体" w:eastAsia="宋体"/>
          <w:sz w:val="36"/>
          <w:lang w:eastAsia="zh-CN"/>
        </w:rPr>
        <w:t>（</w:t>
      </w:r>
      <w:r>
        <w:rPr>
          <w:rFonts w:hint="eastAsia" w:ascii="宋体" w:eastAsia="宋体"/>
          <w:sz w:val="36"/>
          <w:lang w:val="en-US" w:eastAsia="zh-CN"/>
        </w:rPr>
        <w:t>样本</w:t>
      </w:r>
      <w:r>
        <w:rPr>
          <w:rFonts w:hint="eastAsia" w:ascii="宋体" w:eastAsia="宋体"/>
          <w:sz w:val="36"/>
          <w:lang w:eastAsia="zh-CN"/>
        </w:rPr>
        <w:t>）</w:t>
      </w:r>
    </w:p>
    <w:p w14:paraId="4000E6DC">
      <w:pPr>
        <w:rPr>
          <w:rFonts w:asciiTheme="minorEastAsia" w:hAnsiTheme="minorEastAsia" w:eastAsiaTheme="minorEastAsia" w:cstheme="minorEastAsia"/>
          <w:sz w:val="21"/>
          <w:szCs w:val="21"/>
        </w:rPr>
      </w:pPr>
    </w:p>
    <w:p w14:paraId="2ADCD1C4">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甲方（出租方）：杭州市实业投资集团有限公司</w:t>
      </w:r>
    </w:p>
    <w:p w14:paraId="5781839D">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乙方（承租方）： </w:t>
      </w:r>
    </w:p>
    <w:p w14:paraId="3191F6FC">
      <w:pPr>
        <w:ind w:firstLine="480" w:firstLineChars="200"/>
        <w:rPr>
          <w:rFonts w:asciiTheme="minorEastAsia" w:hAnsiTheme="minorEastAsia" w:eastAsiaTheme="minorEastAsia" w:cstheme="minorEastAsia"/>
          <w:sz w:val="24"/>
          <w:szCs w:val="24"/>
        </w:rPr>
      </w:pPr>
    </w:p>
    <w:p w14:paraId="2F4FE3A5">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根据《中华人民共和国民法典》、《中华人民共和国城市房地产管理法》及其他有关法律、法规之规定，在平等、自愿、协商一致的基础上，甲乙双方就以下房屋的租赁达成如下协议：</w:t>
      </w:r>
    </w:p>
    <w:p w14:paraId="3E0043CE">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第一条 租赁物 </w:t>
      </w:r>
    </w:p>
    <w:p w14:paraId="6EEF8E9A">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甲方同意将坐落于</w:t>
      </w:r>
      <w:r>
        <w:rPr>
          <w:rFonts w:hint="eastAsia" w:asciiTheme="minorEastAsia" w:hAnsiTheme="minorEastAsia" w:eastAsiaTheme="minorEastAsia" w:cstheme="minorEastAsia"/>
          <w:sz w:val="24"/>
          <w:szCs w:val="24"/>
          <w:lang w:val="en-US" w:eastAsia="zh-CN"/>
        </w:rPr>
        <w:t>杭州市上城区水门南弄3号房屋</w:t>
      </w:r>
      <w:r>
        <w:rPr>
          <w:rFonts w:hint="eastAsia" w:asciiTheme="minorEastAsia" w:hAnsiTheme="minorEastAsia" w:eastAsiaTheme="minorEastAsia" w:cstheme="minorEastAsia"/>
          <w:sz w:val="24"/>
          <w:szCs w:val="24"/>
        </w:rPr>
        <w:t>(以下简称该房屋)出租给乙方，房屋</w:t>
      </w:r>
      <w:r>
        <w:rPr>
          <w:rFonts w:hint="eastAsia" w:asciiTheme="minorEastAsia" w:hAnsiTheme="minorEastAsia" w:eastAsiaTheme="minorEastAsia" w:cstheme="minorEastAsia"/>
          <w:sz w:val="24"/>
          <w:szCs w:val="24"/>
          <w:lang w:val="en-US" w:eastAsia="zh-CN"/>
        </w:rPr>
        <w:t>面积约9265.82</w:t>
      </w:r>
      <w:r>
        <w:rPr>
          <w:rFonts w:hint="eastAsia" w:asciiTheme="minorEastAsia" w:hAnsiTheme="minorEastAsia" w:eastAsiaTheme="minorEastAsia" w:cstheme="minorEastAsia"/>
          <w:sz w:val="24"/>
          <w:szCs w:val="24"/>
        </w:rPr>
        <w:t>平方米</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乙方对甲方所出租的该房屋已充分了解，自愿承租该房屋，并承诺不占用租赁房屋以外的空间。</w:t>
      </w:r>
    </w:p>
    <w:p w14:paraId="40F4FCEF">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 xml:space="preserve">第二条 租赁期限 </w:t>
      </w:r>
    </w:p>
    <w:p w14:paraId="32D793E2">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该房屋租赁期为</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年，自</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日至</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日止。</w:t>
      </w:r>
      <w:r>
        <w:rPr>
          <w:rFonts w:hint="eastAsia" w:asciiTheme="minorEastAsia" w:hAnsiTheme="minorEastAsia" w:eastAsiaTheme="minorEastAsia" w:cstheme="minorEastAsia"/>
          <w:color w:val="auto"/>
          <w:sz w:val="24"/>
          <w:szCs w:val="24"/>
          <w:lang w:val="en-US" w:eastAsia="zh-CN"/>
        </w:rPr>
        <w:t>免租期2个月，免租期计入租期不计租金（免租期租金按首年成交的年租金为基数计算，在第一年租金中扣除）。</w:t>
      </w:r>
    </w:p>
    <w:p w14:paraId="64FBFBD4">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第三条 年租金</w:t>
      </w:r>
      <w:r>
        <w:rPr>
          <w:rFonts w:hint="eastAsia" w:asciiTheme="minorEastAsia" w:hAnsiTheme="minorEastAsia" w:eastAsiaTheme="minorEastAsia" w:cstheme="minorEastAsia"/>
          <w:sz w:val="24"/>
          <w:szCs w:val="24"/>
        </w:rPr>
        <w:t xml:space="preserve"> </w:t>
      </w:r>
    </w:p>
    <w:p w14:paraId="60FDA2F6">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该房屋年租金为人民币     元整（￥       元）。年租金每年在上一年的基础上递增</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%，以此类推至合同履行完毕，本合同</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年的总合计租金为人民币    元整（￥     元）。</w:t>
      </w:r>
    </w:p>
    <w:p w14:paraId="73E018BF">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第四条 履约保证金</w:t>
      </w:r>
      <w:r>
        <w:rPr>
          <w:rFonts w:hint="eastAsia" w:asciiTheme="minorEastAsia" w:hAnsiTheme="minorEastAsia" w:eastAsiaTheme="minorEastAsia" w:cstheme="minorEastAsia"/>
          <w:sz w:val="24"/>
          <w:szCs w:val="24"/>
        </w:rPr>
        <w:t xml:space="preserve"> </w:t>
      </w:r>
    </w:p>
    <w:p w14:paraId="4C1BE676">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租赁房屋的消防安全，双方应签定“消防、保卫、环保安全责任书”，乙方应按“责任书”的约定支付甲方履约保证金。该保证金不是乙方预付的租金、物业管理费，是乙方履行本《房产出租合同》及附件1《消防、保卫、环保安全责任书》约定义务的担保，如乙方违反本《房产出租合同》及《消防、保卫、环保安全责任书》的规定，甲方有权不予返还履约保证金或直接从该保证金中扣除相关费用，在租赁合同期满或终止后，扣除乙方应付款项并且办理工商执照地址注销或变更后十个工作日内，甲方退还该保证金（不计利息）。</w:t>
      </w:r>
    </w:p>
    <w:p w14:paraId="554DBBF5">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第五条 付款方式 </w:t>
      </w:r>
    </w:p>
    <w:p w14:paraId="490A2ADE">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房屋租金乙方每</w:t>
      </w:r>
      <w:r>
        <w:rPr>
          <w:rFonts w:hint="eastAsia" w:asciiTheme="minorEastAsia" w:hAnsiTheme="minorEastAsia" w:eastAsiaTheme="minorEastAsia" w:cstheme="minorEastAsia"/>
          <w:sz w:val="24"/>
          <w:szCs w:val="24"/>
          <w:lang w:val="en-US" w:eastAsia="zh-CN"/>
        </w:rPr>
        <w:t>季度</w:t>
      </w:r>
      <w:r>
        <w:rPr>
          <w:rFonts w:hint="eastAsia" w:asciiTheme="minorEastAsia" w:hAnsiTheme="minorEastAsia" w:eastAsiaTheme="minorEastAsia" w:cstheme="minorEastAsia"/>
          <w:sz w:val="24"/>
          <w:szCs w:val="24"/>
        </w:rPr>
        <w:t>支付一次，先付后用。租金支付方式：</w:t>
      </w:r>
    </w:p>
    <w:p w14:paraId="4F05DF71">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1、首期租金、交易服务费及履约保证金由乙方支付给杭州产权交易所有限责任公司。首</w:t>
      </w:r>
      <w:r>
        <w:rPr>
          <w:rFonts w:hint="eastAsia" w:asciiTheme="minorEastAsia" w:hAnsiTheme="minorEastAsia" w:eastAsiaTheme="minorEastAsia" w:cstheme="minorEastAsia"/>
          <w:sz w:val="24"/>
          <w:szCs w:val="24"/>
          <w:lang w:val="en-US" w:eastAsia="zh-CN"/>
        </w:rPr>
        <w:t>期</w:t>
      </w:r>
      <w:r>
        <w:rPr>
          <w:rFonts w:hint="eastAsia" w:asciiTheme="minorEastAsia" w:hAnsiTheme="minorEastAsia" w:eastAsiaTheme="minorEastAsia" w:cstheme="minorEastAsia"/>
          <w:sz w:val="24"/>
          <w:szCs w:val="24"/>
        </w:rPr>
        <w:t>租金计￥    元、履约保证金（为</w:t>
      </w:r>
      <w:r>
        <w:rPr>
          <w:rFonts w:hint="eastAsia" w:asciiTheme="minorEastAsia" w:hAnsiTheme="minorEastAsia" w:eastAsiaTheme="minorEastAsia" w:cstheme="minorEastAsia"/>
          <w:sz w:val="24"/>
          <w:szCs w:val="24"/>
          <w:lang w:val="en-US" w:eastAsia="zh-CN"/>
        </w:rPr>
        <w:t>首年</w:t>
      </w:r>
      <w:r>
        <w:rPr>
          <w:rFonts w:hint="eastAsia" w:asciiTheme="minorEastAsia" w:hAnsiTheme="minorEastAsia" w:eastAsiaTheme="minorEastAsia" w:cstheme="minorEastAsia"/>
          <w:sz w:val="24"/>
          <w:szCs w:val="24"/>
          <w:highlight w:val="none"/>
        </w:rPr>
        <w:t>租金</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0%）计￥      元和交易服务费（</w:t>
      </w:r>
      <w:r>
        <w:rPr>
          <w:rFonts w:hint="eastAsia" w:asciiTheme="minorEastAsia" w:hAnsiTheme="minorEastAsia" w:eastAsiaTheme="minorEastAsia" w:cstheme="minorEastAsia"/>
          <w:sz w:val="24"/>
          <w:szCs w:val="24"/>
          <w:lang w:val="en-US" w:eastAsia="zh-CN"/>
        </w:rPr>
        <w:t>各年累计租金1.5%计</w:t>
      </w:r>
      <w:r>
        <w:rPr>
          <w:rFonts w:hint="eastAsia" w:asciiTheme="minorEastAsia" w:hAnsiTheme="minorEastAsia" w:eastAsiaTheme="minorEastAsia" w:cstheme="minorEastAsia"/>
          <w:sz w:val="24"/>
          <w:szCs w:val="24"/>
        </w:rPr>
        <w:t>）￥   元，三项合计￥  元，在202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 月  日前全部付清（已付的交易保证金转为交易服务费后多余部分转为履约保证金和相应成交款）。</w:t>
      </w:r>
    </w:p>
    <w:p w14:paraId="394F9A82">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2、若乙方逾期付款，每日按逾期额的千分之一向甲方支付违约金。逾期付款超过20天，视乙方根本违约，甲方有权单方面解除已签订的《房产出租合同》，乙方已付的交易保证金不予返还。</w:t>
      </w:r>
    </w:p>
    <w:p w14:paraId="10DF223A">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3、后续租金由乙方在</w:t>
      </w:r>
      <w:r>
        <w:rPr>
          <w:rFonts w:hint="eastAsia" w:asciiTheme="minorEastAsia" w:hAnsiTheme="minorEastAsia" w:eastAsiaTheme="minorEastAsia" w:cstheme="minorEastAsia"/>
          <w:sz w:val="24"/>
          <w:szCs w:val="24"/>
          <w:highlight w:val="none"/>
        </w:rPr>
        <w:t>每年的</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 月</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 月</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日前直接</w:t>
      </w:r>
      <w:r>
        <w:rPr>
          <w:rFonts w:hint="eastAsia" w:asciiTheme="minorEastAsia" w:hAnsiTheme="minorEastAsia" w:eastAsiaTheme="minorEastAsia" w:cstheme="minorEastAsia"/>
          <w:sz w:val="24"/>
          <w:szCs w:val="24"/>
        </w:rPr>
        <w:t>支付给甲方（详见支付明细表）。若乙方逾期付款，每日按逾期额的千分之一向甲方支付违约金。逾期付款过一个月，视乙方根本违约，甲方有权单方面解除已签订的《房产出租合同》，有权收回出租房屋，乙方的履约保证金不予返还。</w:t>
      </w:r>
    </w:p>
    <w:p w14:paraId="3F417DE4">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第六条 关于房屋租赁期间的有关费用 </w:t>
      </w:r>
    </w:p>
    <w:p w14:paraId="50C681AD">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房屋租赁期间，以下费用由乙方支付，并由乙方承担延期付款的违约责任：水费、电费、通信费、停车费、小区物管费、因改变房屋用途增加的土地年租金及房屋租赁备案证办证费、涉及社会治安综合治理、“门前三包”、消防安全工作责任等费用。</w:t>
      </w:r>
    </w:p>
    <w:p w14:paraId="6510C763">
      <w:pPr>
        <w:kinsoku w:val="0"/>
        <w:topLinePunct/>
        <w:autoSpaceDN w:val="0"/>
        <w:spacing w:line="360" w:lineRule="exact"/>
        <w:ind w:firstLine="482" w:firstLineChars="2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第七条 房屋用途</w:t>
      </w:r>
      <w:r>
        <w:rPr>
          <w:rFonts w:hint="eastAsia" w:asciiTheme="minorEastAsia" w:hAnsiTheme="minorEastAsia" w:eastAsiaTheme="minorEastAsia" w:cstheme="minorEastAsia"/>
          <w:sz w:val="24"/>
          <w:szCs w:val="24"/>
          <w:highlight w:val="none"/>
        </w:rPr>
        <w:t xml:space="preserve"> </w:t>
      </w:r>
    </w:p>
    <w:p w14:paraId="766353E7">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乙方保证所租赁的房屋租赁用途为：</w:t>
      </w:r>
      <w:r>
        <w:rPr>
          <w:rFonts w:hint="eastAsia" w:asciiTheme="minorEastAsia" w:hAnsiTheme="minorEastAsia" w:eastAsiaTheme="minorEastAsia" w:cstheme="minorEastAsia"/>
          <w:sz w:val="24"/>
          <w:szCs w:val="24"/>
          <w:u w:val="single"/>
          <w:lang w:val="en-US" w:eastAsia="zh-CN"/>
        </w:rPr>
        <w:t>符合工业租赁用地性质的创业园和办公。鉴于土地性质的限制，出租方对于租赁房屋是否满足乙方所经营的业态不做任何保证，不得经营属地政府及相关职能部门明令禁止经营的业态和扰民行业，不得生产、经营、储存易燃易爆等物品，其余业态经行政审批后均可经营</w:t>
      </w:r>
      <w:r>
        <w:rPr>
          <w:rFonts w:hint="eastAsia" w:asciiTheme="minorEastAsia" w:hAnsiTheme="minorEastAsia" w:eastAsiaTheme="minorEastAsia" w:cstheme="minorEastAsia"/>
          <w:sz w:val="24"/>
          <w:szCs w:val="24"/>
          <w:u w:val="single"/>
        </w:rPr>
        <w:t>。</w:t>
      </w:r>
      <w:r>
        <w:rPr>
          <w:rFonts w:hint="eastAsia" w:asciiTheme="minorEastAsia" w:hAnsiTheme="minorEastAsia" w:eastAsiaTheme="minorEastAsia" w:cstheme="minorEastAsia"/>
          <w:sz w:val="24"/>
          <w:szCs w:val="24"/>
        </w:rPr>
        <w:t>乙方保证在该租赁房屋在约定的使用范围内，并按国家规定领取合法证照，依法经营，自行负责办理相关手续和支付相关费用，甲方不承担任何费用。</w:t>
      </w:r>
    </w:p>
    <w:p w14:paraId="774D5539">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乙方保证在所租赁的房屋内不产生噪声、废气等有碍于居民居住的事件发生。租赁期内，乙方未事先征得甲方的书面同意，并按规定报经有关部门核准，不得擅自改变房屋的使用性质。</w:t>
      </w:r>
    </w:p>
    <w:p w14:paraId="6AF8102F">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第八条 维修养护责任 </w:t>
      </w:r>
    </w:p>
    <w:p w14:paraId="64560921">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该房屋若出现危房、楼顶漏雨、外墙破损由甲方负责维修，乙方应积极配合，维修期间影响乙方正常经营的，由乙方自行克服，甲方不予任何经济补偿。乙方应爱护房屋内各项设施，并负责对租用的门、窗、内墙、水电管线及房屋承担正常的维修保养，保证房屋的完好。因乙方管理使用不善，造成房屋及其相关设施的损失，由乙方承担修复和赔偿责任。租赁期间，防火安全，门前三包，综合治理及安全、保卫等工作，乙方应与甲方签订责任书，执行管理部门规定并服从甲方监督检查。对检查出来的隐患立即进行整改，否则应承担全部责任。</w:t>
      </w:r>
    </w:p>
    <w:p w14:paraId="300D75E9">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第九条 关于装修和改变房屋结构的约定</w:t>
      </w:r>
      <w:r>
        <w:rPr>
          <w:rFonts w:hint="eastAsia" w:asciiTheme="minorEastAsia" w:hAnsiTheme="minorEastAsia" w:eastAsiaTheme="minorEastAsia" w:cstheme="minorEastAsia"/>
          <w:sz w:val="24"/>
          <w:szCs w:val="24"/>
        </w:rPr>
        <w:t xml:space="preserve"> </w:t>
      </w:r>
    </w:p>
    <w:p w14:paraId="75BF934A">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不得随意损坏租赁物及设施，如需装修或增设对房屋结构造成影响的设备，需事先征得甲方书面同意，费用由乙方自理。乙方装修或拆改变动房屋结构，或损坏房屋和设施，由乙方负责无条件的纠正并修复。乙方装修应根据需要酌情投入，合同期满或乙方退租时，租赁房屋装修的不可移动部分归甲方无偿所有，甲方不予任何补偿，乙方不得随意拆除或破坏，否则乙方应承担赔偿责任，但双方另有书面协议的除外。</w:t>
      </w:r>
    </w:p>
    <w:p w14:paraId="46DED2C4">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第十条 租赁期满或提前终止后房屋归还</w:t>
      </w:r>
    </w:p>
    <w:p w14:paraId="0FECC10F">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租赁期满后，本合同即终止。若甲方继续对外招租，在同等条件下乙方享有优先承租权。但应按照国家相关法律法规办理和行使。</w:t>
      </w:r>
    </w:p>
    <w:p w14:paraId="1B2CAF77">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租赁期届满前或本合同提前终止之日起3日内，乙方必须腾空并做好租赁房屋的清洁卫生后，交还甲方，确保租赁房屋及附属设施处于整洁、完好状态：如乙方未在上述规定期限腾空交房的，视作乙方自动放弃房屋内的设施及物品，甲方有权进行处置，因处置所产生的费用甲方有权从保证金中扣除；如乙方对租赁房屋的清洁卫生工作未获甲方书面认可的，甲方有权自行或者聘请第三方做好租赁房屋的清洁卫生，产生的相关费用甲方有权从保证金中扣除。</w:t>
      </w:r>
    </w:p>
    <w:p w14:paraId="26458FD2">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第十一条 因乙方责任终止合同的约定 </w:t>
      </w:r>
    </w:p>
    <w:p w14:paraId="422A975C">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乙方有下列情形之一的，甲方可终止合同，收回房屋，按乙方退租处理，如造成甲方损失的，由乙方承担赔偿责任：</w:t>
      </w:r>
    </w:p>
    <w:p w14:paraId="16474305">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1．擅自将承租的房屋</w:t>
      </w:r>
      <w:r>
        <w:rPr>
          <w:rFonts w:hint="eastAsia" w:asciiTheme="minorEastAsia" w:hAnsiTheme="minorEastAsia" w:eastAsiaTheme="minorEastAsia" w:cstheme="minorEastAsia"/>
          <w:sz w:val="24"/>
          <w:szCs w:val="24"/>
          <w:lang w:val="en-US" w:eastAsia="zh-CN"/>
        </w:rPr>
        <w:t>整体</w:t>
      </w:r>
      <w:r>
        <w:rPr>
          <w:rFonts w:hint="eastAsia" w:asciiTheme="minorEastAsia" w:hAnsiTheme="minorEastAsia" w:eastAsiaTheme="minorEastAsia" w:cstheme="minorEastAsia"/>
          <w:sz w:val="24"/>
          <w:szCs w:val="24"/>
        </w:rPr>
        <w:t>转租、转借他人或擅自调换使用；</w:t>
      </w:r>
    </w:p>
    <w:p w14:paraId="3F9A0742">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2．擅自拆改承租房屋结构或改变承租房屋用途；</w:t>
      </w:r>
    </w:p>
    <w:p w14:paraId="22DAD7DD">
      <w:pPr>
        <w:numPr>
          <w:ilvl w:val="0"/>
          <w:numId w:val="1"/>
        </w:num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拖欠租金达一个月以上；</w:t>
      </w:r>
    </w:p>
    <w:p w14:paraId="0709EB5B">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4．利用承租房屋进行违法活动或违法经营；</w:t>
      </w:r>
    </w:p>
    <w:p w14:paraId="6815D58E">
      <w:pPr>
        <w:numPr>
          <w:ilvl w:val="0"/>
          <w:numId w:val="2"/>
        </w:num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故意损坏承租房屋；</w:t>
      </w:r>
    </w:p>
    <w:p w14:paraId="3E6EAA2A">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6．将承租房屋用于设立会所。</w:t>
      </w:r>
    </w:p>
    <w:p w14:paraId="30CAB379">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第十二条 提前终止合同 </w:t>
      </w:r>
    </w:p>
    <w:p w14:paraId="24D51E40">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租赁期间，甲、乙中一方确因重大原因需要终止双方租赁关系的，可提前一个月通知对方，经双方协商同意，要求提前终止合同方需支付对方本合同一个月的租金补偿，甲方退还剩余租金，乙方退还租赁房屋。</w:t>
      </w:r>
    </w:p>
    <w:p w14:paraId="5FADFE37">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如因国家建设、不可抗力因素或出现本合同第十一条规定的情形，甲方有权提前终止合同，并提前30天书面通知乙方。如合同期未到期，乙方的经营损失甲方不予补偿。</w:t>
      </w:r>
    </w:p>
    <w:p w14:paraId="546D1E60">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第十三条 违约责任</w:t>
      </w:r>
      <w:r>
        <w:rPr>
          <w:rFonts w:hint="eastAsia" w:asciiTheme="minorEastAsia" w:hAnsiTheme="minorEastAsia" w:eastAsiaTheme="minorEastAsia" w:cstheme="minorEastAsia"/>
          <w:sz w:val="24"/>
          <w:szCs w:val="24"/>
        </w:rPr>
        <w:t xml:space="preserve"> </w:t>
      </w:r>
    </w:p>
    <w:p w14:paraId="2BFA3AB8">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租赁期间双方必须信守合同，任何一方不得违反本合同的规定。</w:t>
      </w:r>
    </w:p>
    <w:p w14:paraId="73ABFB80">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因乙方拖欠租金的，除应及时如数补交外，每逾期一日，应按逾期未付款项的日息千分之一计缴滞纳金。逾期一个月以上，甲方有权收回房屋，终止本协议，并额外要求乙方赔偿甲方逾期同期租金三倍的违约金。</w:t>
      </w:r>
    </w:p>
    <w:p w14:paraId="036C1906">
      <w:pPr>
        <w:ind w:firstLine="48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4"/>
          <w:szCs w:val="24"/>
        </w:rPr>
        <w:t>若乙方未按本协议第十条约定期限或要求办理腾退手续并向甲方交还房屋的，每逾期一日，则乙方应向甲方支付日租金三倍的违约金，直至乙方完成腾退并向甲方交还符合本协议约定和甲方要求的房屋。</w:t>
      </w:r>
    </w:p>
    <w:p w14:paraId="511B1478">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第十四条</w:t>
      </w:r>
      <w:r>
        <w:rPr>
          <w:rFonts w:hint="eastAsia" w:asciiTheme="minorEastAsia" w:hAnsiTheme="minorEastAsia" w:eastAsiaTheme="minorEastAsia" w:cstheme="minorEastAsia"/>
          <w:sz w:val="24"/>
          <w:szCs w:val="24"/>
        </w:rPr>
        <w:t xml:space="preserve"> 乙方应对房屋做好合法经营管理工作，不得</w:t>
      </w:r>
      <w:r>
        <w:rPr>
          <w:rFonts w:hint="eastAsia" w:asciiTheme="minorEastAsia" w:hAnsiTheme="minorEastAsia" w:eastAsiaTheme="minorEastAsia" w:cstheme="minorEastAsia"/>
          <w:sz w:val="24"/>
          <w:szCs w:val="24"/>
          <w:lang w:val="en-US" w:eastAsia="zh-CN"/>
        </w:rPr>
        <w:t>整体</w:t>
      </w:r>
      <w:r>
        <w:rPr>
          <w:rFonts w:hint="eastAsia" w:asciiTheme="minorEastAsia" w:hAnsiTheme="minorEastAsia" w:eastAsiaTheme="minorEastAsia" w:cstheme="minorEastAsia"/>
          <w:sz w:val="24"/>
          <w:szCs w:val="24"/>
        </w:rPr>
        <w:t>转租。乙方要做好防火、防水、防盗偷的检查工作，及时发现各类不安全因素，若发生上述事故由乙方自行负责，若上述事故造成房屋受损的，由乙方负责赔偿或修复。</w:t>
      </w:r>
    </w:p>
    <w:p w14:paraId="59612DF0">
      <w:pPr>
        <w:kinsoku w:val="0"/>
        <w:topLinePunct/>
        <w:autoSpaceDN w:val="0"/>
        <w:spacing w:line="360" w:lineRule="exact"/>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第十五条 双方约定的其他事项：</w:t>
      </w:r>
    </w:p>
    <w:p w14:paraId="6B8EEF63">
      <w:pPr>
        <w:numPr>
          <w:ilvl w:val="0"/>
          <w:numId w:val="3"/>
        </w:numPr>
        <w:kinsoku w:val="0"/>
        <w:topLinePunct/>
        <w:autoSpaceDN w:val="0"/>
        <w:spacing w:line="3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租赁房屋质量、位置、招租面积及水、电容量等以实际为准，租赁房屋的装修部分不以展示现状为准，交付按移交时现状进行，不保证装修、装饰物的完好。</w:t>
      </w:r>
    </w:p>
    <w:p w14:paraId="320046A5">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2、乙方在该租赁物业内开展及经营其业务前，应向政府主管部门取得所有必要的执照、批准或许可证等，自行办理相关的许可证及相关登记文件，承担由此产生的费用。</w:t>
      </w:r>
      <w:r>
        <w:rPr>
          <w:rFonts w:hint="eastAsia" w:asciiTheme="minorEastAsia" w:hAnsiTheme="minorEastAsia" w:eastAsiaTheme="minorEastAsia" w:cstheme="minorEastAsia"/>
          <w:sz w:val="24"/>
          <w:szCs w:val="24"/>
          <w:lang w:val="en-US" w:eastAsia="zh-CN"/>
        </w:rPr>
        <w:t>若需成立属地公司经营的，须为其全资子公司。</w:t>
      </w:r>
      <w:r>
        <w:rPr>
          <w:rFonts w:hint="eastAsia" w:asciiTheme="minorEastAsia" w:hAnsiTheme="minorEastAsia" w:eastAsiaTheme="minorEastAsia" w:cstheme="minorEastAsia"/>
          <w:sz w:val="24"/>
          <w:szCs w:val="24"/>
        </w:rPr>
        <w:t>乙方应确保该执照、批准或许可证在租赁期限内完全有效，及在各方面均符合该执照、批准或许可证的规定。并且，乙方在该租赁物业的经营活动不得违反有关的法律、法规，必须确保其经营的合法性，否则，乙方将承担因其不正当经营所造成的一切责任和后果。</w:t>
      </w:r>
    </w:p>
    <w:p w14:paraId="499140E5">
      <w:pPr>
        <w:kinsoku w:val="0"/>
        <w:topLinePunct/>
        <w:autoSpaceDN w:val="0"/>
        <w:spacing w:line="3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已明确知悉并接受租赁房屋的规划用途、产权情况、性质等限制条件，乙方承诺不因此提出索赔。乙方对其租赁用途所需的相关审批、备案、办证等手续以及法律、法规、规章、政策要求均已清楚了解，对相应风险已知悉并自愿承担。若乙方需临时改变房屋（土地）使用性质，相关审批及手续由乙方自行办理，由此产生的费用由乙方承担。对于相关部门是否批准，甲方不作任何保证、不承担任何责任，乙方承诺不因此提出索赔。</w:t>
      </w:r>
    </w:p>
    <w:p w14:paraId="0875E2F0">
      <w:pPr>
        <w:kinsoku w:val="0"/>
        <w:topLinePunct/>
        <w:autoSpaceDN w:val="0"/>
        <w:spacing w:line="360" w:lineRule="exact"/>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3、乙方承租该房产后，不得进行整体转租，可在承租范围内进行分割招商经营，不得转租再转租。 </w:t>
      </w:r>
    </w:p>
    <w:p w14:paraId="37EA8F02">
      <w:pPr>
        <w:kinsoku w:val="0"/>
        <w:topLinePunct/>
        <w:autoSpaceDN w:val="0"/>
        <w:spacing w:line="360" w:lineRule="exact"/>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、乙方承租该房产后，安全、消防投入改造费用需自行承担，</w:t>
      </w:r>
      <w:r>
        <w:rPr>
          <w:rFonts w:hint="eastAsia" w:asciiTheme="minorEastAsia" w:hAnsiTheme="minorEastAsia" w:eastAsiaTheme="minorEastAsia" w:cstheme="minorEastAsia"/>
          <w:sz w:val="24"/>
          <w:szCs w:val="24"/>
          <w:lang w:val="en-US" w:eastAsia="zh-CN"/>
        </w:rPr>
        <w:t>租赁期满经公开招租，乙方未能继续承租的，以上投入的设施物品等均无偿</w:t>
      </w:r>
      <w:r>
        <w:rPr>
          <w:rFonts w:hint="eastAsia" w:asciiTheme="minorEastAsia" w:hAnsiTheme="minorEastAsia" w:eastAsiaTheme="minorEastAsia" w:cstheme="minorEastAsia"/>
          <w:sz w:val="24"/>
          <w:szCs w:val="24"/>
        </w:rPr>
        <w:t>归甲方所有，乙方不得擅自拆除、搬离或处置</w:t>
      </w:r>
      <w:r>
        <w:rPr>
          <w:rFonts w:hint="eastAsia" w:asciiTheme="minorEastAsia" w:hAnsiTheme="minorEastAsia" w:eastAsiaTheme="minorEastAsia" w:cstheme="minorEastAsia"/>
          <w:sz w:val="24"/>
          <w:szCs w:val="24"/>
          <w:lang w:eastAsia="zh-CN"/>
        </w:rPr>
        <w:t>。</w:t>
      </w:r>
    </w:p>
    <w:p w14:paraId="3ECEF7D5">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房屋总价按以下比例分配物业租金和物业管理费：总成交价的82%由出租人甲方收取并向乙方出具租赁发票；总成交价的18%由杭实物产发展（杭州）有限公司收取并向乙方出具物业管理发票。</w:t>
      </w:r>
    </w:p>
    <w:p w14:paraId="21E111C4">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乙方在装修时投入资金改造形成的设施设备等财产所有权属于甲方，乙方在合同期内有使用权，合同期满或乙方退租时，该投入形成的归甲方无偿所有，甲方不予任何补偿，乙方不得随意拆除或破坏，否则乙方应承担赔偿责任。</w:t>
      </w:r>
    </w:p>
    <w:p w14:paraId="5F36BF25">
      <w:pPr>
        <w:kinsoku w:val="0"/>
        <w:topLinePunct/>
        <w:autoSpaceDN w:val="0"/>
        <w:spacing w:line="3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、乙方如违反《物业管理合同》，甲方有权终止《房产出租合同》。</w:t>
      </w:r>
    </w:p>
    <w:p w14:paraId="7087B4C6">
      <w:pPr>
        <w:kinsoku w:val="0"/>
        <w:topLinePunct/>
        <w:autoSpaceDN w:val="0"/>
        <w:spacing w:line="360" w:lineRule="exac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8、如乙方在租赁期限内改变用途，项目不符合用地性质的，需向杭州市规划和自然资源局支付增加的土地年收益金由乙方承担。</w:t>
      </w:r>
    </w:p>
    <w:p w14:paraId="0719AD95">
      <w:pPr>
        <w:kinsoku w:val="0"/>
        <w:topLinePunct/>
        <w:autoSpaceDN w:val="0"/>
        <w:spacing w:line="36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9、在租赁期间，无证房产部分（约736.55平方米）因政策原因或其他不可抗力因素被相关部门拆除，租金将不会因此进行调整，乙方需自行承担由此产生的风险和不便。</w:t>
      </w:r>
    </w:p>
    <w:p w14:paraId="41E2A679">
      <w:pPr>
        <w:kinsoku w:val="0"/>
        <w:topLinePunct/>
        <w:autoSpaceDN w:val="0"/>
        <w:spacing w:line="36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b w:val="0"/>
          <w:bCs w:val="0"/>
          <w:sz w:val="24"/>
          <w:szCs w:val="24"/>
          <w:highlight w:val="none"/>
          <w:lang w:val="en-US" w:eastAsia="zh-CN"/>
        </w:rPr>
        <w:t>该房屋作为园区已运营多年，截至2026年7月6日目前仍有54户实际商户处于事实租赁状态</w:t>
      </w:r>
      <w:r>
        <w:rPr>
          <w:rFonts w:hint="eastAsia" w:asciiTheme="minorEastAsia" w:hAnsiTheme="minorEastAsia" w:eastAsiaTheme="minorEastAsia" w:cstheme="minorEastAsia"/>
          <w:sz w:val="24"/>
          <w:szCs w:val="24"/>
          <w:highlight w:val="none"/>
          <w:lang w:val="en-US" w:eastAsia="zh-CN"/>
        </w:rPr>
        <w:t>。为保障辖区经济社会健康稳定发展，乙方须履行以下义务：</w:t>
      </w:r>
    </w:p>
    <w:p w14:paraId="79A82A63">
      <w:pPr>
        <w:kinsoku w:val="0"/>
        <w:topLinePunct/>
        <w:autoSpaceDN w:val="0"/>
        <w:spacing w:line="36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承继现有租赁关系：乙方承租后须无条件、完整承继现有54户实际经营户与原承租人已签署《租赁合同》的全部权利义务（包括但不限于租赁期限、租金金额、物业管理费金额、支付方式、押金、装修约定、续租条件、违约责任等），上述内容一律维持不变，乙方不得单方面修改、终止</w:t>
      </w:r>
      <w:bookmarkStart w:id="0" w:name="_GoBack"/>
      <w:bookmarkEnd w:id="0"/>
      <w:r>
        <w:rPr>
          <w:rFonts w:hint="eastAsia" w:asciiTheme="minorEastAsia" w:hAnsiTheme="minorEastAsia" w:eastAsiaTheme="minorEastAsia" w:cstheme="minorEastAsia"/>
          <w:sz w:val="24"/>
          <w:szCs w:val="24"/>
          <w:highlight w:val="none"/>
          <w:lang w:val="en-US" w:eastAsia="zh-CN"/>
        </w:rPr>
        <w:t>合同或要求重新签约。乙方承租后自动取代原承租人成为该54份合同的出租方</w:t>
      </w:r>
      <w:r>
        <w:rPr>
          <w:rFonts w:hint="eastAsia" w:asciiTheme="minorEastAsia" w:hAnsiTheme="minorEastAsia" w:eastAsiaTheme="minorEastAsia" w:cstheme="minorEastAsia"/>
          <w:sz w:val="24"/>
          <w:szCs w:val="24"/>
          <w:highlight w:val="yellow"/>
          <w:lang w:val="en-US" w:eastAsia="zh-CN"/>
        </w:rPr>
        <w:t>（甲方）</w:t>
      </w:r>
      <w:r>
        <w:rPr>
          <w:rFonts w:hint="eastAsia" w:asciiTheme="minorEastAsia" w:hAnsiTheme="minorEastAsia" w:eastAsiaTheme="minorEastAsia" w:cstheme="minorEastAsia"/>
          <w:sz w:val="24"/>
          <w:szCs w:val="24"/>
          <w:highlight w:val="none"/>
          <w:lang w:val="en-US" w:eastAsia="zh-CN"/>
        </w:rPr>
        <w:t>，承担出租方全部法律责任（提供可安全使用的场地、履行维修义务等）。</w:t>
      </w:r>
    </w:p>
    <w:p w14:paraId="1FDC8B46">
      <w:pPr>
        <w:kinsoku w:val="0"/>
        <w:topLinePunct/>
        <w:autoSpaceDN w:val="0"/>
        <w:spacing w:line="36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对现有商户的保护：在现有54户商户原租赁合同有效期内，乙方不得以租赁主体变更为由，要求商户提前搬离、更改租约或增加不合理附加条件。仅当商户自动书面提出退出（包括合同期满不续租、自愿提前解除合同并办理交接）后，乙方可收回该房屋，按市场价格自行招租。</w:t>
      </w:r>
    </w:p>
    <w:p w14:paraId="07E99EA4">
      <w:pPr>
        <w:kinsoku w:val="0"/>
        <w:topLinePunct/>
        <w:autoSpaceDN w:val="0"/>
        <w:spacing w:line="360" w:lineRule="exact"/>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其他管理权限：乙方可对现有空置房产及已退出的空置房产进行重新定位、装修及招商，租金及条件由乙方自行确定。乙方负责整个园区的管理、安保、保洁、设施维护等，但不得因公共管理行为影响现有54户商户正常经营。</w:t>
      </w:r>
    </w:p>
    <w:p w14:paraId="328A95DE">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第十六条</w:t>
      </w:r>
      <w:r>
        <w:rPr>
          <w:rFonts w:hint="eastAsia" w:asciiTheme="minorEastAsia" w:hAnsiTheme="minorEastAsia" w:eastAsiaTheme="minorEastAsia" w:cstheme="minorEastAsia"/>
          <w:sz w:val="24"/>
          <w:szCs w:val="24"/>
        </w:rPr>
        <w:t xml:space="preserve"> 本合同未尽事项，由甲、乙双方另行议定，并签订补充协议，因不可抗力原因导致该房屋毁损和造成损失的，双方互不承担责任。补充协议与本合同不一致的，以补充协议为准。</w:t>
      </w:r>
    </w:p>
    <w:p w14:paraId="44C9E48F">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 xml:space="preserve">第十七条 </w:t>
      </w:r>
      <w:r>
        <w:rPr>
          <w:rFonts w:hint="eastAsia" w:asciiTheme="minorEastAsia" w:hAnsiTheme="minorEastAsia" w:eastAsiaTheme="minorEastAsia" w:cstheme="minorEastAsia"/>
          <w:sz w:val="24"/>
          <w:szCs w:val="24"/>
        </w:rPr>
        <w:t>本合同自签订之日起生效。如果在履行中发生争议，由甲、乙双方协商解决，协商不成时，可向房屋所在地人民法院起诉。</w:t>
      </w:r>
    </w:p>
    <w:p w14:paraId="5133D77B">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第十八条</w:t>
      </w:r>
      <w:r>
        <w:rPr>
          <w:rFonts w:hint="eastAsia" w:asciiTheme="minorEastAsia" w:hAnsiTheme="minorEastAsia" w:eastAsiaTheme="minorEastAsia" w:cstheme="minorEastAsia"/>
          <w:sz w:val="24"/>
          <w:szCs w:val="24"/>
        </w:rPr>
        <w:t xml:space="preserve"> 本合同一式六份，甲方执二份，乙方执一份，其余送有关部门，均具有同等效力。</w:t>
      </w:r>
    </w:p>
    <w:p w14:paraId="7DEA8DEE">
      <w:pPr>
        <w:kinsoku w:val="0"/>
        <w:topLinePunct/>
        <w:autoSpaceDN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第十九条</w:t>
      </w:r>
      <w:r>
        <w:rPr>
          <w:rFonts w:hint="eastAsia" w:asciiTheme="minorEastAsia" w:hAnsiTheme="minorEastAsia" w:eastAsiaTheme="minorEastAsia" w:cstheme="minorEastAsia"/>
          <w:sz w:val="24"/>
          <w:szCs w:val="24"/>
        </w:rPr>
        <w:t xml:space="preserve"> 本合同经甲乙双方签字盖章后生效。</w:t>
      </w:r>
    </w:p>
    <w:p w14:paraId="5C782744">
      <w:pPr>
        <w:kinsoku/>
        <w:topLinePunct w:val="0"/>
        <w:autoSpaceDN/>
        <w:spacing w:line="24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5D4D1F11">
      <w:pPr>
        <w:kinsoku w:val="0"/>
        <w:topLinePunct/>
        <w:autoSpaceDN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p>
    <w:p w14:paraId="139A13CC">
      <w:pPr>
        <w:rPr>
          <w:rFonts w:hint="eastAsia" w:asciiTheme="minorEastAsia" w:hAnsiTheme="minorEastAsia" w:eastAsiaTheme="minorEastAsia" w:cstheme="minorEastAsia"/>
          <w:sz w:val="24"/>
          <w:szCs w:val="24"/>
        </w:rPr>
      </w:pPr>
    </w:p>
    <w:p w14:paraId="07C990E8">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 方：杭州市实业投资集团有限公司    </w:t>
      </w:r>
    </w:p>
    <w:p w14:paraId="670C32A4">
      <w:pPr>
        <w:rPr>
          <w:rFonts w:hint="eastAsia" w:asciiTheme="minorEastAsia" w:hAnsiTheme="minorEastAsia" w:eastAsiaTheme="minorEastAsia" w:cstheme="minorEastAsia"/>
          <w:sz w:val="24"/>
          <w:szCs w:val="24"/>
        </w:rPr>
      </w:pPr>
    </w:p>
    <w:p w14:paraId="476DE908">
      <w:pPr>
        <w:rPr>
          <w:rFonts w:hint="eastAsia" w:asciiTheme="minorEastAsia" w:hAnsiTheme="minorEastAsia" w:eastAsiaTheme="minorEastAsia" w:cstheme="minorEastAsia"/>
          <w:sz w:val="24"/>
          <w:szCs w:val="24"/>
        </w:rPr>
      </w:pPr>
    </w:p>
    <w:p w14:paraId="08375280">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代表人：                                                  </w:t>
      </w:r>
    </w:p>
    <w:p w14:paraId="13B3FCBD">
      <w:pPr>
        <w:rPr>
          <w:rFonts w:hint="eastAsia" w:asciiTheme="minorEastAsia" w:hAnsiTheme="minorEastAsia" w:eastAsiaTheme="minorEastAsia" w:cstheme="minorEastAsia"/>
          <w:sz w:val="24"/>
          <w:szCs w:val="24"/>
        </w:rPr>
      </w:pPr>
    </w:p>
    <w:p w14:paraId="532A7DB4">
      <w:pPr>
        <w:rPr>
          <w:rFonts w:hint="eastAsia" w:asciiTheme="minorEastAsia" w:hAnsiTheme="minorEastAsia" w:eastAsiaTheme="minorEastAsia" w:cstheme="minorEastAsia"/>
          <w:sz w:val="24"/>
          <w:szCs w:val="24"/>
        </w:rPr>
      </w:pPr>
    </w:p>
    <w:p w14:paraId="7366E1F7">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联系电话：88375815</w:t>
      </w:r>
    </w:p>
    <w:p w14:paraId="182E6210">
      <w:pPr>
        <w:rPr>
          <w:rFonts w:asciiTheme="minorEastAsia" w:hAnsiTheme="minorEastAsia" w:eastAsiaTheme="minorEastAsia" w:cstheme="minorEastAsia"/>
          <w:sz w:val="24"/>
          <w:szCs w:val="24"/>
        </w:rPr>
      </w:pPr>
    </w:p>
    <w:p w14:paraId="7563E9B7">
      <w:pPr>
        <w:rPr>
          <w:rFonts w:hint="eastAsia" w:asciiTheme="minorEastAsia" w:hAnsiTheme="minorEastAsia" w:eastAsiaTheme="minorEastAsia" w:cstheme="minorEastAsia"/>
          <w:sz w:val="24"/>
          <w:szCs w:val="24"/>
        </w:rPr>
      </w:pPr>
    </w:p>
    <w:p w14:paraId="49D76400">
      <w:pPr>
        <w:rPr>
          <w:rFonts w:hint="eastAsia" w:asciiTheme="minorEastAsia" w:hAnsiTheme="minorEastAsia" w:eastAsiaTheme="minorEastAsia" w:cstheme="minorEastAsia"/>
          <w:sz w:val="24"/>
          <w:szCs w:val="24"/>
        </w:rPr>
      </w:pPr>
    </w:p>
    <w:p w14:paraId="767BDC5C">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 方：</w:t>
      </w:r>
    </w:p>
    <w:p w14:paraId="61162AFD">
      <w:pPr>
        <w:rPr>
          <w:rFonts w:hint="eastAsia" w:asciiTheme="minorEastAsia" w:hAnsiTheme="minorEastAsia" w:eastAsiaTheme="minorEastAsia" w:cstheme="minorEastAsia"/>
          <w:sz w:val="24"/>
          <w:szCs w:val="24"/>
        </w:rPr>
      </w:pPr>
    </w:p>
    <w:p w14:paraId="05686445">
      <w:pPr>
        <w:rPr>
          <w:rFonts w:hint="eastAsia" w:asciiTheme="minorEastAsia" w:hAnsiTheme="minorEastAsia" w:eastAsiaTheme="minorEastAsia" w:cstheme="minorEastAsia"/>
          <w:sz w:val="24"/>
          <w:szCs w:val="24"/>
        </w:rPr>
      </w:pPr>
    </w:p>
    <w:p w14:paraId="4FF13994">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代表人：      </w:t>
      </w:r>
    </w:p>
    <w:p w14:paraId="0104D00C">
      <w:pPr>
        <w:rPr>
          <w:rFonts w:hint="eastAsia" w:asciiTheme="minorEastAsia" w:hAnsiTheme="minorEastAsia" w:eastAsiaTheme="minorEastAsia" w:cstheme="minorEastAsia"/>
          <w:sz w:val="24"/>
          <w:szCs w:val="24"/>
        </w:rPr>
      </w:pPr>
    </w:p>
    <w:p w14:paraId="20BF9429">
      <w:pPr>
        <w:rPr>
          <w:rFonts w:hint="eastAsia" w:asciiTheme="minorEastAsia" w:hAnsiTheme="minorEastAsia" w:eastAsiaTheme="minorEastAsia" w:cstheme="minorEastAsia"/>
          <w:sz w:val="24"/>
          <w:szCs w:val="24"/>
        </w:rPr>
      </w:pPr>
    </w:p>
    <w:p w14:paraId="609230B7">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联系电话：                            </w:t>
      </w:r>
    </w:p>
    <w:p w14:paraId="417B12A8">
      <w:pPr>
        <w:rPr>
          <w:rFonts w:asciiTheme="minorEastAsia" w:hAnsiTheme="minorEastAsia" w:eastAsiaTheme="minorEastAsia" w:cstheme="minorEastAsia"/>
          <w:sz w:val="24"/>
          <w:szCs w:val="24"/>
        </w:rPr>
      </w:pPr>
    </w:p>
    <w:p w14:paraId="4CC04435">
      <w:pPr>
        <w:rPr>
          <w:rFonts w:asciiTheme="minorEastAsia" w:hAnsiTheme="minorEastAsia" w:eastAsiaTheme="minorEastAsia" w:cstheme="minorEastAsia"/>
          <w:sz w:val="24"/>
          <w:szCs w:val="24"/>
        </w:rPr>
      </w:pPr>
    </w:p>
    <w:p w14:paraId="3FE945E6">
      <w:pPr>
        <w:ind w:firstLine="960" w:firstLineChars="4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 月  日</w:t>
      </w:r>
    </w:p>
    <w:p w14:paraId="74F9E357">
      <w:pPr>
        <w:kinsoku/>
        <w:topLinePunct w:val="0"/>
        <w:autoSpaceDN/>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20BDE2C0">
      <w:pPr>
        <w:kinsoku w:val="0"/>
        <w:topLinePunct/>
        <w:autoSpaceDN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附件1：《消防、安全、环保安全责任书》</w:t>
      </w:r>
    </w:p>
    <w:p w14:paraId="06A7DA04">
      <w:pPr>
        <w:kinsoku w:val="0"/>
        <w:topLinePunct/>
        <w:autoSpaceDN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附件2：《租金支付明细表》</w:t>
      </w:r>
    </w:p>
    <w:p w14:paraId="4FF69608">
      <w:pPr>
        <w:jc w:val="center"/>
        <w:rPr>
          <w:rFonts w:ascii="宋体" w:eastAsia="宋体"/>
          <w:b/>
          <w:bCs/>
          <w:sz w:val="36"/>
          <w:szCs w:val="36"/>
        </w:rPr>
      </w:pPr>
      <w:r>
        <w:rPr>
          <w:rFonts w:hint="eastAsia" w:ascii="宋体" w:eastAsia="宋体"/>
          <w:b/>
          <w:bCs/>
          <w:sz w:val="36"/>
          <w:szCs w:val="36"/>
        </w:rPr>
        <w:t>租金支付明细表</w:t>
      </w:r>
    </w:p>
    <w:p w14:paraId="301B6F57">
      <w:pPr>
        <w:ind w:firstLine="560" w:firstLineChars="200"/>
        <w:rPr>
          <w:rFonts w:ascii="宋体" w:eastAsia="宋体"/>
          <w:sz w:val="28"/>
          <w:szCs w:val="28"/>
        </w:rPr>
      </w:pPr>
      <w:r>
        <w:rPr>
          <w:rFonts w:hint="eastAsia" w:ascii="宋体" w:eastAsia="宋体"/>
          <w:sz w:val="28"/>
          <w:szCs w:val="28"/>
        </w:rPr>
        <w:t>承租方须按以下日期、金额支付租金给杭州市实业投资集团有限公司并由该公司出具租赁发票。</w:t>
      </w:r>
    </w:p>
    <w:p w14:paraId="6105FA61">
      <w:pPr>
        <w:ind w:firstLine="560"/>
        <w:rPr>
          <w:rFonts w:ascii="宋体" w:eastAsia="宋体"/>
          <w:sz w:val="28"/>
          <w:szCs w:val="28"/>
        </w:rPr>
      </w:pPr>
      <w:r>
        <w:rPr>
          <w:rFonts w:hint="eastAsia" w:ascii="宋体" w:eastAsia="宋体"/>
          <w:sz w:val="28"/>
          <w:szCs w:val="28"/>
          <w:lang w:val="en-US" w:eastAsia="zh-CN"/>
        </w:rPr>
        <w:t>账</w:t>
      </w:r>
      <w:r>
        <w:rPr>
          <w:rFonts w:hint="eastAsia" w:ascii="宋体" w:eastAsia="宋体"/>
          <w:sz w:val="28"/>
          <w:szCs w:val="28"/>
        </w:rPr>
        <w:t>号名称：杭州市实业投资集团有限公司</w:t>
      </w:r>
    </w:p>
    <w:p w14:paraId="5752CC72">
      <w:pPr>
        <w:ind w:firstLine="560" w:firstLineChars="200"/>
        <w:rPr>
          <w:rFonts w:ascii="宋体" w:eastAsia="宋体"/>
          <w:sz w:val="28"/>
          <w:szCs w:val="28"/>
        </w:rPr>
      </w:pPr>
      <w:r>
        <w:rPr>
          <w:rFonts w:hint="eastAsia" w:ascii="宋体" w:eastAsia="宋体"/>
          <w:sz w:val="28"/>
          <w:szCs w:val="28"/>
          <w:lang w:val="en-US" w:eastAsia="zh-CN"/>
        </w:rPr>
        <w:t>账</w:t>
      </w:r>
      <w:r>
        <w:rPr>
          <w:rFonts w:hint="eastAsia" w:ascii="宋体" w:eastAsia="宋体"/>
          <w:sz w:val="28"/>
          <w:szCs w:val="28"/>
        </w:rPr>
        <w:t xml:space="preserve">    号：1202020109903316808</w:t>
      </w:r>
    </w:p>
    <w:p w14:paraId="320C9304">
      <w:pPr>
        <w:ind w:firstLine="560" w:firstLineChars="200"/>
        <w:rPr>
          <w:rFonts w:ascii="宋体" w:eastAsia="宋体"/>
          <w:sz w:val="28"/>
          <w:szCs w:val="28"/>
        </w:rPr>
      </w:pPr>
      <w:r>
        <w:rPr>
          <w:rFonts w:hint="eastAsia" w:ascii="宋体" w:eastAsia="宋体"/>
          <w:sz w:val="28"/>
          <w:szCs w:val="28"/>
        </w:rPr>
        <w:t xml:space="preserve">开户银行：工行羊坝头支行 </w:t>
      </w:r>
    </w:p>
    <w:tbl>
      <w:tblPr>
        <w:tblStyle w:val="5"/>
        <w:tblW w:w="8835"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3014"/>
        <w:gridCol w:w="2888"/>
        <w:gridCol w:w="2057"/>
      </w:tblGrid>
      <w:tr w14:paraId="07CC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3FF06F1F">
            <w:pPr>
              <w:spacing w:line="400" w:lineRule="exact"/>
              <w:jc w:val="center"/>
              <w:rPr>
                <w:rFonts w:ascii="宋体" w:eastAsia="宋体"/>
                <w:sz w:val="28"/>
                <w:szCs w:val="28"/>
              </w:rPr>
            </w:pPr>
            <w:r>
              <w:rPr>
                <w:rFonts w:hint="eastAsia" w:ascii="宋体" w:eastAsia="宋体"/>
                <w:sz w:val="28"/>
                <w:szCs w:val="28"/>
              </w:rPr>
              <w:t>付款</w:t>
            </w:r>
          </w:p>
          <w:p w14:paraId="76C21959">
            <w:pPr>
              <w:spacing w:line="400" w:lineRule="exact"/>
              <w:jc w:val="center"/>
              <w:rPr>
                <w:rFonts w:ascii="宋体" w:eastAsia="宋体"/>
                <w:sz w:val="28"/>
                <w:szCs w:val="28"/>
              </w:rPr>
            </w:pPr>
            <w:r>
              <w:rPr>
                <w:rFonts w:hint="eastAsia" w:ascii="宋体" w:eastAsia="宋体"/>
                <w:sz w:val="28"/>
                <w:szCs w:val="28"/>
              </w:rPr>
              <w:t>期号</w:t>
            </w:r>
          </w:p>
        </w:tc>
        <w:tc>
          <w:tcPr>
            <w:tcW w:w="3014" w:type="dxa"/>
            <w:vAlign w:val="center"/>
          </w:tcPr>
          <w:p w14:paraId="3E0001F3">
            <w:pPr>
              <w:spacing w:line="400" w:lineRule="exact"/>
              <w:jc w:val="center"/>
              <w:rPr>
                <w:rFonts w:ascii="宋体" w:eastAsia="宋体"/>
                <w:sz w:val="28"/>
                <w:szCs w:val="28"/>
              </w:rPr>
            </w:pPr>
            <w:r>
              <w:rPr>
                <w:rFonts w:hint="eastAsia" w:ascii="宋体" w:eastAsia="宋体"/>
                <w:sz w:val="28"/>
                <w:szCs w:val="28"/>
              </w:rPr>
              <w:t>付款日期</w:t>
            </w:r>
          </w:p>
        </w:tc>
        <w:tc>
          <w:tcPr>
            <w:tcW w:w="2888" w:type="dxa"/>
            <w:vAlign w:val="center"/>
          </w:tcPr>
          <w:p w14:paraId="3A76DF24">
            <w:pPr>
              <w:spacing w:line="400" w:lineRule="exact"/>
              <w:jc w:val="center"/>
              <w:rPr>
                <w:rFonts w:ascii="宋体" w:eastAsia="宋体"/>
                <w:sz w:val="28"/>
                <w:szCs w:val="28"/>
              </w:rPr>
            </w:pPr>
            <w:r>
              <w:rPr>
                <w:rFonts w:hint="eastAsia" w:ascii="宋体" w:eastAsia="宋体"/>
                <w:sz w:val="28"/>
                <w:szCs w:val="28"/>
              </w:rPr>
              <w:t>租金时段</w:t>
            </w:r>
          </w:p>
        </w:tc>
        <w:tc>
          <w:tcPr>
            <w:tcW w:w="2057" w:type="dxa"/>
            <w:vAlign w:val="center"/>
          </w:tcPr>
          <w:p w14:paraId="5C7C3DDA">
            <w:pPr>
              <w:spacing w:line="400" w:lineRule="exact"/>
              <w:jc w:val="center"/>
              <w:rPr>
                <w:rFonts w:ascii="宋体" w:eastAsia="宋体"/>
                <w:sz w:val="28"/>
                <w:szCs w:val="28"/>
              </w:rPr>
            </w:pPr>
            <w:r>
              <w:rPr>
                <w:rFonts w:hint="eastAsia" w:ascii="宋体" w:eastAsia="宋体"/>
                <w:sz w:val="28"/>
                <w:szCs w:val="28"/>
              </w:rPr>
              <w:t>支付金额（元）</w:t>
            </w:r>
          </w:p>
        </w:tc>
      </w:tr>
      <w:tr w14:paraId="2802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6CF82D9F">
            <w:pPr>
              <w:spacing w:line="400" w:lineRule="exact"/>
              <w:jc w:val="center"/>
              <w:rPr>
                <w:rFonts w:ascii="宋体" w:eastAsia="宋体"/>
                <w:sz w:val="28"/>
                <w:szCs w:val="28"/>
              </w:rPr>
            </w:pPr>
            <w:r>
              <w:rPr>
                <w:rFonts w:hint="eastAsia" w:ascii="宋体" w:eastAsia="宋体"/>
                <w:sz w:val="28"/>
                <w:szCs w:val="28"/>
              </w:rPr>
              <w:t>1</w:t>
            </w:r>
          </w:p>
        </w:tc>
        <w:tc>
          <w:tcPr>
            <w:tcW w:w="3014" w:type="dxa"/>
            <w:vAlign w:val="center"/>
          </w:tcPr>
          <w:p w14:paraId="219741FD">
            <w:pPr>
              <w:spacing w:line="400" w:lineRule="exact"/>
              <w:jc w:val="center"/>
              <w:rPr>
                <w:rFonts w:ascii="宋体" w:eastAsia="宋体"/>
                <w:sz w:val="21"/>
                <w:szCs w:val="21"/>
              </w:rPr>
            </w:pPr>
            <w:r>
              <w:rPr>
                <w:rFonts w:hint="eastAsia" w:ascii="宋体" w:eastAsia="宋体"/>
                <w:sz w:val="28"/>
                <w:szCs w:val="28"/>
              </w:rPr>
              <w:t xml:space="preserve"> </w:t>
            </w:r>
          </w:p>
        </w:tc>
        <w:tc>
          <w:tcPr>
            <w:tcW w:w="2888" w:type="dxa"/>
            <w:vAlign w:val="center"/>
          </w:tcPr>
          <w:p w14:paraId="11FEB499">
            <w:pPr>
              <w:spacing w:line="400" w:lineRule="exact"/>
              <w:jc w:val="center"/>
              <w:rPr>
                <w:rFonts w:ascii="宋体" w:eastAsia="宋体"/>
                <w:sz w:val="28"/>
                <w:szCs w:val="28"/>
              </w:rPr>
            </w:pPr>
            <w:r>
              <w:rPr>
                <w:rFonts w:hint="eastAsia" w:ascii="宋体" w:eastAsia="宋体"/>
                <w:sz w:val="28"/>
                <w:szCs w:val="28"/>
              </w:rPr>
              <w:t>履约保证金</w:t>
            </w:r>
          </w:p>
        </w:tc>
        <w:tc>
          <w:tcPr>
            <w:tcW w:w="2057" w:type="dxa"/>
            <w:vAlign w:val="center"/>
          </w:tcPr>
          <w:p w14:paraId="4E37167A">
            <w:pPr>
              <w:spacing w:line="400" w:lineRule="exact"/>
              <w:jc w:val="center"/>
              <w:rPr>
                <w:rFonts w:ascii="宋体" w:eastAsia="宋体"/>
                <w:sz w:val="28"/>
                <w:szCs w:val="28"/>
              </w:rPr>
            </w:pPr>
          </w:p>
        </w:tc>
      </w:tr>
      <w:tr w14:paraId="372F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5ECCA3F7">
            <w:pPr>
              <w:spacing w:line="400" w:lineRule="exact"/>
              <w:jc w:val="center"/>
              <w:rPr>
                <w:rFonts w:ascii="宋体" w:eastAsia="宋体"/>
                <w:sz w:val="28"/>
                <w:szCs w:val="28"/>
              </w:rPr>
            </w:pPr>
            <w:r>
              <w:rPr>
                <w:rFonts w:hint="eastAsia" w:ascii="宋体" w:eastAsia="宋体"/>
                <w:sz w:val="28"/>
                <w:szCs w:val="28"/>
              </w:rPr>
              <w:t>2</w:t>
            </w:r>
          </w:p>
        </w:tc>
        <w:tc>
          <w:tcPr>
            <w:tcW w:w="3014" w:type="dxa"/>
            <w:vAlign w:val="center"/>
          </w:tcPr>
          <w:p w14:paraId="41B3C7B5">
            <w:pPr>
              <w:spacing w:line="400" w:lineRule="exact"/>
              <w:jc w:val="center"/>
              <w:rPr>
                <w:rFonts w:ascii="宋体" w:eastAsia="宋体"/>
                <w:sz w:val="28"/>
                <w:szCs w:val="28"/>
              </w:rPr>
            </w:pPr>
          </w:p>
        </w:tc>
        <w:tc>
          <w:tcPr>
            <w:tcW w:w="2888" w:type="dxa"/>
            <w:vAlign w:val="center"/>
          </w:tcPr>
          <w:p w14:paraId="4E86C7FC">
            <w:pPr>
              <w:spacing w:line="400" w:lineRule="exact"/>
              <w:jc w:val="center"/>
              <w:rPr>
                <w:rFonts w:ascii="宋体" w:eastAsia="宋体"/>
                <w:sz w:val="28"/>
                <w:szCs w:val="28"/>
              </w:rPr>
            </w:pPr>
          </w:p>
        </w:tc>
        <w:tc>
          <w:tcPr>
            <w:tcW w:w="2057" w:type="dxa"/>
            <w:vAlign w:val="center"/>
          </w:tcPr>
          <w:p w14:paraId="53DAB983">
            <w:pPr>
              <w:spacing w:line="400" w:lineRule="exact"/>
              <w:jc w:val="center"/>
              <w:rPr>
                <w:rFonts w:ascii="宋体" w:eastAsia="宋体"/>
                <w:sz w:val="28"/>
                <w:szCs w:val="28"/>
              </w:rPr>
            </w:pPr>
          </w:p>
        </w:tc>
      </w:tr>
      <w:tr w14:paraId="0E32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63FCBAB1">
            <w:pPr>
              <w:spacing w:line="400" w:lineRule="exact"/>
              <w:jc w:val="center"/>
              <w:rPr>
                <w:rFonts w:ascii="宋体" w:eastAsia="宋体"/>
                <w:sz w:val="28"/>
                <w:szCs w:val="28"/>
              </w:rPr>
            </w:pPr>
            <w:r>
              <w:rPr>
                <w:rFonts w:hint="eastAsia" w:ascii="宋体" w:eastAsia="宋体"/>
                <w:sz w:val="28"/>
                <w:szCs w:val="28"/>
              </w:rPr>
              <w:t>3</w:t>
            </w:r>
          </w:p>
        </w:tc>
        <w:tc>
          <w:tcPr>
            <w:tcW w:w="3014" w:type="dxa"/>
            <w:vAlign w:val="center"/>
          </w:tcPr>
          <w:p w14:paraId="500D70C8">
            <w:pPr>
              <w:spacing w:line="400" w:lineRule="exact"/>
              <w:jc w:val="center"/>
              <w:rPr>
                <w:rFonts w:ascii="宋体" w:eastAsia="宋体"/>
                <w:sz w:val="28"/>
                <w:szCs w:val="28"/>
              </w:rPr>
            </w:pPr>
          </w:p>
        </w:tc>
        <w:tc>
          <w:tcPr>
            <w:tcW w:w="2888" w:type="dxa"/>
            <w:vAlign w:val="center"/>
          </w:tcPr>
          <w:p w14:paraId="34B3A548">
            <w:pPr>
              <w:spacing w:line="400" w:lineRule="exact"/>
              <w:jc w:val="center"/>
              <w:rPr>
                <w:rFonts w:ascii="宋体" w:eastAsia="宋体"/>
                <w:sz w:val="28"/>
                <w:szCs w:val="28"/>
              </w:rPr>
            </w:pPr>
          </w:p>
        </w:tc>
        <w:tc>
          <w:tcPr>
            <w:tcW w:w="2057" w:type="dxa"/>
            <w:vAlign w:val="center"/>
          </w:tcPr>
          <w:p w14:paraId="2E7C2305">
            <w:pPr>
              <w:spacing w:line="400" w:lineRule="exact"/>
              <w:jc w:val="center"/>
              <w:rPr>
                <w:rFonts w:ascii="宋体" w:eastAsia="宋体"/>
                <w:sz w:val="28"/>
                <w:szCs w:val="28"/>
              </w:rPr>
            </w:pPr>
          </w:p>
        </w:tc>
      </w:tr>
      <w:tr w14:paraId="39CE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33A0D81A">
            <w:pPr>
              <w:spacing w:line="400" w:lineRule="exact"/>
              <w:jc w:val="center"/>
              <w:rPr>
                <w:rFonts w:ascii="宋体" w:eastAsia="宋体"/>
                <w:sz w:val="28"/>
                <w:szCs w:val="28"/>
              </w:rPr>
            </w:pPr>
            <w:r>
              <w:rPr>
                <w:rFonts w:hint="eastAsia" w:ascii="宋体" w:eastAsia="宋体"/>
                <w:sz w:val="28"/>
                <w:szCs w:val="28"/>
              </w:rPr>
              <w:t>4</w:t>
            </w:r>
          </w:p>
        </w:tc>
        <w:tc>
          <w:tcPr>
            <w:tcW w:w="3014" w:type="dxa"/>
            <w:vAlign w:val="center"/>
          </w:tcPr>
          <w:p w14:paraId="2397FAE4">
            <w:pPr>
              <w:spacing w:line="400" w:lineRule="exact"/>
              <w:jc w:val="center"/>
              <w:rPr>
                <w:rFonts w:ascii="宋体" w:eastAsia="宋体"/>
                <w:sz w:val="28"/>
                <w:szCs w:val="28"/>
              </w:rPr>
            </w:pPr>
          </w:p>
        </w:tc>
        <w:tc>
          <w:tcPr>
            <w:tcW w:w="2888" w:type="dxa"/>
            <w:vAlign w:val="center"/>
          </w:tcPr>
          <w:p w14:paraId="51DF537E">
            <w:pPr>
              <w:spacing w:line="400" w:lineRule="exact"/>
              <w:jc w:val="center"/>
              <w:rPr>
                <w:rFonts w:ascii="宋体" w:eastAsia="宋体"/>
                <w:sz w:val="28"/>
                <w:szCs w:val="28"/>
              </w:rPr>
            </w:pPr>
          </w:p>
        </w:tc>
        <w:tc>
          <w:tcPr>
            <w:tcW w:w="2057" w:type="dxa"/>
            <w:vAlign w:val="center"/>
          </w:tcPr>
          <w:p w14:paraId="1EB33B1D">
            <w:pPr>
              <w:spacing w:line="400" w:lineRule="exact"/>
              <w:jc w:val="center"/>
              <w:rPr>
                <w:rFonts w:ascii="宋体" w:eastAsia="宋体"/>
                <w:sz w:val="28"/>
                <w:szCs w:val="28"/>
              </w:rPr>
            </w:pPr>
          </w:p>
        </w:tc>
      </w:tr>
      <w:tr w14:paraId="3247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1E0C2029">
            <w:pPr>
              <w:spacing w:line="400" w:lineRule="exact"/>
              <w:jc w:val="center"/>
              <w:rPr>
                <w:rFonts w:ascii="宋体" w:eastAsia="宋体"/>
                <w:sz w:val="28"/>
                <w:szCs w:val="28"/>
              </w:rPr>
            </w:pPr>
            <w:r>
              <w:rPr>
                <w:rFonts w:hint="eastAsia" w:ascii="宋体" w:eastAsia="宋体"/>
                <w:sz w:val="28"/>
                <w:szCs w:val="28"/>
              </w:rPr>
              <w:t>5</w:t>
            </w:r>
          </w:p>
        </w:tc>
        <w:tc>
          <w:tcPr>
            <w:tcW w:w="3014" w:type="dxa"/>
            <w:vAlign w:val="center"/>
          </w:tcPr>
          <w:p w14:paraId="589C1036">
            <w:pPr>
              <w:spacing w:line="400" w:lineRule="exact"/>
              <w:jc w:val="center"/>
              <w:rPr>
                <w:rFonts w:ascii="宋体" w:eastAsia="宋体"/>
                <w:sz w:val="28"/>
                <w:szCs w:val="28"/>
              </w:rPr>
            </w:pPr>
          </w:p>
        </w:tc>
        <w:tc>
          <w:tcPr>
            <w:tcW w:w="2888" w:type="dxa"/>
            <w:vAlign w:val="center"/>
          </w:tcPr>
          <w:p w14:paraId="00EC3AFD">
            <w:pPr>
              <w:spacing w:line="400" w:lineRule="exact"/>
              <w:jc w:val="center"/>
              <w:rPr>
                <w:rFonts w:ascii="宋体" w:eastAsia="宋体"/>
                <w:sz w:val="28"/>
                <w:szCs w:val="28"/>
              </w:rPr>
            </w:pPr>
          </w:p>
        </w:tc>
        <w:tc>
          <w:tcPr>
            <w:tcW w:w="2057" w:type="dxa"/>
            <w:vAlign w:val="center"/>
          </w:tcPr>
          <w:p w14:paraId="34D4DBF1">
            <w:pPr>
              <w:spacing w:line="400" w:lineRule="exact"/>
              <w:jc w:val="center"/>
              <w:rPr>
                <w:rFonts w:ascii="宋体" w:eastAsia="宋体"/>
                <w:sz w:val="28"/>
                <w:szCs w:val="28"/>
              </w:rPr>
            </w:pPr>
          </w:p>
        </w:tc>
      </w:tr>
      <w:tr w14:paraId="5C1D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7CBE75BA">
            <w:pPr>
              <w:spacing w:line="400" w:lineRule="exact"/>
              <w:jc w:val="center"/>
              <w:rPr>
                <w:rFonts w:ascii="宋体" w:eastAsia="宋体"/>
                <w:sz w:val="28"/>
                <w:szCs w:val="28"/>
              </w:rPr>
            </w:pPr>
            <w:r>
              <w:rPr>
                <w:rFonts w:hint="eastAsia" w:ascii="宋体" w:eastAsia="宋体"/>
                <w:sz w:val="28"/>
                <w:szCs w:val="28"/>
              </w:rPr>
              <w:t>6</w:t>
            </w:r>
          </w:p>
        </w:tc>
        <w:tc>
          <w:tcPr>
            <w:tcW w:w="3014" w:type="dxa"/>
            <w:vAlign w:val="center"/>
          </w:tcPr>
          <w:p w14:paraId="19872C1D">
            <w:pPr>
              <w:spacing w:line="400" w:lineRule="exact"/>
              <w:jc w:val="center"/>
              <w:rPr>
                <w:rFonts w:ascii="宋体" w:eastAsia="宋体"/>
                <w:sz w:val="28"/>
                <w:szCs w:val="28"/>
              </w:rPr>
            </w:pPr>
          </w:p>
        </w:tc>
        <w:tc>
          <w:tcPr>
            <w:tcW w:w="2888" w:type="dxa"/>
            <w:vAlign w:val="center"/>
          </w:tcPr>
          <w:p w14:paraId="3C66F6C0">
            <w:pPr>
              <w:spacing w:line="400" w:lineRule="exact"/>
              <w:jc w:val="center"/>
              <w:rPr>
                <w:rFonts w:ascii="宋体" w:eastAsia="宋体"/>
                <w:sz w:val="28"/>
                <w:szCs w:val="28"/>
              </w:rPr>
            </w:pPr>
          </w:p>
        </w:tc>
        <w:tc>
          <w:tcPr>
            <w:tcW w:w="2057" w:type="dxa"/>
            <w:vAlign w:val="center"/>
          </w:tcPr>
          <w:p w14:paraId="226D433C">
            <w:pPr>
              <w:spacing w:line="400" w:lineRule="exact"/>
              <w:jc w:val="center"/>
              <w:rPr>
                <w:rFonts w:ascii="宋体" w:eastAsia="宋体"/>
                <w:sz w:val="28"/>
                <w:szCs w:val="28"/>
              </w:rPr>
            </w:pPr>
          </w:p>
        </w:tc>
      </w:tr>
      <w:tr w14:paraId="51CB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613D7521">
            <w:pPr>
              <w:spacing w:line="400" w:lineRule="exact"/>
              <w:jc w:val="center"/>
              <w:rPr>
                <w:rFonts w:ascii="宋体" w:eastAsia="宋体"/>
                <w:sz w:val="28"/>
                <w:szCs w:val="28"/>
              </w:rPr>
            </w:pPr>
            <w:r>
              <w:rPr>
                <w:rFonts w:hint="eastAsia" w:ascii="宋体" w:eastAsia="宋体"/>
                <w:sz w:val="28"/>
                <w:szCs w:val="28"/>
              </w:rPr>
              <w:t>7</w:t>
            </w:r>
          </w:p>
        </w:tc>
        <w:tc>
          <w:tcPr>
            <w:tcW w:w="3014" w:type="dxa"/>
            <w:vAlign w:val="center"/>
          </w:tcPr>
          <w:p w14:paraId="1A1F0A47">
            <w:pPr>
              <w:spacing w:line="400" w:lineRule="exact"/>
              <w:jc w:val="center"/>
              <w:rPr>
                <w:rFonts w:ascii="宋体" w:eastAsia="宋体"/>
                <w:sz w:val="28"/>
                <w:szCs w:val="28"/>
              </w:rPr>
            </w:pPr>
          </w:p>
        </w:tc>
        <w:tc>
          <w:tcPr>
            <w:tcW w:w="2888" w:type="dxa"/>
            <w:vAlign w:val="center"/>
          </w:tcPr>
          <w:p w14:paraId="08B8C623">
            <w:pPr>
              <w:spacing w:line="400" w:lineRule="exact"/>
              <w:jc w:val="center"/>
              <w:rPr>
                <w:rFonts w:ascii="宋体" w:eastAsia="宋体"/>
                <w:sz w:val="28"/>
                <w:szCs w:val="28"/>
              </w:rPr>
            </w:pPr>
          </w:p>
        </w:tc>
        <w:tc>
          <w:tcPr>
            <w:tcW w:w="2057" w:type="dxa"/>
            <w:vAlign w:val="center"/>
          </w:tcPr>
          <w:p w14:paraId="28F044D0">
            <w:pPr>
              <w:spacing w:line="400" w:lineRule="exact"/>
              <w:jc w:val="center"/>
              <w:rPr>
                <w:rFonts w:ascii="宋体" w:eastAsia="宋体"/>
                <w:sz w:val="28"/>
                <w:szCs w:val="28"/>
              </w:rPr>
            </w:pPr>
          </w:p>
        </w:tc>
      </w:tr>
      <w:tr w14:paraId="3D19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1C742CAC">
            <w:pPr>
              <w:spacing w:line="400" w:lineRule="exact"/>
              <w:jc w:val="center"/>
              <w:rPr>
                <w:rFonts w:ascii="宋体" w:eastAsia="宋体"/>
                <w:sz w:val="28"/>
                <w:szCs w:val="28"/>
              </w:rPr>
            </w:pPr>
            <w:r>
              <w:rPr>
                <w:rFonts w:hint="eastAsia" w:ascii="宋体" w:eastAsia="宋体"/>
                <w:sz w:val="28"/>
                <w:szCs w:val="28"/>
              </w:rPr>
              <w:t>8</w:t>
            </w:r>
          </w:p>
        </w:tc>
        <w:tc>
          <w:tcPr>
            <w:tcW w:w="3014" w:type="dxa"/>
            <w:vAlign w:val="center"/>
          </w:tcPr>
          <w:p w14:paraId="5FFCF4F1">
            <w:pPr>
              <w:spacing w:line="400" w:lineRule="exact"/>
              <w:jc w:val="center"/>
              <w:rPr>
                <w:rFonts w:ascii="宋体" w:eastAsia="宋体"/>
                <w:sz w:val="28"/>
                <w:szCs w:val="28"/>
              </w:rPr>
            </w:pPr>
          </w:p>
        </w:tc>
        <w:tc>
          <w:tcPr>
            <w:tcW w:w="2888" w:type="dxa"/>
            <w:vAlign w:val="center"/>
          </w:tcPr>
          <w:p w14:paraId="2EBEFA55">
            <w:pPr>
              <w:spacing w:line="400" w:lineRule="exact"/>
              <w:jc w:val="center"/>
              <w:rPr>
                <w:rFonts w:ascii="宋体" w:eastAsia="宋体"/>
                <w:sz w:val="28"/>
                <w:szCs w:val="28"/>
              </w:rPr>
            </w:pPr>
          </w:p>
        </w:tc>
        <w:tc>
          <w:tcPr>
            <w:tcW w:w="2057" w:type="dxa"/>
            <w:vAlign w:val="center"/>
          </w:tcPr>
          <w:p w14:paraId="4B13AB31">
            <w:pPr>
              <w:spacing w:line="400" w:lineRule="exact"/>
              <w:jc w:val="center"/>
              <w:rPr>
                <w:rFonts w:ascii="宋体" w:eastAsia="宋体"/>
                <w:sz w:val="28"/>
                <w:szCs w:val="28"/>
              </w:rPr>
            </w:pPr>
          </w:p>
        </w:tc>
      </w:tr>
      <w:tr w14:paraId="5AA9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5FC939C7">
            <w:pPr>
              <w:spacing w:line="400" w:lineRule="exact"/>
              <w:jc w:val="center"/>
              <w:rPr>
                <w:rFonts w:ascii="宋体" w:eastAsia="宋体"/>
                <w:sz w:val="28"/>
                <w:szCs w:val="28"/>
              </w:rPr>
            </w:pPr>
            <w:r>
              <w:rPr>
                <w:rFonts w:hint="eastAsia" w:ascii="宋体" w:eastAsia="宋体"/>
                <w:sz w:val="28"/>
                <w:szCs w:val="28"/>
              </w:rPr>
              <w:t>9</w:t>
            </w:r>
          </w:p>
        </w:tc>
        <w:tc>
          <w:tcPr>
            <w:tcW w:w="3014" w:type="dxa"/>
            <w:vAlign w:val="center"/>
          </w:tcPr>
          <w:p w14:paraId="71A019AE">
            <w:pPr>
              <w:spacing w:line="400" w:lineRule="exact"/>
              <w:jc w:val="center"/>
              <w:rPr>
                <w:rFonts w:ascii="宋体" w:eastAsia="宋体"/>
                <w:sz w:val="28"/>
                <w:szCs w:val="28"/>
              </w:rPr>
            </w:pPr>
          </w:p>
        </w:tc>
        <w:tc>
          <w:tcPr>
            <w:tcW w:w="2888" w:type="dxa"/>
            <w:vAlign w:val="center"/>
          </w:tcPr>
          <w:p w14:paraId="510306F4">
            <w:pPr>
              <w:spacing w:line="400" w:lineRule="exact"/>
              <w:jc w:val="center"/>
              <w:rPr>
                <w:rFonts w:ascii="宋体" w:eastAsia="宋体"/>
                <w:sz w:val="28"/>
                <w:szCs w:val="28"/>
              </w:rPr>
            </w:pPr>
          </w:p>
        </w:tc>
        <w:tc>
          <w:tcPr>
            <w:tcW w:w="2057" w:type="dxa"/>
            <w:vAlign w:val="center"/>
          </w:tcPr>
          <w:p w14:paraId="3A134338">
            <w:pPr>
              <w:spacing w:line="400" w:lineRule="exact"/>
              <w:jc w:val="center"/>
              <w:rPr>
                <w:rFonts w:ascii="宋体" w:eastAsia="宋体"/>
                <w:sz w:val="28"/>
                <w:szCs w:val="28"/>
              </w:rPr>
            </w:pPr>
          </w:p>
        </w:tc>
      </w:tr>
      <w:tr w14:paraId="34F9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76" w:type="dxa"/>
            <w:vAlign w:val="center"/>
          </w:tcPr>
          <w:p w14:paraId="643A0A8A">
            <w:pPr>
              <w:spacing w:line="400" w:lineRule="exact"/>
              <w:jc w:val="center"/>
              <w:rPr>
                <w:rFonts w:ascii="宋体" w:eastAsia="宋体"/>
                <w:sz w:val="28"/>
                <w:szCs w:val="28"/>
              </w:rPr>
            </w:pPr>
            <w:r>
              <w:rPr>
                <w:rFonts w:hint="eastAsia" w:ascii="宋体" w:eastAsia="宋体"/>
                <w:sz w:val="28"/>
                <w:szCs w:val="28"/>
              </w:rPr>
              <w:t>10</w:t>
            </w:r>
          </w:p>
        </w:tc>
        <w:tc>
          <w:tcPr>
            <w:tcW w:w="3014" w:type="dxa"/>
            <w:vAlign w:val="center"/>
          </w:tcPr>
          <w:p w14:paraId="5EE6C78A">
            <w:pPr>
              <w:spacing w:line="400" w:lineRule="exact"/>
              <w:jc w:val="center"/>
              <w:rPr>
                <w:rFonts w:ascii="宋体" w:eastAsia="宋体"/>
                <w:sz w:val="28"/>
                <w:szCs w:val="28"/>
              </w:rPr>
            </w:pPr>
          </w:p>
        </w:tc>
        <w:tc>
          <w:tcPr>
            <w:tcW w:w="2888" w:type="dxa"/>
            <w:vAlign w:val="center"/>
          </w:tcPr>
          <w:p w14:paraId="6A7F1DFA">
            <w:pPr>
              <w:spacing w:line="400" w:lineRule="exact"/>
              <w:jc w:val="center"/>
              <w:rPr>
                <w:rFonts w:ascii="宋体" w:eastAsia="宋体"/>
                <w:sz w:val="28"/>
                <w:szCs w:val="28"/>
              </w:rPr>
            </w:pPr>
          </w:p>
        </w:tc>
        <w:tc>
          <w:tcPr>
            <w:tcW w:w="2057" w:type="dxa"/>
            <w:vAlign w:val="center"/>
          </w:tcPr>
          <w:p w14:paraId="427BE141">
            <w:pPr>
              <w:spacing w:line="400" w:lineRule="exact"/>
              <w:jc w:val="center"/>
              <w:rPr>
                <w:rFonts w:ascii="宋体" w:eastAsia="宋体"/>
                <w:sz w:val="28"/>
                <w:szCs w:val="28"/>
              </w:rPr>
            </w:pPr>
          </w:p>
        </w:tc>
      </w:tr>
      <w:tr w14:paraId="2972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76" w:type="dxa"/>
            <w:vAlign w:val="center"/>
          </w:tcPr>
          <w:p w14:paraId="4251B028">
            <w:pPr>
              <w:spacing w:line="400" w:lineRule="exact"/>
              <w:jc w:val="center"/>
              <w:rPr>
                <w:rFonts w:ascii="宋体" w:eastAsia="宋体"/>
                <w:sz w:val="28"/>
                <w:szCs w:val="28"/>
              </w:rPr>
            </w:pPr>
          </w:p>
        </w:tc>
        <w:tc>
          <w:tcPr>
            <w:tcW w:w="3014" w:type="dxa"/>
            <w:vAlign w:val="center"/>
          </w:tcPr>
          <w:p w14:paraId="0A2008E1">
            <w:pPr>
              <w:spacing w:line="400" w:lineRule="exact"/>
              <w:jc w:val="center"/>
              <w:rPr>
                <w:rFonts w:ascii="宋体" w:eastAsia="宋体"/>
                <w:sz w:val="28"/>
                <w:szCs w:val="28"/>
              </w:rPr>
            </w:pPr>
            <w:r>
              <w:rPr>
                <w:rFonts w:hint="eastAsia" w:ascii="宋体" w:eastAsia="宋体"/>
                <w:sz w:val="28"/>
                <w:szCs w:val="28"/>
              </w:rPr>
              <w:t>合计</w:t>
            </w:r>
          </w:p>
        </w:tc>
        <w:tc>
          <w:tcPr>
            <w:tcW w:w="2888" w:type="dxa"/>
            <w:vAlign w:val="center"/>
          </w:tcPr>
          <w:p w14:paraId="6C5CBCAB">
            <w:pPr>
              <w:spacing w:line="400" w:lineRule="exact"/>
              <w:jc w:val="center"/>
              <w:rPr>
                <w:rFonts w:ascii="宋体" w:eastAsia="宋体"/>
                <w:sz w:val="28"/>
                <w:szCs w:val="28"/>
              </w:rPr>
            </w:pPr>
          </w:p>
        </w:tc>
        <w:tc>
          <w:tcPr>
            <w:tcW w:w="2057" w:type="dxa"/>
            <w:vAlign w:val="center"/>
          </w:tcPr>
          <w:p w14:paraId="6BB64A9C">
            <w:pPr>
              <w:spacing w:line="400" w:lineRule="exact"/>
              <w:jc w:val="center"/>
              <w:rPr>
                <w:rFonts w:ascii="宋体" w:eastAsia="宋体"/>
                <w:sz w:val="28"/>
                <w:szCs w:val="28"/>
              </w:rPr>
            </w:pPr>
          </w:p>
        </w:tc>
      </w:tr>
    </w:tbl>
    <w:p w14:paraId="104DC8B7">
      <w:pPr>
        <w:widowControl/>
        <w:jc w:val="lef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ACB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D13CCD">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2D13CCD">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64605">
    <w:pPr>
      <w:pStyle w:val="4"/>
    </w:pPr>
    <w:r>
      <w:pict>
        <v:shape id="PowerPlusWaterMarkObject16866135" o:spid="_x0000_s4098" o:spt="136" type="#_x0000_t136" style="position:absolute;left:0pt;height:236.8pt;width:415.3pt;mso-position-horizontal:center;mso-position-horizontal-relative:margin;mso-position-vertical:center;mso-position-vertical-relative:margin;z-index:-251656192;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样本" style="font-family:宋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3870D"/>
    <w:multiLevelType w:val="singleLevel"/>
    <w:tmpl w:val="CEA3870D"/>
    <w:lvl w:ilvl="0" w:tentative="0">
      <w:start w:val="3"/>
      <w:numFmt w:val="decimal"/>
      <w:suff w:val="nothing"/>
      <w:lvlText w:val="%1．"/>
      <w:lvlJc w:val="left"/>
    </w:lvl>
  </w:abstractNum>
  <w:abstractNum w:abstractNumId="1">
    <w:nsid w:val="6D83BB80"/>
    <w:multiLevelType w:val="singleLevel"/>
    <w:tmpl w:val="6D83BB80"/>
    <w:lvl w:ilvl="0" w:tentative="0">
      <w:start w:val="1"/>
      <w:numFmt w:val="decimal"/>
      <w:suff w:val="nothing"/>
      <w:lvlText w:val="%1、"/>
      <w:lvlJc w:val="left"/>
    </w:lvl>
  </w:abstractNum>
  <w:abstractNum w:abstractNumId="2">
    <w:nsid w:val="7032BD80"/>
    <w:multiLevelType w:val="singleLevel"/>
    <w:tmpl w:val="7032BD80"/>
    <w:lvl w:ilvl="0" w:tentative="0">
      <w:start w:val="5"/>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B1148E"/>
    <w:rsid w:val="00047515"/>
    <w:rsid w:val="00052AD4"/>
    <w:rsid w:val="00094543"/>
    <w:rsid w:val="000B563F"/>
    <w:rsid w:val="000B7BA8"/>
    <w:rsid w:val="000F1072"/>
    <w:rsid w:val="001317F3"/>
    <w:rsid w:val="00191512"/>
    <w:rsid w:val="001E247B"/>
    <w:rsid w:val="001F44F0"/>
    <w:rsid w:val="00234F57"/>
    <w:rsid w:val="002511CF"/>
    <w:rsid w:val="00254ED4"/>
    <w:rsid w:val="00272D6C"/>
    <w:rsid w:val="002F4B7C"/>
    <w:rsid w:val="002F6091"/>
    <w:rsid w:val="00307C2F"/>
    <w:rsid w:val="0035406D"/>
    <w:rsid w:val="003770BD"/>
    <w:rsid w:val="003E5779"/>
    <w:rsid w:val="0041517A"/>
    <w:rsid w:val="00450B41"/>
    <w:rsid w:val="00457BED"/>
    <w:rsid w:val="0047282E"/>
    <w:rsid w:val="004A0A09"/>
    <w:rsid w:val="004A6B50"/>
    <w:rsid w:val="004B4C03"/>
    <w:rsid w:val="004B6236"/>
    <w:rsid w:val="00526047"/>
    <w:rsid w:val="00562A38"/>
    <w:rsid w:val="005A3335"/>
    <w:rsid w:val="0065464B"/>
    <w:rsid w:val="00677C62"/>
    <w:rsid w:val="006860ED"/>
    <w:rsid w:val="00740162"/>
    <w:rsid w:val="00745098"/>
    <w:rsid w:val="00745428"/>
    <w:rsid w:val="007D1856"/>
    <w:rsid w:val="007F7E18"/>
    <w:rsid w:val="00820438"/>
    <w:rsid w:val="0085207B"/>
    <w:rsid w:val="008711D0"/>
    <w:rsid w:val="00872A6D"/>
    <w:rsid w:val="00883552"/>
    <w:rsid w:val="008B0718"/>
    <w:rsid w:val="008D2B06"/>
    <w:rsid w:val="008D4EE8"/>
    <w:rsid w:val="008E5738"/>
    <w:rsid w:val="008F6016"/>
    <w:rsid w:val="00914D40"/>
    <w:rsid w:val="00932243"/>
    <w:rsid w:val="00970C20"/>
    <w:rsid w:val="00993E89"/>
    <w:rsid w:val="009A27C1"/>
    <w:rsid w:val="009A4E49"/>
    <w:rsid w:val="009B49B7"/>
    <w:rsid w:val="009D4BCA"/>
    <w:rsid w:val="009D4E70"/>
    <w:rsid w:val="00A07E50"/>
    <w:rsid w:val="00A26949"/>
    <w:rsid w:val="00A46572"/>
    <w:rsid w:val="00A5657F"/>
    <w:rsid w:val="00A84314"/>
    <w:rsid w:val="00A96FC4"/>
    <w:rsid w:val="00A97709"/>
    <w:rsid w:val="00AC0230"/>
    <w:rsid w:val="00AC3710"/>
    <w:rsid w:val="00B06D6A"/>
    <w:rsid w:val="00B1148E"/>
    <w:rsid w:val="00B914D7"/>
    <w:rsid w:val="00BA554B"/>
    <w:rsid w:val="00BE1989"/>
    <w:rsid w:val="00C07301"/>
    <w:rsid w:val="00C0766A"/>
    <w:rsid w:val="00C52286"/>
    <w:rsid w:val="00C91C80"/>
    <w:rsid w:val="00CD0936"/>
    <w:rsid w:val="00CD0D1B"/>
    <w:rsid w:val="00D17FAD"/>
    <w:rsid w:val="00D20452"/>
    <w:rsid w:val="00D61D60"/>
    <w:rsid w:val="00D74D74"/>
    <w:rsid w:val="00D827FA"/>
    <w:rsid w:val="00D9369D"/>
    <w:rsid w:val="00DA6D0D"/>
    <w:rsid w:val="00DA7CEB"/>
    <w:rsid w:val="00E418E2"/>
    <w:rsid w:val="00E73211"/>
    <w:rsid w:val="00F2015D"/>
    <w:rsid w:val="00F23D03"/>
    <w:rsid w:val="00F763E8"/>
    <w:rsid w:val="00FC403D"/>
    <w:rsid w:val="00FD471F"/>
    <w:rsid w:val="00FE1504"/>
    <w:rsid w:val="013C06BC"/>
    <w:rsid w:val="014116D2"/>
    <w:rsid w:val="016814B1"/>
    <w:rsid w:val="035C4B1B"/>
    <w:rsid w:val="03E60565"/>
    <w:rsid w:val="04040FCF"/>
    <w:rsid w:val="040E6340"/>
    <w:rsid w:val="06123C59"/>
    <w:rsid w:val="071023CF"/>
    <w:rsid w:val="071B095C"/>
    <w:rsid w:val="07314815"/>
    <w:rsid w:val="07BC22D7"/>
    <w:rsid w:val="08506F1A"/>
    <w:rsid w:val="08B50D96"/>
    <w:rsid w:val="08BB33F6"/>
    <w:rsid w:val="09E34B54"/>
    <w:rsid w:val="09E8299E"/>
    <w:rsid w:val="09F406FF"/>
    <w:rsid w:val="0A0358F8"/>
    <w:rsid w:val="0A1E4E03"/>
    <w:rsid w:val="0A7E1D45"/>
    <w:rsid w:val="0AC55AF5"/>
    <w:rsid w:val="0ADF0A36"/>
    <w:rsid w:val="0D1365BD"/>
    <w:rsid w:val="0DC10DA5"/>
    <w:rsid w:val="0E576487"/>
    <w:rsid w:val="0E9B53CC"/>
    <w:rsid w:val="0EDC3E33"/>
    <w:rsid w:val="0F566DED"/>
    <w:rsid w:val="0FA77648"/>
    <w:rsid w:val="105266D1"/>
    <w:rsid w:val="108465A8"/>
    <w:rsid w:val="109C5053"/>
    <w:rsid w:val="11FF724A"/>
    <w:rsid w:val="12E070F9"/>
    <w:rsid w:val="130D1BC0"/>
    <w:rsid w:val="1312127D"/>
    <w:rsid w:val="1436140E"/>
    <w:rsid w:val="14730CFC"/>
    <w:rsid w:val="15523991"/>
    <w:rsid w:val="158A3C94"/>
    <w:rsid w:val="166E0CD9"/>
    <w:rsid w:val="172D2B29"/>
    <w:rsid w:val="1734116F"/>
    <w:rsid w:val="174D4F79"/>
    <w:rsid w:val="17F7436B"/>
    <w:rsid w:val="18755B05"/>
    <w:rsid w:val="18B45D1E"/>
    <w:rsid w:val="19131255"/>
    <w:rsid w:val="191E68AD"/>
    <w:rsid w:val="19A10177"/>
    <w:rsid w:val="19BF3BE3"/>
    <w:rsid w:val="1A613A67"/>
    <w:rsid w:val="1A7C6E86"/>
    <w:rsid w:val="1AA2420B"/>
    <w:rsid w:val="1B0342CC"/>
    <w:rsid w:val="1B53267D"/>
    <w:rsid w:val="1BC469CA"/>
    <w:rsid w:val="1BF234A9"/>
    <w:rsid w:val="1C5E6092"/>
    <w:rsid w:val="1CA943C9"/>
    <w:rsid w:val="1DBE7C58"/>
    <w:rsid w:val="1E461854"/>
    <w:rsid w:val="1F533349"/>
    <w:rsid w:val="1F971487"/>
    <w:rsid w:val="205E4176"/>
    <w:rsid w:val="20D23F84"/>
    <w:rsid w:val="20E9357D"/>
    <w:rsid w:val="2114446F"/>
    <w:rsid w:val="214F3BEC"/>
    <w:rsid w:val="215D400B"/>
    <w:rsid w:val="21906F36"/>
    <w:rsid w:val="21EB4BC2"/>
    <w:rsid w:val="22583782"/>
    <w:rsid w:val="230957BF"/>
    <w:rsid w:val="242B6701"/>
    <w:rsid w:val="24D35106"/>
    <w:rsid w:val="24E011DB"/>
    <w:rsid w:val="24EA0D38"/>
    <w:rsid w:val="25392E33"/>
    <w:rsid w:val="2589601F"/>
    <w:rsid w:val="2648072B"/>
    <w:rsid w:val="266C75C3"/>
    <w:rsid w:val="26CF7759"/>
    <w:rsid w:val="27B040B1"/>
    <w:rsid w:val="27D067AB"/>
    <w:rsid w:val="281A16A1"/>
    <w:rsid w:val="28262560"/>
    <w:rsid w:val="2920742A"/>
    <w:rsid w:val="2ABF1892"/>
    <w:rsid w:val="2B1E480B"/>
    <w:rsid w:val="2B99098F"/>
    <w:rsid w:val="2BB86078"/>
    <w:rsid w:val="2BD92837"/>
    <w:rsid w:val="2BF612E4"/>
    <w:rsid w:val="2C155ACB"/>
    <w:rsid w:val="2C1A78AF"/>
    <w:rsid w:val="2C5C1A8E"/>
    <w:rsid w:val="2CC91BE7"/>
    <w:rsid w:val="2E4921B6"/>
    <w:rsid w:val="2E6F2C6C"/>
    <w:rsid w:val="2E972E72"/>
    <w:rsid w:val="2EA020B0"/>
    <w:rsid w:val="2EE552DD"/>
    <w:rsid w:val="2F967065"/>
    <w:rsid w:val="2FED2548"/>
    <w:rsid w:val="300B2279"/>
    <w:rsid w:val="30780B1C"/>
    <w:rsid w:val="31065920"/>
    <w:rsid w:val="31A71593"/>
    <w:rsid w:val="31CF5AE0"/>
    <w:rsid w:val="323171EB"/>
    <w:rsid w:val="32407943"/>
    <w:rsid w:val="325D3E6B"/>
    <w:rsid w:val="32C32656"/>
    <w:rsid w:val="32FA4A05"/>
    <w:rsid w:val="342B3BAF"/>
    <w:rsid w:val="3452556A"/>
    <w:rsid w:val="34A246FE"/>
    <w:rsid w:val="352B6C77"/>
    <w:rsid w:val="35487054"/>
    <w:rsid w:val="358950B3"/>
    <w:rsid w:val="35B77A15"/>
    <w:rsid w:val="35BF41B7"/>
    <w:rsid w:val="35CD78DC"/>
    <w:rsid w:val="35DE52C2"/>
    <w:rsid w:val="36581519"/>
    <w:rsid w:val="37335AE2"/>
    <w:rsid w:val="37D526F5"/>
    <w:rsid w:val="38011F2E"/>
    <w:rsid w:val="389D0ABD"/>
    <w:rsid w:val="38EF3597"/>
    <w:rsid w:val="38FB2827"/>
    <w:rsid w:val="393B0782"/>
    <w:rsid w:val="395878FC"/>
    <w:rsid w:val="39B8697D"/>
    <w:rsid w:val="3A703967"/>
    <w:rsid w:val="3AE16BE9"/>
    <w:rsid w:val="3AF37A62"/>
    <w:rsid w:val="3AFF16E2"/>
    <w:rsid w:val="3CD967E3"/>
    <w:rsid w:val="3D9F5117"/>
    <w:rsid w:val="3E831E6E"/>
    <w:rsid w:val="3E9E1A93"/>
    <w:rsid w:val="3EC02442"/>
    <w:rsid w:val="3F4D7CCE"/>
    <w:rsid w:val="40194CFC"/>
    <w:rsid w:val="401F6C03"/>
    <w:rsid w:val="40536FF6"/>
    <w:rsid w:val="40C63523"/>
    <w:rsid w:val="40F31238"/>
    <w:rsid w:val="41265D6F"/>
    <w:rsid w:val="41633D52"/>
    <w:rsid w:val="417B04E0"/>
    <w:rsid w:val="41FD1A4C"/>
    <w:rsid w:val="42621B30"/>
    <w:rsid w:val="427A7A26"/>
    <w:rsid w:val="433A16D0"/>
    <w:rsid w:val="43D17B76"/>
    <w:rsid w:val="43D47D05"/>
    <w:rsid w:val="448B6AB8"/>
    <w:rsid w:val="44C8565F"/>
    <w:rsid w:val="454E4B0B"/>
    <w:rsid w:val="456F23DB"/>
    <w:rsid w:val="45986D51"/>
    <w:rsid w:val="46A73C98"/>
    <w:rsid w:val="46EB4C35"/>
    <w:rsid w:val="473473EC"/>
    <w:rsid w:val="4740442E"/>
    <w:rsid w:val="48322FBE"/>
    <w:rsid w:val="495310DA"/>
    <w:rsid w:val="4B321B6F"/>
    <w:rsid w:val="4B6C6EED"/>
    <w:rsid w:val="4B715351"/>
    <w:rsid w:val="4CA417F1"/>
    <w:rsid w:val="4D3D682C"/>
    <w:rsid w:val="4DDA23BB"/>
    <w:rsid w:val="4DDA60E9"/>
    <w:rsid w:val="4E1F57C8"/>
    <w:rsid w:val="4E42122E"/>
    <w:rsid w:val="4EAF1AFD"/>
    <w:rsid w:val="4EC170A2"/>
    <w:rsid w:val="4F4E6D57"/>
    <w:rsid w:val="4F7725B8"/>
    <w:rsid w:val="501E0C85"/>
    <w:rsid w:val="50605355"/>
    <w:rsid w:val="509E5701"/>
    <w:rsid w:val="512471AE"/>
    <w:rsid w:val="516D376B"/>
    <w:rsid w:val="51A97699"/>
    <w:rsid w:val="51D43EB3"/>
    <w:rsid w:val="51D8148F"/>
    <w:rsid w:val="52C05EC5"/>
    <w:rsid w:val="548E14C3"/>
    <w:rsid w:val="56237C5C"/>
    <w:rsid w:val="57AB6BF3"/>
    <w:rsid w:val="581A6DE8"/>
    <w:rsid w:val="585079D2"/>
    <w:rsid w:val="58E86B0A"/>
    <w:rsid w:val="597A21DB"/>
    <w:rsid w:val="59E56B5B"/>
    <w:rsid w:val="5A536B2A"/>
    <w:rsid w:val="5AE20B01"/>
    <w:rsid w:val="5B1A1031"/>
    <w:rsid w:val="5B4057D4"/>
    <w:rsid w:val="5B631BBB"/>
    <w:rsid w:val="5B675ED6"/>
    <w:rsid w:val="5BED3C02"/>
    <w:rsid w:val="5C981DBF"/>
    <w:rsid w:val="5D1B3B50"/>
    <w:rsid w:val="5E777AF2"/>
    <w:rsid w:val="5F3C7C5B"/>
    <w:rsid w:val="5FED1CB6"/>
    <w:rsid w:val="60B35E83"/>
    <w:rsid w:val="60BE4905"/>
    <w:rsid w:val="60EF54A6"/>
    <w:rsid w:val="611A0CDF"/>
    <w:rsid w:val="618114DE"/>
    <w:rsid w:val="61B431F8"/>
    <w:rsid w:val="620366BE"/>
    <w:rsid w:val="62E515CA"/>
    <w:rsid w:val="63720A8D"/>
    <w:rsid w:val="63AC219D"/>
    <w:rsid w:val="63C677A3"/>
    <w:rsid w:val="641F46A6"/>
    <w:rsid w:val="643A3A9C"/>
    <w:rsid w:val="64632B48"/>
    <w:rsid w:val="648A6B0E"/>
    <w:rsid w:val="64BE78B5"/>
    <w:rsid w:val="65931376"/>
    <w:rsid w:val="65CE17C5"/>
    <w:rsid w:val="65FC33BF"/>
    <w:rsid w:val="668F7EC3"/>
    <w:rsid w:val="66A72E7F"/>
    <w:rsid w:val="66EF02CC"/>
    <w:rsid w:val="66FB71D3"/>
    <w:rsid w:val="679D028A"/>
    <w:rsid w:val="67AA38A5"/>
    <w:rsid w:val="67E545E1"/>
    <w:rsid w:val="691728A2"/>
    <w:rsid w:val="69564B94"/>
    <w:rsid w:val="6979015B"/>
    <w:rsid w:val="69CC12FA"/>
    <w:rsid w:val="6A0665BA"/>
    <w:rsid w:val="6A205A1B"/>
    <w:rsid w:val="6A78593E"/>
    <w:rsid w:val="6BCC7390"/>
    <w:rsid w:val="6C3B104D"/>
    <w:rsid w:val="6CAA3CB3"/>
    <w:rsid w:val="6CCA7D73"/>
    <w:rsid w:val="6CDA6C56"/>
    <w:rsid w:val="6D6F1F53"/>
    <w:rsid w:val="6D777B4B"/>
    <w:rsid w:val="6E843F52"/>
    <w:rsid w:val="6FAD74D8"/>
    <w:rsid w:val="6FC54822"/>
    <w:rsid w:val="6FEC7A95"/>
    <w:rsid w:val="70044F28"/>
    <w:rsid w:val="704440F5"/>
    <w:rsid w:val="716E20E4"/>
    <w:rsid w:val="71710AC0"/>
    <w:rsid w:val="717E3705"/>
    <w:rsid w:val="724265FE"/>
    <w:rsid w:val="742606EE"/>
    <w:rsid w:val="747F0C56"/>
    <w:rsid w:val="74A867E4"/>
    <w:rsid w:val="74FB520E"/>
    <w:rsid w:val="74FB6FDE"/>
    <w:rsid w:val="754601B3"/>
    <w:rsid w:val="7595004F"/>
    <w:rsid w:val="773A5AF5"/>
    <w:rsid w:val="77CB156F"/>
    <w:rsid w:val="78DF6A5D"/>
    <w:rsid w:val="7943004A"/>
    <w:rsid w:val="7A7A13E1"/>
    <w:rsid w:val="7B0326A2"/>
    <w:rsid w:val="7B334D35"/>
    <w:rsid w:val="7B372EE7"/>
    <w:rsid w:val="7BA67E56"/>
    <w:rsid w:val="7C1652B9"/>
    <w:rsid w:val="7C452D5E"/>
    <w:rsid w:val="7C4D1E27"/>
    <w:rsid w:val="7D0134D2"/>
    <w:rsid w:val="7D1B0177"/>
    <w:rsid w:val="7D232218"/>
    <w:rsid w:val="7D8152C8"/>
    <w:rsid w:val="7DD73D09"/>
    <w:rsid w:val="7DDA3D4D"/>
    <w:rsid w:val="7ED7228A"/>
    <w:rsid w:val="7F03173F"/>
    <w:rsid w:val="7F2C5837"/>
    <w:rsid w:val="7F677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Times New Roman"/>
      <w:kern w:val="10"/>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qFormat/>
    <w:uiPriority w:val="0"/>
    <w:rPr>
      <w:color w:val="333333"/>
      <w:u w:val="none"/>
    </w:rPr>
  </w:style>
  <w:style w:type="paragraph" w:styleId="8">
    <w:name w:val="List Paragraph"/>
    <w:basedOn w:val="1"/>
    <w:qFormat/>
    <w:uiPriority w:val="34"/>
    <w:pPr>
      <w:ind w:firstLine="420" w:firstLineChars="200"/>
    </w:pPr>
  </w:style>
  <w:style w:type="character" w:customStyle="1" w:styleId="9">
    <w:name w:val="批注框文本 字符"/>
    <w:basedOn w:val="6"/>
    <w:link w:val="2"/>
    <w:semiHidden/>
    <w:qFormat/>
    <w:uiPriority w:val="99"/>
    <w:rPr>
      <w:rFonts w:ascii="仿宋_GB2312" w:hAnsi="宋体" w:eastAsia="仿宋_GB2312"/>
      <w:kern w:val="1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4631</Words>
  <Characters>4694</Characters>
  <Lines>29</Lines>
  <Paragraphs>8</Paragraphs>
  <TotalTime>14</TotalTime>
  <ScaleCrop>false</ScaleCrop>
  <LinksUpToDate>false</LinksUpToDate>
  <CharactersWithSpaces>4938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2022-09-20T03:54:00Z</dcterms:created>
  <dc:creator>Administrator</dc:creator>
  <cp:lastModifiedBy>Li</cp:lastModifiedBy>
  <cp:lastPrinted>2021-12-30T07:49:00Z</cp:lastPrinted>
  <dcterms:modified xsi:type="dcterms:W3CDTF">2026-07-16T08:25:18Z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FFE2F3B3A2B948D59FFFB2365591BB68</vt:lpwstr>
  </property>
  <property fmtid="{D5CDD505-2E9C-101B-9397-08002B2CF9AE}" pid="4" name="KSOTemplateDocerSaveRecord">
    <vt:lpwstr>eyJoZGlkIjoiNDdjZDQ5ZmRjOTg4ZWZkMGRjYjY4MjBjNGZjZWExZjIiLCJ1c2VySWQiOiI5NTMwNTIxNDkifQ==</vt:lpwstr>
  </property>
</Properties>
</file>