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DE673A">
      <w:pPr>
        <w:spacing w:line="360" w:lineRule="auto"/>
        <w:jc w:val="center"/>
        <w:rPr>
          <w:rFonts w:ascii="黑体" w:hAnsi="黑体" w:eastAsia="黑体"/>
          <w:b/>
          <w:sz w:val="36"/>
          <w:szCs w:val="36"/>
        </w:rPr>
      </w:pPr>
      <w:r>
        <w:rPr>
          <w:rFonts w:hint="eastAsia" w:ascii="黑体" w:hAnsi="黑体" w:eastAsia="黑体"/>
          <w:b/>
          <w:sz w:val="36"/>
          <w:szCs w:val="36"/>
        </w:rPr>
        <w:t>承诺函</w:t>
      </w:r>
    </w:p>
    <w:p w14:paraId="616E1184">
      <w:pPr>
        <w:keepNext w:val="0"/>
        <w:keepLines w:val="0"/>
        <w:pageBreakBefore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杭州产权交易所有限责任公司：</w:t>
      </w:r>
    </w:p>
    <w:p w14:paraId="529C37F0">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r>
        <w:rPr>
          <w:rFonts w:hint="eastAsia" w:asciiTheme="minorEastAsia" w:hAnsiTheme="minorEastAsia" w:eastAsiaTheme="minorEastAsia"/>
          <w:b w:val="0"/>
          <w:bCs w:val="0"/>
          <w:szCs w:val="21"/>
          <w:lang w:val="en-US" w:eastAsia="zh-CN"/>
        </w:rPr>
        <w:t>杭州企业产权交易中心有限公司</w:t>
      </w:r>
      <w:r>
        <w:rPr>
          <w:rFonts w:asciiTheme="minorEastAsia" w:hAnsiTheme="minorEastAsia" w:eastAsiaTheme="minorEastAsia"/>
          <w:szCs w:val="21"/>
        </w:rPr>
        <w:t>：</w:t>
      </w:r>
    </w:p>
    <w:p w14:paraId="3D1CCDB4">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u w:val="none"/>
        </w:rPr>
      </w:pPr>
      <w:r>
        <w:rPr>
          <w:rFonts w:hint="eastAsia" w:asciiTheme="minorEastAsia" w:hAnsiTheme="minorEastAsia" w:eastAsiaTheme="minorEastAsia"/>
          <w:szCs w:val="21"/>
        </w:rPr>
        <w:t>我方拟</w:t>
      </w:r>
      <w:r>
        <w:rPr>
          <w:rFonts w:asciiTheme="minorEastAsia" w:hAnsiTheme="minorEastAsia" w:eastAsiaTheme="minorEastAsia"/>
          <w:szCs w:val="21"/>
        </w:rPr>
        <w:t>受</w:t>
      </w:r>
      <w:r>
        <w:rPr>
          <w:rFonts w:hint="eastAsia" w:cs="Times New Roman" w:asciiTheme="minorEastAsia" w:hAnsiTheme="minorEastAsia" w:eastAsiaTheme="minorEastAsia"/>
          <w:szCs w:val="21"/>
        </w:rPr>
        <w:t>让</w:t>
      </w:r>
      <w:r>
        <w:rPr>
          <w:rFonts w:hint="eastAsia" w:asciiTheme="minorEastAsia" w:hAnsiTheme="minorEastAsia"/>
          <w:b/>
          <w:bCs/>
          <w:szCs w:val="21"/>
          <w:highlight w:val="none"/>
          <w:u w:val="single"/>
          <w:lang w:val="en-US" w:eastAsia="zh-CN"/>
        </w:rPr>
        <w:t>杭州市西湖区</w:t>
      </w:r>
      <w:bookmarkStart w:id="1" w:name="_GoBack"/>
      <w:bookmarkEnd w:id="1"/>
      <w:r>
        <w:rPr>
          <w:rFonts w:hint="eastAsia" w:asciiTheme="minorEastAsia" w:hAnsiTheme="minorEastAsia"/>
          <w:b/>
          <w:bCs/>
          <w:szCs w:val="21"/>
          <w:highlight w:val="none"/>
          <w:u w:val="single"/>
          <w:lang w:val="en-US" w:eastAsia="zh-CN"/>
        </w:rPr>
        <w:t>翠苑新村三区53幢3单元602室房产</w:t>
      </w:r>
      <w:r>
        <w:rPr>
          <w:rFonts w:hint="eastAsia" w:cs="Times New Roman" w:asciiTheme="minorEastAsia" w:hAnsiTheme="minorEastAsia" w:eastAsiaTheme="minorEastAsia"/>
          <w:szCs w:val="21"/>
          <w:lang w:val="en-US" w:eastAsia="zh-CN"/>
        </w:rPr>
        <w:t>项</w:t>
      </w:r>
      <w:r>
        <w:rPr>
          <w:rFonts w:hint="eastAsia" w:asciiTheme="minorEastAsia" w:hAnsiTheme="minorEastAsia"/>
          <w:szCs w:val="21"/>
          <w:highlight w:val="none"/>
          <w:u w:val="none"/>
          <w:lang w:val="en-US" w:eastAsia="zh-CN"/>
        </w:rPr>
        <w:t>目</w:t>
      </w:r>
      <w:r>
        <w:rPr>
          <w:rFonts w:hint="eastAsia" w:asciiTheme="minorEastAsia" w:hAnsiTheme="minorEastAsia" w:eastAsiaTheme="minorEastAsia"/>
          <w:szCs w:val="21"/>
          <w:u w:val="none"/>
        </w:rPr>
        <w:t>，现做</w:t>
      </w:r>
      <w:r>
        <w:rPr>
          <w:rFonts w:asciiTheme="minorEastAsia" w:hAnsiTheme="minorEastAsia" w:eastAsiaTheme="minorEastAsia"/>
          <w:szCs w:val="21"/>
          <w:u w:val="none"/>
        </w:rPr>
        <w:t>如下承诺：</w:t>
      </w:r>
    </w:p>
    <w:p w14:paraId="654BC9C0">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u w:val="none"/>
        </w:rPr>
      </w:pPr>
      <w:r>
        <w:rPr>
          <w:rFonts w:hint="eastAsia" w:asciiTheme="minorEastAsia" w:hAnsiTheme="minorEastAsia" w:eastAsiaTheme="minorEastAsia"/>
          <w:szCs w:val="21"/>
          <w:u w:val="none"/>
        </w:rPr>
        <w:t>1、</w:t>
      </w:r>
      <w:r>
        <w:rPr>
          <w:rFonts w:hint="eastAsia" w:asciiTheme="minorEastAsia" w:hAnsiTheme="minorEastAsia"/>
          <w:szCs w:val="21"/>
          <w:highlight w:val="none"/>
          <w:u w:val="none"/>
          <w:lang w:val="en-US" w:eastAsia="zh-CN"/>
        </w:rPr>
        <w:t>我方已仔细阅读并自愿遵守杭交所《资产转让在线报价交易须知》等文件的规定，同意按照相关规定参加本项目在线报价活动。</w:t>
      </w:r>
    </w:p>
    <w:p w14:paraId="5B6C03CC">
      <w:pPr>
        <w:keepNext w:val="0"/>
        <w:keepLines w:val="0"/>
        <w:pageBreakBefore w:val="0"/>
        <w:widowControl/>
        <w:tabs>
          <w:tab w:val="left" w:pos="6975"/>
        </w:tabs>
        <w:kinsoku/>
        <w:wordWrap/>
        <w:overflowPunct/>
        <w:topLinePunct w:val="0"/>
        <w:autoSpaceDE/>
        <w:autoSpaceDN/>
        <w:bidi w:val="0"/>
        <w:adjustRightInd/>
        <w:snapToGrid/>
        <w:spacing w:line="240" w:lineRule="auto"/>
        <w:ind w:firstLine="420" w:firstLineChars="200"/>
        <w:jc w:val="left"/>
        <w:textAlignment w:val="auto"/>
        <w:rPr>
          <w:rFonts w:asciiTheme="minorEastAsia" w:hAnsiTheme="minorEastAsia"/>
          <w:szCs w:val="21"/>
        </w:rPr>
      </w:pPr>
      <w:r>
        <w:rPr>
          <w:rFonts w:hint="eastAsia" w:asciiTheme="minorEastAsia" w:hAnsiTheme="minorEastAsia" w:eastAsiaTheme="minorEastAsia"/>
          <w:szCs w:val="21"/>
        </w:rPr>
        <w:t>2、我方提交受让申请材料并且交纳交易保证金后，即视为已详细阅读并完全认可本项目信息披露内容以及已完成对标的的现场踏勘，表明已认可并自愿接受标的现状及瑕疵，且自愿承担一切交易风险。</w:t>
      </w:r>
    </w:p>
    <w:p w14:paraId="08C434F6">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3、意向受让方须自行了解其对转让标的受让事项是否符合中国现行法律法规及标的所在地相关政策、房屋权属变更机构的相关规定，须自行承担无法过户的风险。</w:t>
      </w:r>
    </w:p>
    <w:p w14:paraId="4D454B6F">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4、意向受让方须书面承诺：</w:t>
      </w:r>
    </w:p>
    <w:p w14:paraId="2D1F5060">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（1）意向受让方选择一次性付款方式的，同意在被确定为受让方之日起 3个工作日内，携带受让申请材料原件到杭交所完成现场确认并签署《成交通知书》、《资产交易合同》；并在《成交通知书》、《资产交易合同》签署之日起20个工作日内向杭交所指定账户一次性支付交易服务费、交易价款等交易资金（《资产交易合同》签署当日，受让方交纳的交易保证金冲抵交易服务费，多余部分（若有）转为履约保证金，待应支付的剩余款项全部到帐后，履约保证金再转为交易价款的一部分）；若受让方需要委托杭州企业产权交易中心有限公司（以下简称“经纪会员”）或经纪会员指定的第三方办理权证过户手续的，经纪会员或经纪会员指定的第三方可提供有偿的权证过户服务，同时受让方还应自《成交通知书》、《资产交易合同》签署之日起20个工作日内预付款项（成交价的</w:t>
      </w:r>
      <w:r>
        <w:rPr>
          <w:rFonts w:hint="eastAsia" w:asciiTheme="minorEastAsia" w:hAnsiTheme="minorEastAsia" w:eastAsiaTheme="minorEastAsia"/>
          <w:b w:val="0"/>
          <w:bCs w:val="0"/>
          <w:szCs w:val="21"/>
          <w:lang w:val="en-US" w:eastAsia="zh-CN"/>
        </w:rPr>
        <w:t>1</w:t>
      </w:r>
      <w:r>
        <w:rPr>
          <w:rFonts w:hint="eastAsia" w:asciiTheme="minorEastAsia" w:hAnsiTheme="minorEastAsia" w:eastAsiaTheme="minorEastAsia"/>
          <w:b w:val="0"/>
          <w:bCs w:val="0"/>
          <w:szCs w:val="21"/>
        </w:rPr>
        <w:t>.5%）作为办理权证过户手续的税、费（多退少补）。受让方通过“用户中心—未使用资金”完成对成交标的交易资金的确认付款操作。</w:t>
      </w:r>
    </w:p>
    <w:p w14:paraId="05FEDA7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意向受让方选择银行贷款支付方式：对符合按揭政策的受让方申请用杭交所指定银行商业贷款支付成交款项并获得银行核准的，应在《成交通知书》、《资产交易合同》签署之日起5个工作日内向杭交所指定账户一次性支付交易服务费、首付款以及预付款项（成交价的</w:t>
      </w:r>
      <w:r>
        <w:rPr>
          <w:rFonts w:hint="eastAsia" w:asciiTheme="minorEastAsia" w:hAnsiTheme="minorEastAsia" w:eastAsiaTheme="minorEastAsia"/>
          <w:b w:val="0"/>
          <w:bCs w:val="0"/>
          <w:szCs w:val="21"/>
          <w:lang w:val="en-US" w:eastAsia="zh-CN"/>
        </w:rPr>
        <w:t>1</w:t>
      </w:r>
      <w:r>
        <w:rPr>
          <w:rFonts w:hint="eastAsia" w:asciiTheme="minorEastAsia" w:hAnsiTheme="minorEastAsia" w:eastAsiaTheme="minorEastAsia"/>
          <w:b w:val="0"/>
          <w:bCs w:val="0"/>
          <w:szCs w:val="21"/>
        </w:rPr>
        <w:t>.5%）作为办理权证过户手续的税、费（多退少补），余款用银行贷款支付（《资产交易合同》签署当日，受让方交纳的交易保证金冲抵交易服务费，多余部分（若有）转为履约保证金，待应支付的剩余首付款全部到账后，履约保证金再转为首付款的一部分）。</w:t>
      </w:r>
    </w:p>
    <w:p w14:paraId="3C51C0D8">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若银行审核后不同意贷款的，受让方应自银行贷款审核不通过之日起10个工作日内向杭交所指定账户一次性付清全部交易价款（原交易保证金扣除交易服务费后剩余部分为履约保证金）。</w:t>
      </w:r>
    </w:p>
    <w:p w14:paraId="10A198E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（2）若我方成为受让方</w:t>
      </w:r>
      <w:r>
        <w:rPr>
          <w:rFonts w:hint="eastAsia" w:asciiTheme="minorEastAsia" w:hAnsiTheme="minorEastAsia" w:eastAsiaTheme="minorEastAsia"/>
          <w:b w:val="0"/>
          <w:bCs w:val="0"/>
          <w:szCs w:val="21"/>
          <w:lang w:eastAsia="zh-CN"/>
        </w:rPr>
        <w:t>：</w:t>
      </w:r>
      <w:r>
        <w:rPr>
          <w:rFonts w:hint="eastAsia" w:asciiTheme="minorEastAsia" w:hAnsiTheme="minorEastAsia" w:eastAsiaTheme="minorEastAsia"/>
          <w:b w:val="0"/>
          <w:bCs w:val="0"/>
          <w:szCs w:val="21"/>
        </w:rPr>
        <w:t>同意杭交所在在经转让方申请之日起3个工作日内将受让方已交纳的交易价款全部划转至转让方指定账户。</w:t>
      </w:r>
    </w:p>
    <w:p w14:paraId="20910A9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3）若我方成为受让方，我方知悉并同意：同意自行了解并完全符合国家及房地产所在市规定的购房条件。若因受让方原因（包括受让方未足额付款或单方解约）造成所受让房屋无法过户，受让方所缴纳的购房款损失及其他经济损失均由受让方承担，与转让方及经纪会员无关，受让方已付履约保证金（或已转为交易价款的履约保证金等额部分）不予返还。</w:t>
      </w:r>
    </w:p>
    <w:p w14:paraId="0C75082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b w:val="0"/>
          <w:bCs w:val="0"/>
          <w:szCs w:val="21"/>
        </w:rPr>
      </w:pPr>
      <w:r>
        <w:rPr>
          <w:rFonts w:hint="eastAsia" w:asciiTheme="minorEastAsia" w:hAnsiTheme="minorEastAsia" w:eastAsiaTheme="minorEastAsia"/>
          <w:b w:val="0"/>
          <w:bCs w:val="0"/>
          <w:szCs w:val="21"/>
        </w:rPr>
        <w:t>（4）若我方成为受让方，我方知悉并同意：在办理房产权证过户手续过程中所涉及买卖双方应缴纳的税、费，按国家有关规定由</w:t>
      </w:r>
      <w:r>
        <w:rPr>
          <w:rFonts w:hint="eastAsia" w:asciiTheme="minorEastAsia" w:hAnsiTheme="minorEastAsia" w:eastAsiaTheme="minorEastAsia"/>
          <w:b w:val="0"/>
          <w:bCs w:val="0"/>
          <w:szCs w:val="21"/>
          <w:lang w:val="en-US" w:eastAsia="zh-CN"/>
        </w:rPr>
        <w:t>产权人</w:t>
      </w:r>
      <w:r>
        <w:rPr>
          <w:rFonts w:hint="eastAsia" w:asciiTheme="minorEastAsia" w:hAnsiTheme="minorEastAsia" w:eastAsiaTheme="minorEastAsia"/>
          <w:b w:val="0"/>
          <w:bCs w:val="0"/>
          <w:szCs w:val="21"/>
        </w:rPr>
        <w:t>与受让方各自承担。</w:t>
      </w:r>
    </w:p>
    <w:p w14:paraId="252AB4F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Theme="minorEastAsia" w:hAnsiTheme="minorEastAsia" w:eastAsiaTheme="minorEastAsia"/>
          <w:b w:val="0"/>
          <w:bCs w:val="0"/>
          <w:szCs w:val="21"/>
          <w:lang w:eastAsia="zh-CN"/>
        </w:rPr>
      </w:pPr>
      <w:r>
        <w:rPr>
          <w:rFonts w:hint="eastAsia" w:asciiTheme="minorEastAsia" w:hAnsiTheme="minorEastAsia" w:eastAsiaTheme="minorEastAsia"/>
          <w:b w:val="0"/>
          <w:bCs w:val="0"/>
          <w:szCs w:val="21"/>
        </w:rPr>
        <w:t>（5）若我方成为受让方，我方知悉并同意：同意在办理不动产权证变更登记手续时，有关职能部门要求提供文本合同（如网签合同）的，产权人和受让方双方应按照相关规定签订文本合同。但双方一致确认，该等新签订的文本合同仅作为办理登记手续之用，不作为双方的实际履行依据，双方权利义务关系均以《资产交易合同》（样本）为准</w:t>
      </w:r>
      <w:r>
        <w:rPr>
          <w:rFonts w:hint="eastAsia" w:asciiTheme="minorEastAsia" w:hAnsiTheme="minorEastAsia" w:eastAsiaTheme="minorEastAsia"/>
          <w:b w:val="0"/>
          <w:bCs w:val="0"/>
          <w:szCs w:val="21"/>
          <w:lang w:eastAsia="zh-CN"/>
        </w:rPr>
        <w:t>。</w:t>
      </w:r>
    </w:p>
    <w:p w14:paraId="5D8C1A82">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asciiTheme="minorEastAsia" w:hAnsiTheme="minorEastAsia" w:eastAsiaTheme="minorEastAsia"/>
          <w:b w:val="0"/>
          <w:bCs w:val="0"/>
          <w:szCs w:val="21"/>
        </w:rPr>
        <w:t>（</w:t>
      </w:r>
      <w:r>
        <w:rPr>
          <w:rFonts w:asciiTheme="minorEastAsia" w:hAnsiTheme="minorEastAsia" w:eastAsiaTheme="minorEastAsia"/>
          <w:b w:val="0"/>
          <w:bCs w:val="0"/>
          <w:szCs w:val="21"/>
        </w:rPr>
        <w:t>6</w:t>
      </w:r>
      <w:r>
        <w:rPr>
          <w:rFonts w:hint="eastAsia" w:asciiTheme="minorEastAsia" w:hAnsiTheme="minorEastAsia" w:eastAsiaTheme="minorEastAsia"/>
          <w:b w:val="0"/>
          <w:bCs w:val="0"/>
          <w:szCs w:val="21"/>
        </w:rPr>
        <w:t>）若我方成为受让方，我方知悉并同意：</w:t>
      </w:r>
      <w:r>
        <w:rPr>
          <w:rFonts w:hint="eastAsia" w:asciiTheme="minorEastAsia" w:hAnsiTheme="minorEastAsia" w:eastAsiaTheme="minorEastAsia"/>
          <w:b w:val="0"/>
          <w:bCs w:val="0"/>
          <w:szCs w:val="21"/>
          <w:lang w:val="en-US" w:eastAsia="zh-CN"/>
        </w:rPr>
        <w:t>物业管理费从交接次月起由受让方承担。</w:t>
      </w:r>
      <w:r>
        <w:rPr>
          <w:rFonts w:hint="eastAsia" w:cs="Times New Roman" w:asciiTheme="minorEastAsia" w:hAnsiTheme="minorEastAsia" w:eastAsiaTheme="minorEastAsia"/>
          <w:b w:val="0"/>
          <w:bCs w:val="0"/>
          <w:szCs w:val="21"/>
          <w:lang w:val="en-US" w:eastAsia="zh-CN"/>
        </w:rPr>
        <w:t>水、电可以重新开户的，相关手续及费用由受让方自行办理，但是否可以重新开户不在产权人合同义务范围内，具体按照交易标的情况和政府相关管理规定执行。</w:t>
      </w:r>
    </w:p>
    <w:p w14:paraId="6184B5E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bookmarkStart w:id="0" w:name="OLE_LINK2"/>
      <w:r>
        <w:rPr>
          <w:rFonts w:hint="eastAsia" w:cs="Times New Roman" w:asciiTheme="minorEastAsia" w:hAnsiTheme="minorEastAsia" w:eastAsiaTheme="minorEastAsia"/>
          <w:b w:val="0"/>
          <w:bCs w:val="0"/>
          <w:szCs w:val="21"/>
        </w:rPr>
        <w:t>（7）若我方成为受让方，我方知悉并同意：</w:t>
      </w:r>
      <w:bookmarkEnd w:id="0"/>
      <w:r>
        <w:rPr>
          <w:rFonts w:hint="eastAsia" w:cs="Times New Roman" w:asciiTheme="minorEastAsia" w:hAnsiTheme="minorEastAsia" w:eastAsiaTheme="minorEastAsia"/>
          <w:b w:val="0"/>
          <w:bCs w:val="0"/>
          <w:szCs w:val="21"/>
          <w:lang w:val="en-US" w:eastAsia="zh-CN"/>
        </w:rPr>
        <w:t>本次交易标的只限于权证核定的面积范围内。标的房屋存在长时间未使用等情况，如有漏水或需维修的情况，均由受让方自理,转让方不承担任何费用和责任。交易标的内部被改动的，包括但不限于部分墙体、楼板被打通等，可能现状外观与证载平面图所示不符，但本次交易标的均以交付现状为准，转让方不作复原。</w:t>
      </w:r>
    </w:p>
    <w:p w14:paraId="3E84CC4A">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8）若我方成为受让方，已知悉并同意：如有户口未迁出的情况发生，由杭交所通知转让方，转让方再通知原户主把户口迁出，但有关学区房孩子能否就读的情况请受让方自行查证，对此转让方、经纪会员和杭交所不做承诺。</w:t>
      </w:r>
    </w:p>
    <w:p w14:paraId="01779D7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（9）若我方成为受让方，我方知悉并同意：本次交易标的成交后，受让方需按房产所在小区物业管理规定交纳物业管理费。</w:t>
      </w:r>
    </w:p>
    <w:p w14:paraId="4AB66EF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（10）若我方成为受让方，我方知悉并同意：被确认为受让方后如果选择银行贷款支付交易价款的，同意由杭交所对受让方支付到杭交所指定账户“个人中心-未使用资金”的首付款进行扣除。</w:t>
      </w:r>
    </w:p>
    <w:p w14:paraId="3FAF5C10">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（11）若我方成为受让方，已知悉并同意：本次转让方与受让方的权利义务以及房屋的交接，最终以转让方提供的《资产交易合同》（样本）为准。</w:t>
      </w:r>
    </w:p>
    <w:p w14:paraId="7BBCF0ED">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 xml:space="preserve">（12）若我方成为受让方，我方同意按照成交价的2.5%向杭交所支付交易服务费。 </w:t>
      </w:r>
    </w:p>
    <w:p w14:paraId="7239EBB3">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cs="Times New Roman" w:asciiTheme="minorEastAsia" w:hAnsiTheme="minorEastAsia" w:eastAsiaTheme="minorEastAsia"/>
          <w:b w:val="0"/>
          <w:bCs w:val="0"/>
          <w:szCs w:val="21"/>
          <w:lang w:val="en-US" w:eastAsia="zh-CN"/>
        </w:rPr>
      </w:pPr>
      <w:r>
        <w:rPr>
          <w:rFonts w:hint="eastAsia" w:cs="Times New Roman" w:asciiTheme="minorEastAsia" w:hAnsiTheme="minorEastAsia" w:eastAsiaTheme="minorEastAsia"/>
          <w:b w:val="0"/>
          <w:bCs w:val="0"/>
          <w:szCs w:val="21"/>
          <w:lang w:val="en-US" w:eastAsia="zh-CN"/>
        </w:rPr>
        <w:t xml:space="preserve">（13）若非转让方原因，出现以下任一情况时，意向受让方交纳的保证金不予退还，先用于补偿杭交所、经纪会员的各项服务费，剩余部分作为对转让方的经济补偿金，保证金不足以补偿的，相关方有权按照实际损失继续追诉： </w:t>
      </w:r>
    </w:p>
    <w:p w14:paraId="36246C01">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cs="Times New Roman" w:asciiTheme="minorEastAsia" w:hAnsiTheme="minorEastAsia" w:eastAsiaTheme="minorEastAsia"/>
          <w:b w:val="0"/>
          <w:bCs w:val="0"/>
          <w:szCs w:val="21"/>
          <w:lang w:val="en-US" w:eastAsia="zh-CN"/>
        </w:rPr>
        <w:t>①意向受让方提交受让申</w:t>
      </w:r>
      <w:r>
        <w:rPr>
          <w:rFonts w:hint="eastAsia" w:ascii="宋体" w:hAnsi="宋体" w:cs="宋体"/>
          <w:szCs w:val="21"/>
        </w:rPr>
        <w:t>请材料并交纳交易保证金后单方撤回受让申请的；</w:t>
      </w:r>
    </w:p>
    <w:p w14:paraId="0D37EB30">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②</w:t>
      </w:r>
      <w:r>
        <w:rPr>
          <w:rFonts w:hint="eastAsia" w:ascii="宋体" w:hAnsi="宋体" w:cs="宋体"/>
          <w:szCs w:val="21"/>
        </w:rPr>
        <w:t>产生符合条件的意向受让方后，各意向受让方在竞价期间均不报价的；</w:t>
      </w:r>
    </w:p>
    <w:p w14:paraId="0040ED17">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③</w:t>
      </w:r>
      <w:r>
        <w:rPr>
          <w:rFonts w:hint="eastAsia" w:ascii="宋体" w:hAnsi="宋体" w:cs="宋体"/>
          <w:szCs w:val="21"/>
        </w:rPr>
        <w:t>在被确定为受让方后未按约定签署《资产交易合同》的或未按约定支付交易价款、交易服务费的；</w:t>
      </w:r>
    </w:p>
    <w:p w14:paraId="1AA5998C">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④</w:t>
      </w:r>
      <w:r>
        <w:rPr>
          <w:rFonts w:hint="eastAsia" w:ascii="宋体" w:hAnsi="宋体" w:cs="宋体"/>
          <w:szCs w:val="21"/>
        </w:rPr>
        <w:t>意向受让方未履行书面承诺事项的；</w:t>
      </w:r>
    </w:p>
    <w:p w14:paraId="6000C5DB">
      <w:pPr>
        <w:keepNext w:val="0"/>
        <w:keepLines w:val="0"/>
        <w:pageBreakBefore w:val="0"/>
        <w:kinsoku/>
        <w:wordWrap/>
        <w:overflowPunct/>
        <w:topLinePunct w:val="0"/>
        <w:autoSpaceDE/>
        <w:autoSpaceDN/>
        <w:bidi w:val="0"/>
        <w:adjustRightInd/>
        <w:snapToGrid/>
        <w:spacing w:line="240" w:lineRule="auto"/>
        <w:ind w:firstLine="420" w:firstLineChars="200"/>
        <w:textAlignment w:val="auto"/>
        <w:rPr>
          <w:rFonts w:hint="eastAsia" w:ascii="宋体" w:hAnsi="宋体" w:cs="宋体"/>
          <w:szCs w:val="21"/>
        </w:rPr>
      </w:pPr>
      <w:r>
        <w:rPr>
          <w:rFonts w:hint="eastAsia" w:ascii="宋体" w:hAnsi="宋体" w:cs="宋体"/>
          <w:szCs w:val="21"/>
          <w:lang w:val="en-US" w:eastAsia="zh-CN"/>
        </w:rPr>
        <w:t>⑤</w:t>
      </w:r>
      <w:r>
        <w:rPr>
          <w:rFonts w:hint="eastAsia" w:ascii="宋体" w:hAnsi="宋体" w:cs="宋体"/>
          <w:szCs w:val="21"/>
        </w:rPr>
        <w:t>存在其他违反交易规则情形的。</w:t>
      </w:r>
    </w:p>
    <w:p w14:paraId="35A8CCC4">
      <w:pPr>
        <w:keepNext w:val="0"/>
        <w:keepLines w:val="0"/>
        <w:pageBreakBefore w:val="0"/>
        <w:kinsoku/>
        <w:wordWrap/>
        <w:overflowPunct/>
        <w:topLinePunct w:val="0"/>
        <w:autoSpaceDE/>
        <w:autoSpaceDN/>
        <w:bidi w:val="0"/>
        <w:adjustRightInd/>
        <w:snapToGrid/>
        <w:spacing w:line="240" w:lineRule="auto"/>
        <w:ind w:firstLine="5250" w:firstLineChars="2500"/>
        <w:textAlignment w:val="auto"/>
        <w:rPr>
          <w:rFonts w:hint="eastAsia" w:asciiTheme="minorEastAsia" w:hAnsiTheme="minorEastAsia" w:eastAsiaTheme="minorEastAsia"/>
          <w:szCs w:val="21"/>
        </w:rPr>
      </w:pPr>
    </w:p>
    <w:p w14:paraId="34B5BCA6">
      <w:pPr>
        <w:keepNext w:val="0"/>
        <w:keepLines w:val="0"/>
        <w:pageBreakBefore w:val="0"/>
        <w:kinsoku/>
        <w:wordWrap/>
        <w:overflowPunct/>
        <w:topLinePunct w:val="0"/>
        <w:autoSpaceDE/>
        <w:autoSpaceDN/>
        <w:bidi w:val="0"/>
        <w:adjustRightInd/>
        <w:snapToGrid/>
        <w:spacing w:line="240" w:lineRule="auto"/>
        <w:ind w:firstLine="5250" w:firstLineChars="2500"/>
        <w:textAlignment w:val="auto"/>
        <w:rPr>
          <w:rFonts w:asciiTheme="minorEastAsia" w:hAnsiTheme="minorEastAsia" w:eastAsiaTheme="minorEastAsia"/>
          <w:szCs w:val="21"/>
        </w:rPr>
      </w:pPr>
      <w:r>
        <w:rPr>
          <w:rFonts w:hint="eastAsia" w:asciiTheme="minorEastAsia" w:hAnsiTheme="minorEastAsia" w:eastAsiaTheme="minorEastAsia"/>
          <w:szCs w:val="21"/>
        </w:rPr>
        <w:t>意向受让方（签章）：</w:t>
      </w:r>
    </w:p>
    <w:p w14:paraId="353DB843">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p w14:paraId="488CCEEB">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156486"/>
    <w:rsid w:val="0020310B"/>
    <w:rsid w:val="002278BB"/>
    <w:rsid w:val="002526A0"/>
    <w:rsid w:val="00255411"/>
    <w:rsid w:val="00274544"/>
    <w:rsid w:val="002F36D9"/>
    <w:rsid w:val="003229C2"/>
    <w:rsid w:val="003A2F6F"/>
    <w:rsid w:val="003E079C"/>
    <w:rsid w:val="00413930"/>
    <w:rsid w:val="00430675"/>
    <w:rsid w:val="00435A53"/>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6D33"/>
    <w:rsid w:val="00B170BB"/>
    <w:rsid w:val="00B36433"/>
    <w:rsid w:val="00B91182"/>
    <w:rsid w:val="00B923AA"/>
    <w:rsid w:val="00BD7EAF"/>
    <w:rsid w:val="00C02F3D"/>
    <w:rsid w:val="00C07B7D"/>
    <w:rsid w:val="00C2125E"/>
    <w:rsid w:val="00C300A5"/>
    <w:rsid w:val="00C434EA"/>
    <w:rsid w:val="00C73B5A"/>
    <w:rsid w:val="00C76683"/>
    <w:rsid w:val="00C80243"/>
    <w:rsid w:val="00C85BC7"/>
    <w:rsid w:val="00CB5B8C"/>
    <w:rsid w:val="00CF4007"/>
    <w:rsid w:val="00D56D57"/>
    <w:rsid w:val="00DD02F6"/>
    <w:rsid w:val="00E00E55"/>
    <w:rsid w:val="00E10ADA"/>
    <w:rsid w:val="00E60BD5"/>
    <w:rsid w:val="00EB745E"/>
    <w:rsid w:val="00ED0403"/>
    <w:rsid w:val="00ED4E9F"/>
    <w:rsid w:val="00EF62AF"/>
    <w:rsid w:val="00F06BEC"/>
    <w:rsid w:val="00F47654"/>
    <w:rsid w:val="00FA0343"/>
    <w:rsid w:val="00FA6AB7"/>
    <w:rsid w:val="0477349A"/>
    <w:rsid w:val="04D37214"/>
    <w:rsid w:val="087315C5"/>
    <w:rsid w:val="0CCA5698"/>
    <w:rsid w:val="0E134225"/>
    <w:rsid w:val="108C4856"/>
    <w:rsid w:val="109A6299"/>
    <w:rsid w:val="11431063"/>
    <w:rsid w:val="12312C66"/>
    <w:rsid w:val="168F5C99"/>
    <w:rsid w:val="1A4D26DA"/>
    <w:rsid w:val="21A71F2F"/>
    <w:rsid w:val="244C7748"/>
    <w:rsid w:val="25EF35A9"/>
    <w:rsid w:val="26851B4D"/>
    <w:rsid w:val="26CE05E2"/>
    <w:rsid w:val="2AE67843"/>
    <w:rsid w:val="2C444127"/>
    <w:rsid w:val="2E064EEA"/>
    <w:rsid w:val="2E71508E"/>
    <w:rsid w:val="30873003"/>
    <w:rsid w:val="30BD3CBE"/>
    <w:rsid w:val="310A7869"/>
    <w:rsid w:val="3617545F"/>
    <w:rsid w:val="381E3097"/>
    <w:rsid w:val="38746213"/>
    <w:rsid w:val="393C566E"/>
    <w:rsid w:val="3DF85820"/>
    <w:rsid w:val="3E70266D"/>
    <w:rsid w:val="3F1C0717"/>
    <w:rsid w:val="412C0193"/>
    <w:rsid w:val="43D31E0E"/>
    <w:rsid w:val="45C32B75"/>
    <w:rsid w:val="48BB3081"/>
    <w:rsid w:val="4CB033F0"/>
    <w:rsid w:val="4D4E2129"/>
    <w:rsid w:val="517C315B"/>
    <w:rsid w:val="51B53AC1"/>
    <w:rsid w:val="52C04869"/>
    <w:rsid w:val="550F2213"/>
    <w:rsid w:val="552600D9"/>
    <w:rsid w:val="590B26FF"/>
    <w:rsid w:val="59597257"/>
    <w:rsid w:val="5AB50C32"/>
    <w:rsid w:val="610339B9"/>
    <w:rsid w:val="64127BB2"/>
    <w:rsid w:val="646972B1"/>
    <w:rsid w:val="67FE4DC6"/>
    <w:rsid w:val="6B0965FB"/>
    <w:rsid w:val="6BF86C61"/>
    <w:rsid w:val="729C34D0"/>
    <w:rsid w:val="75F95F98"/>
    <w:rsid w:val="763754D3"/>
    <w:rsid w:val="77CC171C"/>
    <w:rsid w:val="7831152F"/>
    <w:rsid w:val="7A0905C7"/>
    <w:rsid w:val="7A361A0D"/>
    <w:rsid w:val="7A476BE2"/>
    <w:rsid w:val="7C1E312B"/>
    <w:rsid w:val="7C454301"/>
    <w:rsid w:val="7C633D37"/>
    <w:rsid w:val="7D3D2165"/>
    <w:rsid w:val="7E643B7C"/>
    <w:rsid w:val="7E7C275C"/>
    <w:rsid w:val="7E874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3"/>
    <w:semiHidden/>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NormalIndent"/>
    <w:basedOn w:val="1"/>
    <w:qFormat/>
    <w:uiPriority w:val="0"/>
    <w:pPr>
      <w:ind w:firstLine="420"/>
    </w:pPr>
  </w:style>
  <w:style w:type="paragraph" w:customStyle="1" w:styleId="11">
    <w:name w:val="样式 行距: 1.5 倍行距"/>
    <w:basedOn w:val="1"/>
    <w:qFormat/>
    <w:uiPriority w:val="0"/>
    <w:pPr>
      <w:widowControl/>
      <w:autoSpaceDE w:val="0"/>
      <w:autoSpaceDN w:val="0"/>
      <w:adjustRightInd w:val="0"/>
      <w:spacing w:line="360" w:lineRule="auto"/>
      <w:ind w:firstLine="200" w:firstLineChars="200"/>
      <w:jc w:val="left"/>
    </w:pPr>
    <w:rPr>
      <w:rFonts w:ascii="宋体" w:hAnsi="宋体" w:cs="宋体"/>
      <w:kern w:val="20"/>
      <w:sz w:val="24"/>
      <w:szCs w:val="20"/>
    </w:rPr>
  </w:style>
  <w:style w:type="character" w:customStyle="1" w:styleId="12">
    <w:name w:val="页眉 字符"/>
    <w:basedOn w:val="9"/>
    <w:link w:val="5"/>
    <w:semiHidden/>
    <w:qFormat/>
    <w:uiPriority w:val="99"/>
    <w:rPr>
      <w:rFonts w:ascii="Times New Roman" w:hAnsi="Times New Roman" w:eastAsia="宋体" w:cs="Times New Roman"/>
      <w:sz w:val="18"/>
      <w:szCs w:val="18"/>
    </w:rPr>
  </w:style>
  <w:style w:type="character" w:customStyle="1" w:styleId="13">
    <w:name w:val="页脚 字符"/>
    <w:basedOn w:val="9"/>
    <w:link w:val="4"/>
    <w:semiHidden/>
    <w:qFormat/>
    <w:uiPriority w:val="99"/>
    <w:rPr>
      <w:rFonts w:ascii="Times New Roman" w:hAnsi="Times New Roman" w:eastAsia="宋体" w:cs="Times New Roman"/>
      <w:sz w:val="18"/>
      <w:szCs w:val="18"/>
    </w:rPr>
  </w:style>
  <w:style w:type="paragraph" w:styleId="14">
    <w:name w:val="List Paragraph"/>
    <w:basedOn w:val="1"/>
    <w:qFormat/>
    <w:uiPriority w:val="34"/>
    <w:pPr>
      <w:ind w:firstLine="420" w:firstLineChars="200"/>
    </w:pPr>
  </w:style>
  <w:style w:type="paragraph" w:customStyle="1" w:styleId="15">
    <w:name w:val="HTML 预设格式 Char"/>
    <w:basedOn w:val="1"/>
    <w:qFormat/>
    <w:uiPriority w:val="0"/>
    <w:pPr>
      <w:jc w:val="left"/>
    </w:pPr>
    <w:rPr>
      <w:rFonts w:hint="eastAsia" w:ascii="宋体" w:hAnsi="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2358</Words>
  <Characters>2378</Characters>
  <Lines>15</Lines>
  <Paragraphs>4</Paragraphs>
  <TotalTime>0</TotalTime>
  <ScaleCrop>false</ScaleCrop>
  <LinksUpToDate>false</LinksUpToDate>
  <CharactersWithSpaces>2443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WPS_1226398985</cp:lastModifiedBy>
  <dcterms:modified xsi:type="dcterms:W3CDTF">2026-05-22T02:44:44Z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216A459F1CA44FC5971BDD080A80C5E3</vt:lpwstr>
  </property>
  <property fmtid="{D5CDD505-2E9C-101B-9397-08002B2CF9AE}" pid="4" name="KSOTemplateDocerSaveRecord">
    <vt:lpwstr>eyJoZGlkIjoiZDc1NjBlZjM0NGU0NjA2MWE1NTdlMzE1NDE0YjM3N2EiLCJ1c2VySWQiOiIxMjI2Mzk4OTg1In0=</vt:lpwstr>
  </property>
</Properties>
</file>