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我方就参与杭州市十五家园33幢94号702</w:t>
      </w:r>
      <w:bookmarkStart w:id="0" w:name="_GoBack"/>
      <w:bookmarkEnd w:id="0"/>
      <w:r>
        <w:rPr>
          <w:rFonts w:hint="eastAsia" w:asciiTheme="minorEastAsia" w:hAnsiTheme="minorEastAsia"/>
          <w:szCs w:val="21"/>
          <w:highlight w:val="none"/>
          <w:lang w:val="en-US" w:eastAsia="zh-CN"/>
        </w:rPr>
        <w:t>室房产</w:t>
      </w:r>
      <w:r>
        <w:rPr>
          <w:rFonts w:hint="eastAsia" w:asciiTheme="minorEastAsia" w:hAnsiTheme="minorEastAsia"/>
          <w:szCs w:val="21"/>
          <w:highlight w:val="none"/>
          <w:u w:val="none"/>
          <w:lang w:val="en-US" w:eastAsia="zh-CN"/>
        </w:rPr>
        <w:t>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u w:val="none"/>
          <w:lang w:val="en-US" w:eastAsia="zh-CN"/>
        </w:rPr>
        <w:t>1、我方已仔细阅读并自愿遵守杭交所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项目经依法展示后举行，标的以现场实物展示为准，意向受让方应当详细阅读本项目所涉及披露内容，有责任自行了解标的的状况，认真进行现场踏勘。意向受让方提交受让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符合按揭政策的受让方申请用杭交所指定银行按揭贷款支付成交款项并获得银行核准的，须在《成交通知书》、《资产交易合同》签署之日起5个工作日内付清首付款、交易服务费、预付款（房屋建筑面积90㎡以下的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已知悉：该交易标的产生的土地出让金由受让方承担。根据《杭州市规划和自然资源局印发关于进一步完善土地有偿使用管理的若干规定的通知》（杭规划资源发[2026]16号），自2026年5月起土地出让金计算标准发生重大调整。本次转让标的如涉及补缴土地出让金的，受让方可能需承担较以往标准更高的土地出让金。具体补缴金额及计算方式以杭州市规划和自然资源局窗口核定为准，请意向受让方在报名前自行前往杭州规资窗口咨询最新政策及核算标准。转让方及杭交所不对土地出让金金额及缴纳义务作出任何承诺，由此产生的一切风险及费用由受让方自行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4、本项目受让方须交纳成交金额2.5%的交易服务费。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若非转让方原因，出现以下任一情况时，意向受让方交纳的保证金不予退还，先用于补偿杭交所的服务费，剩余部分作为对转让方的经济补偿金，保证金不足以补偿的，相关方有权按照实际损失继续追诉：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（1）</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21A71F2F"/>
    <w:rsid w:val="222D7C2A"/>
    <w:rsid w:val="244C7748"/>
    <w:rsid w:val="25CF10F1"/>
    <w:rsid w:val="25EF35A9"/>
    <w:rsid w:val="26851B4D"/>
    <w:rsid w:val="2AE67843"/>
    <w:rsid w:val="2C444127"/>
    <w:rsid w:val="2E064EEA"/>
    <w:rsid w:val="2E71508E"/>
    <w:rsid w:val="30873003"/>
    <w:rsid w:val="30BD3CBE"/>
    <w:rsid w:val="310A7869"/>
    <w:rsid w:val="330674AA"/>
    <w:rsid w:val="3617545F"/>
    <w:rsid w:val="381E3097"/>
    <w:rsid w:val="38746213"/>
    <w:rsid w:val="393C566E"/>
    <w:rsid w:val="3B02794B"/>
    <w:rsid w:val="3B923C23"/>
    <w:rsid w:val="3DF85820"/>
    <w:rsid w:val="3F1C0717"/>
    <w:rsid w:val="412C0193"/>
    <w:rsid w:val="4308658D"/>
    <w:rsid w:val="43D31E0E"/>
    <w:rsid w:val="45C32B75"/>
    <w:rsid w:val="482D0632"/>
    <w:rsid w:val="48BB3081"/>
    <w:rsid w:val="4CB033F0"/>
    <w:rsid w:val="50B21B17"/>
    <w:rsid w:val="51B53AC1"/>
    <w:rsid w:val="52A237E1"/>
    <w:rsid w:val="52C04869"/>
    <w:rsid w:val="550F2213"/>
    <w:rsid w:val="552600D9"/>
    <w:rsid w:val="56775064"/>
    <w:rsid w:val="57CA4BF5"/>
    <w:rsid w:val="590B26FF"/>
    <w:rsid w:val="5AB50C32"/>
    <w:rsid w:val="5E953F31"/>
    <w:rsid w:val="610339B9"/>
    <w:rsid w:val="62C1127F"/>
    <w:rsid w:val="63C53537"/>
    <w:rsid w:val="64127BB2"/>
    <w:rsid w:val="646972B1"/>
    <w:rsid w:val="67FE4DC6"/>
    <w:rsid w:val="6B0965FB"/>
    <w:rsid w:val="6F1C59C3"/>
    <w:rsid w:val="727E70ED"/>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rFonts w:ascii="Times New Roman" w:hAnsi="Times New Roman" w:eastAsia="宋体" w:cs="Times New Roman"/>
      <w:sz w:val="18"/>
      <w:szCs w:val="18"/>
    </w:rPr>
  </w:style>
  <w:style w:type="character" w:customStyle="1" w:styleId="11">
    <w:name w:val="页脚 字符"/>
    <w:basedOn w:val="9"/>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2026-07-10T01:51:09Z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82A78F263FF149A5803BE9F4626E986A</vt:lpwstr>
  </property>
</Properties>
</file>