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F0765">
      <w:pPr>
        <w:spacing w:line="500" w:lineRule="exact"/>
        <w:jc w:val="center"/>
        <w:rPr>
          <w:rFonts w:hint="eastAsia" w:asciiTheme="minorEastAsia" w:hAnsiTheme="minorEastAsia" w:eastAsiaTheme="minorEastAsia"/>
          <w:color w:val="000000" w:themeColor="text1"/>
          <w:sz w:val="44"/>
          <w:szCs w:val="44"/>
          <w14:textFill>
            <w14:solidFill>
              <w14:schemeClr w14:val="tx1"/>
            </w14:solidFill>
          </w14:textFill>
        </w:rPr>
      </w:pPr>
      <w:bookmarkStart w:id="0" w:name="_Toc117395770"/>
      <w:r>
        <w:rPr>
          <w:rFonts w:hint="eastAsia" w:asciiTheme="minorEastAsia" w:hAnsiTheme="minorEastAsia" w:eastAsiaTheme="minorEastAsia"/>
          <w:color w:val="000000" w:themeColor="text1"/>
          <w:sz w:val="44"/>
          <w:szCs w:val="44"/>
          <w:lang w:eastAsia="zh-CN"/>
          <w14:textFill>
            <w14:solidFill>
              <w14:schemeClr w14:val="tx1"/>
            </w14:solidFill>
          </w14:textFill>
        </w:rPr>
        <w:t>（</w:t>
      </w:r>
      <w:r>
        <w:rPr>
          <w:rFonts w:hint="eastAsia" w:asciiTheme="minorEastAsia" w:hAnsiTheme="minorEastAsia" w:eastAsiaTheme="minorEastAsia"/>
          <w:color w:val="000000" w:themeColor="text1"/>
          <w:sz w:val="44"/>
          <w:szCs w:val="44"/>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44"/>
          <w:szCs w:val="44"/>
          <w:lang w:eastAsia="zh-CN"/>
          <w14:textFill>
            <w14:solidFill>
              <w14:schemeClr w14:val="tx1"/>
            </w14:solidFill>
          </w14:textFill>
        </w:rPr>
        <w:t>）</w:t>
      </w:r>
      <w:r>
        <w:rPr>
          <w:rFonts w:hint="eastAsia" w:asciiTheme="minorEastAsia" w:hAnsiTheme="minorEastAsia" w:eastAsiaTheme="minorEastAsia"/>
          <w:color w:val="000000" w:themeColor="text1"/>
          <w:sz w:val="44"/>
          <w:szCs w:val="44"/>
          <w14:textFill>
            <w14:solidFill>
              <w14:schemeClr w14:val="tx1"/>
            </w14:solidFill>
          </w14:textFill>
        </w:rPr>
        <w:t>租赁合同</w:t>
      </w:r>
    </w:p>
    <w:bookmarkEnd w:id="0"/>
    <w:p w14:paraId="093B7D0B">
      <w:pPr>
        <w:widowControl/>
        <w:jc w:val="left"/>
        <w:rPr>
          <w:rFonts w:hint="eastAsia" w:asciiTheme="minorEastAsia" w:hAnsiTheme="minorEastAsia" w:eastAsiaTheme="minorEastAsia"/>
          <w:b/>
          <w:color w:val="000000" w:themeColor="text1"/>
          <w:sz w:val="24"/>
          <w14:textFill>
            <w14:solidFill>
              <w14:schemeClr w14:val="tx1"/>
            </w14:solidFill>
          </w14:textFill>
        </w:rPr>
      </w:pPr>
    </w:p>
    <w:p w14:paraId="01059DC9">
      <w:pPr>
        <w:spacing w:line="360"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甲方（出租人）：杭州蒙正实业有限责任公司</w:t>
      </w:r>
    </w:p>
    <w:p w14:paraId="009775F7">
      <w:pPr>
        <w:spacing w:line="360" w:lineRule="auto"/>
        <w:rPr>
          <w:rFonts w:hint="eastAsia"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乙方（承租人）：</w:t>
      </w:r>
    </w:p>
    <w:p w14:paraId="4D9544DE">
      <w:pPr>
        <w:spacing w:line="360" w:lineRule="auto"/>
        <w:rPr>
          <w:rFonts w:hint="eastAsia" w:asciiTheme="minorEastAsia" w:hAnsiTheme="minorEastAsia" w:eastAsiaTheme="minorEastAsia"/>
          <w:color w:val="000000" w:themeColor="text1"/>
          <w:szCs w:val="21"/>
          <w14:textFill>
            <w14:solidFill>
              <w14:schemeClr w14:val="tx1"/>
            </w14:solidFill>
          </w14:textFill>
        </w:rPr>
      </w:pPr>
    </w:p>
    <w:p w14:paraId="727FE511">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为发展通信事业，</w:t>
      </w:r>
      <w:r>
        <w:rPr>
          <w:rFonts w:hint="eastAsia" w:asciiTheme="minorEastAsia" w:hAnsiTheme="minorEastAsia" w:eastAsiaTheme="minorEastAsia"/>
          <w:color w:val="000000" w:themeColor="text1"/>
          <w:szCs w:val="21"/>
          <w:lang w:val="en-US" w:eastAsia="zh-CN"/>
          <w14:textFill>
            <w14:solidFill>
              <w14:schemeClr w14:val="tx1"/>
            </w14:solidFill>
          </w14:textFill>
        </w:rPr>
        <w:t>要求</w:t>
      </w:r>
      <w:r>
        <w:rPr>
          <w:rFonts w:hint="eastAsia" w:asciiTheme="minorEastAsia" w:hAnsiTheme="minorEastAsia" w:eastAsiaTheme="minorEastAsia"/>
          <w:color w:val="000000" w:themeColor="text1"/>
          <w:szCs w:val="21"/>
          <w14:textFill>
            <w14:solidFill>
              <w14:schemeClr w14:val="tx1"/>
            </w14:solidFill>
          </w14:textFill>
        </w:rPr>
        <w:t>乙方建设移动通信网，扩大国家公众移动通信网的覆盖区域，依据《中华人民共和国民法典》、《中华人民共和国电信条例》及其他相关法律法规，双方就租用移动通信基站用房等事宜协商一致，签订以下合同，共同遵守执行。</w:t>
      </w:r>
    </w:p>
    <w:p w14:paraId="2F83C279">
      <w:pPr>
        <w:spacing w:line="240" w:lineRule="atLeast"/>
        <w:ind w:firstLine="422" w:firstLineChars="200"/>
        <w:rPr>
          <w:rFonts w:hint="eastAsia"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第一条 租赁物基本情况</w:t>
      </w:r>
    </w:p>
    <w:p w14:paraId="6CC87B30">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1.1甲方同意将位于</w:t>
      </w:r>
      <w:r>
        <w:rPr>
          <w:rFonts w:hint="eastAsia" w:asciiTheme="minorEastAsia" w:hAnsiTheme="minorEastAsia" w:eastAsiaTheme="minorEastAsia"/>
          <w:color w:val="000000" w:themeColor="text1"/>
          <w:szCs w:val="21"/>
          <w:u w:val="single"/>
          <w14:textFill>
            <w14:solidFill>
              <w14:schemeClr w14:val="tx1"/>
            </w14:solidFill>
          </w14:textFill>
        </w:rPr>
        <w:t xml:space="preserve"> 萧山区新街街道蒙正路22号东北角靠近红十五线处  </w:t>
      </w:r>
      <w:r>
        <w:rPr>
          <w:rFonts w:hint="eastAsia" w:asciiTheme="minorEastAsia" w:hAnsiTheme="minorEastAsia" w:eastAsiaTheme="minorEastAsia"/>
          <w:color w:val="000000" w:themeColor="text1"/>
          <w:szCs w:val="21"/>
          <w14:textFill>
            <w14:solidFill>
              <w14:schemeClr w14:val="tx1"/>
            </w14:solidFill>
          </w14:textFill>
        </w:rPr>
        <w:t>的约</w:t>
      </w:r>
      <w:r>
        <w:rPr>
          <w:rFonts w:hint="eastAsia" w:asciiTheme="minorEastAsia" w:hAnsiTheme="minorEastAsia" w:eastAsiaTheme="minorEastAsia"/>
          <w:color w:val="000000" w:themeColor="text1"/>
          <w:szCs w:val="21"/>
          <w:u w:val="single"/>
          <w14:textFill>
            <w14:solidFill>
              <w14:schemeClr w14:val="tx1"/>
            </w14:solidFill>
          </w14:textFill>
        </w:rPr>
        <w:t xml:space="preserve"> 30  </w:t>
      </w:r>
      <w:r>
        <w:rPr>
          <w:rFonts w:hint="eastAsia" w:asciiTheme="minorEastAsia" w:hAnsiTheme="minorEastAsia" w:eastAsiaTheme="minorEastAsia"/>
          <w:color w:val="000000" w:themeColor="text1"/>
          <w:szCs w:val="21"/>
          <w14:textFill>
            <w14:solidFill>
              <w14:schemeClr w14:val="tx1"/>
            </w14:solidFill>
          </w14:textFill>
        </w:rPr>
        <w:t>平方米的场地提供给乙方建设通信基站（发射塔桅、天线及机房）。</w:t>
      </w:r>
    </w:p>
    <w:p w14:paraId="622ADB78">
      <w:pPr>
        <w:spacing w:line="240" w:lineRule="atLeast"/>
        <w:ind w:firstLine="422" w:firstLineChars="200"/>
        <w:rPr>
          <w:rFonts w:hint="eastAsia"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第二条 租赁期、租金及支付</w:t>
      </w:r>
    </w:p>
    <w:p w14:paraId="21326E53">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2.1租赁期为</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年，自</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年</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月</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日（起租日）起，至</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年</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月</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日。甲方应在起租日前将租赁标的交付乙方使用。</w:t>
      </w:r>
    </w:p>
    <w:p w14:paraId="0124D186">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2.2场地租金为每年度￥</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元（大写：</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元）。上述租金中已含税，并包括物业管理费、公共设施维护费、维修基金等费用，乙方无须再就场地的使用事宜向甲方或其他方支付任何费用。</w:t>
      </w:r>
      <w:r>
        <w:rPr>
          <w:rFonts w:hint="eastAsia" w:asciiTheme="minorEastAsia" w:hAnsiTheme="minorEastAsia" w:eastAsiaTheme="minorEastAsia"/>
          <w:szCs w:val="21"/>
        </w:rPr>
        <w:t>当前税率</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%，不含税金额</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元，如遇国家税率政策变更，对于合同未履行完毕的部分，在原标的不含税（单）价不变的基础上，按照新税率重新计算标的含税（单）价/合同总价，并且继续履行。</w:t>
      </w:r>
    </w:p>
    <w:p w14:paraId="10AAF499">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2.3双方选择以下付款方式： </w:t>
      </w:r>
    </w:p>
    <w:p w14:paraId="1F022072">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首期年度租金、交易服务费及履约保证金由乙方支付给杭州产权交易所有限责任公司</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以下简称“杭交所”）</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首期</w:t>
      </w:r>
      <w:r>
        <w:rPr>
          <w:rFonts w:hint="eastAsia" w:asciiTheme="minorEastAsia" w:hAnsiTheme="minorEastAsia" w:eastAsiaTheme="minorEastAsia"/>
          <w:color w:val="000000" w:themeColor="text1"/>
          <w:szCs w:val="21"/>
          <w14:textFill>
            <w14:solidFill>
              <w14:schemeClr w14:val="tx1"/>
            </w14:solidFill>
          </w14:textFill>
        </w:rPr>
        <w:t>年度租金及履约保证金由杭交</w:t>
      </w:r>
      <w:r>
        <w:rPr>
          <w:rFonts w:hint="eastAsia" w:asciiTheme="minorEastAsia" w:hAnsiTheme="minorEastAsia" w:eastAsiaTheme="minorEastAsia"/>
          <w:color w:val="000000" w:themeColor="text1"/>
          <w:szCs w:val="21"/>
          <w:lang w:val="en-US" w:eastAsia="zh-CN"/>
          <w14:textFill>
            <w14:solidFill>
              <w14:schemeClr w14:val="tx1"/>
            </w14:solidFill>
          </w14:textFill>
        </w:rPr>
        <w:t>所于收到之日起5个工作日内</w:t>
      </w:r>
      <w:r>
        <w:rPr>
          <w:rFonts w:hint="eastAsia" w:asciiTheme="minorEastAsia" w:hAnsiTheme="minorEastAsia" w:eastAsiaTheme="minorEastAsia"/>
          <w:color w:val="000000" w:themeColor="text1"/>
          <w:szCs w:val="21"/>
          <w14:textFill>
            <w14:solidFill>
              <w14:schemeClr w14:val="tx1"/>
            </w14:solidFill>
          </w14:textFill>
        </w:rPr>
        <w:t>所转付给出租人。第一计租年度租金</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元（大写：</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元）。乙方应在合同签订后</w:t>
      </w:r>
      <w:r>
        <w:rPr>
          <w:rFonts w:hint="eastAsia" w:ascii="宋体" w:hAnsi="宋体" w:eastAsiaTheme="minorEastAsia"/>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个工作日内向杭交所指定账户一次性支付首期年度租金、交易服务费及履约保证金等交易资金（以到账时间为准）</w:t>
      </w:r>
      <w:r>
        <w:rPr>
          <w:rFonts w:hint="eastAsia" w:asciiTheme="minorEastAsia" w:hAnsiTheme="minorEastAsia" w:eastAsiaTheme="minorEastAsia"/>
          <w:color w:val="000000" w:themeColor="text1"/>
          <w:szCs w:val="21"/>
          <w14:textFill>
            <w14:solidFill>
              <w14:schemeClr w14:val="tx1"/>
            </w14:solidFill>
          </w14:textFill>
        </w:rPr>
        <w:t>。</w:t>
      </w:r>
    </w:p>
    <w:p w14:paraId="760A4A27">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后续租金由乙方直接支付给甲方，以后在每一租赁年度开始前，乙方应至少提前30日向甲方支付该租赁年度的租金，乙方在收到甲方开具的符合国家规定的增值税专用发票后30日内向甲方支付相应租金。</w:t>
      </w:r>
    </w:p>
    <w:p w14:paraId="19300307">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2.4甲方银行账户信息如下：                      </w:t>
      </w:r>
      <w:bookmarkStart w:id="3" w:name="_GoBack"/>
      <w:bookmarkEnd w:id="3"/>
    </w:p>
    <w:p w14:paraId="61F0F36A">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开 户 行：中国工商银行股份有限公司杭州新街支行                   </w:t>
      </w:r>
    </w:p>
    <w:p w14:paraId="73B71B79">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户    名：杭州蒙正实业有限责任公司                   </w:t>
      </w:r>
    </w:p>
    <w:p w14:paraId="2A6CBC9C">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账    号：1202196409000020295       </w:t>
      </w:r>
    </w:p>
    <w:p w14:paraId="5F4B6DBA">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杭州产权交易所有限责任公司收款信息如下： </w:t>
      </w:r>
    </w:p>
    <w:p w14:paraId="48CDD2B4">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户名：杭州产权交易所有限责任公司</w:t>
      </w:r>
    </w:p>
    <w:p w14:paraId="39147CEF">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开户行：杭州银行股份有限公司市民中心支行</w:t>
      </w:r>
    </w:p>
    <w:p w14:paraId="52A5D55C">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账号：3301040160002045899            </w:t>
      </w:r>
    </w:p>
    <w:p w14:paraId="3EF7138C">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2.5乙方开票信息如下：</w:t>
      </w:r>
    </w:p>
    <w:p w14:paraId="27B5B5A2">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单位全称：</w:t>
      </w:r>
    </w:p>
    <w:p w14:paraId="0105BE2E">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税    号：</w:t>
      </w:r>
    </w:p>
    <w:p w14:paraId="6E32DBD0">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地    址：</w:t>
      </w:r>
    </w:p>
    <w:p w14:paraId="3027B2E6">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电    话：</w:t>
      </w:r>
    </w:p>
    <w:p w14:paraId="7E06F09A">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开 户 行：</w:t>
      </w:r>
    </w:p>
    <w:p w14:paraId="3678CE83">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账    号：</w:t>
      </w:r>
    </w:p>
    <w:p w14:paraId="39B0DBC9">
      <w:pPr>
        <w:spacing w:line="240" w:lineRule="atLeast"/>
        <w:ind w:firstLine="422" w:firstLineChars="200"/>
        <w:rPr>
          <w:rFonts w:hint="eastAsia"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第三条 履约保证金</w:t>
      </w:r>
    </w:p>
    <w:p w14:paraId="4E284118">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乙方按照合同首年租金的10%向甲方交纳场租履约保证金（以下简称“保证金”），</w:t>
      </w:r>
      <w:r>
        <w:rPr>
          <w:rFonts w:hint="eastAsia" w:asciiTheme="minorEastAsia" w:hAnsiTheme="minorEastAsia" w:eastAsiaTheme="minorEastAsia"/>
          <w:color w:val="000000" w:themeColor="text1"/>
          <w:szCs w:val="21"/>
          <w:lang w:val="en-US" w:eastAsia="zh-CN"/>
          <w14:textFill>
            <w14:solidFill>
              <w14:schemeClr w14:val="tx1"/>
            </w14:solidFill>
          </w14:textFill>
        </w:rPr>
        <w:t>保证金随首期年度租金一并支付至杭交所指定账户，由杭交所支付至甲方指定账户，</w:t>
      </w:r>
      <w:r>
        <w:rPr>
          <w:rFonts w:hint="eastAsia" w:asciiTheme="minorEastAsia" w:hAnsiTheme="minorEastAsia" w:eastAsiaTheme="minorEastAsia"/>
          <w:color w:val="000000" w:themeColor="text1"/>
          <w:szCs w:val="21"/>
          <w14:textFill>
            <w14:solidFill>
              <w14:schemeClr w14:val="tx1"/>
            </w14:solidFill>
          </w14:textFill>
        </w:rPr>
        <w:t>场租履约保证金：</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元。</w:t>
      </w:r>
    </w:p>
    <w:p w14:paraId="13BF7C48">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租赁期限届满，双方需就租赁该场地而产生的一切权利和义务清理完毕后，甲方将保证金或剩余保证金退还乙方。</w:t>
      </w:r>
    </w:p>
    <w:p w14:paraId="30ED8EDC">
      <w:pPr>
        <w:spacing w:line="240" w:lineRule="atLeast"/>
        <w:ind w:firstLine="420" w:firstLineChars="200"/>
        <w:rPr>
          <w:rFonts w:hint="default"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乙方如发生中标后</w:t>
      </w:r>
      <w:r>
        <w:rPr>
          <w:rFonts w:hint="eastAsia" w:asciiTheme="minorEastAsia" w:hAnsiTheme="minorEastAsia" w:eastAsiaTheme="minorEastAsia"/>
          <w:color w:val="000000" w:themeColor="text1"/>
          <w:szCs w:val="21"/>
          <w:lang w:val="en-US" w:eastAsia="zh-CN"/>
          <w14:textFill>
            <w14:solidFill>
              <w14:schemeClr w14:val="tx1"/>
            </w14:solidFill>
          </w14:textFill>
        </w:rPr>
        <w:t>拒签</w:t>
      </w:r>
      <w:r>
        <w:rPr>
          <w:rFonts w:hint="eastAsia" w:asciiTheme="minorEastAsia" w:hAnsiTheme="minorEastAsia" w:eastAsiaTheme="minorEastAsia"/>
          <w:color w:val="000000" w:themeColor="text1"/>
          <w:szCs w:val="21"/>
          <w14:textFill>
            <w14:solidFill>
              <w14:schemeClr w14:val="tx1"/>
            </w14:solidFill>
          </w14:textFill>
        </w:rPr>
        <w:t>合同、擅自转包、违法分包、有安全隐患拒不整改、严重违约导致合同解除等情形，甲方可不退还保证金。乙方对甲方抵扣保证金有异议的，可以以书面形式向甲方提出，双方协商解决，协商不成的，适用本合同争议解决条款，但乙方提出异议不影响甲方的抵扣行为。</w:t>
      </w:r>
      <w:r>
        <w:rPr>
          <w:rFonts w:hint="eastAsia" w:asciiTheme="minorEastAsia" w:hAnsiTheme="minorEastAsia" w:eastAsiaTheme="minorEastAsia"/>
          <w:color w:val="000000" w:themeColor="text1"/>
          <w:szCs w:val="21"/>
          <w:lang w:val="en-US" w:eastAsia="zh-CN"/>
          <w14:textFill>
            <w14:solidFill>
              <w14:schemeClr w14:val="tx1"/>
            </w14:solidFill>
          </w14:textFill>
        </w:rPr>
        <w:t>保证金抵扣后，乙方应当自抵扣之日起5个工作日内予以补足。</w:t>
      </w:r>
    </w:p>
    <w:p w14:paraId="5397497C">
      <w:pPr>
        <w:spacing w:line="240" w:lineRule="atLeast"/>
        <w:ind w:firstLine="422"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第四条 甲方权利和义务</w:t>
      </w:r>
    </w:p>
    <w:p w14:paraId="6DEB0857">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4.1甲方承诺对本场地拥有持续、合法的权利，并有权出租给乙方使用，</w:t>
      </w:r>
      <w:r>
        <w:rPr>
          <w:rFonts w:hint="eastAsia" w:asciiTheme="minorEastAsia" w:hAnsiTheme="minorEastAsia"/>
          <w:bCs/>
          <w:color w:val="000000" w:themeColor="text1"/>
          <w:szCs w:val="21"/>
          <w14:textFill>
            <w14:solidFill>
              <w14:schemeClr w14:val="tx1"/>
            </w14:solidFill>
          </w14:textFill>
        </w:rPr>
        <w:t>对向乙方提交签订合同相关材料的真实性负责，</w:t>
      </w:r>
      <w:r>
        <w:rPr>
          <w:rFonts w:hint="eastAsia" w:asciiTheme="minorEastAsia" w:hAnsiTheme="minorEastAsia" w:eastAsiaTheme="minorEastAsia"/>
          <w:color w:val="000000" w:themeColor="text1"/>
          <w:szCs w:val="21"/>
          <w14:textFill>
            <w14:solidFill>
              <w14:schemeClr w14:val="tx1"/>
            </w14:solidFill>
          </w14:textFill>
        </w:rPr>
        <w:t>在本合同签订前未将该场地作抵押，场地适于合同约定的租赁用途，并有权按本合同约定收取租金。</w:t>
      </w:r>
    </w:p>
    <w:p w14:paraId="6CABD9D4">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租赁期间，甲方如需出卖或抵押上述场地使用权，应告知场地使用权的受让人或抵押权人本合同的相关条款。使用权或所有权转移给第三人后，遵循买卖和整体转租不破坏已租赁事实的原则，该第三人即成为本合同的当然甲方，本协议除甲方主体作相应变更外继续有效，新甲方承受原甲方的权利义务。 </w:t>
      </w:r>
    </w:p>
    <w:p w14:paraId="17D08D55">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4.2甲方同意并应积极配合乙方基于移动通信基站建设、使用需要对场地进行的施工、装修、改造和相关设备安装，并为乙方光缆入户、日常维修、后续施工等提供便利，且不另行收取费用； </w:t>
      </w:r>
    </w:p>
    <w:p w14:paraId="0EB2AEDE">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4.3甲方应协助乙方共同保护设置在场地上的机房或通信设备；如因第三方主张权利或周边居民阻扰，影响乙方租用场地的，甲方应积极配合乙方进行协调。</w:t>
      </w:r>
    </w:p>
    <w:p w14:paraId="1AF4B586">
      <w:pPr>
        <w:spacing w:line="240" w:lineRule="atLeast"/>
        <w:ind w:firstLine="420" w:firstLineChars="200"/>
        <w:rPr>
          <w:rFonts w:hint="eastAsia" w:asciiTheme="minorEastAsia" w:hAnsiTheme="minorEastAsia" w:eastAsiaTheme="minorEastAsia"/>
          <w:bCs/>
          <w:color w:val="000000" w:themeColor="text1"/>
          <w:kern w:val="0"/>
          <w:szCs w:val="21"/>
          <w14:textFill>
            <w14:solidFill>
              <w14:schemeClr w14:val="tx1"/>
            </w14:solidFill>
          </w14:textFill>
        </w:rPr>
      </w:pPr>
      <w:r>
        <w:rPr>
          <w:rFonts w:hint="eastAsia" w:asciiTheme="minorEastAsia" w:hAnsiTheme="minorEastAsia" w:eastAsiaTheme="minorEastAsia"/>
          <w:bCs/>
          <w:color w:val="000000" w:themeColor="text1"/>
          <w:kern w:val="0"/>
          <w:szCs w:val="21"/>
          <w14:textFill>
            <w14:solidFill>
              <w14:schemeClr w14:val="tx1"/>
            </w14:solidFill>
          </w14:textFill>
        </w:rPr>
        <w:t>4.4</w:t>
      </w:r>
      <w:r>
        <w:rPr>
          <w:rFonts w:hint="eastAsia" w:asciiTheme="minorEastAsia" w:hAnsiTheme="minorEastAsia" w:eastAsiaTheme="minorEastAsia"/>
          <w:color w:val="000000" w:themeColor="text1"/>
          <w:szCs w:val="21"/>
          <w14:textFill>
            <w14:solidFill>
              <w14:schemeClr w14:val="tx1"/>
            </w14:solidFill>
          </w14:textFill>
        </w:rPr>
        <w:t xml:space="preserve"> 一般情况下，甲方不得提前终止合同，当遇城市规划拆迁等不可抗力原因需提前中止合同时，甲方应提前三个月通知乙方，否则合同自拆迁开始时自动终止，并配合乙方向拆迁单位等有关机构索取包括搬迁补偿费在内的</w:t>
      </w:r>
      <w:r>
        <w:rPr>
          <w:rFonts w:hint="eastAsia" w:asciiTheme="minorEastAsia" w:hAnsiTheme="minorEastAsia" w:eastAsiaTheme="minorEastAsia"/>
          <w:color w:val="000000" w:themeColor="text1"/>
          <w:szCs w:val="21"/>
          <w:lang w:val="en-US" w:eastAsia="zh-CN"/>
          <w14:textFill>
            <w14:solidFill>
              <w14:schemeClr w14:val="tx1"/>
            </w14:solidFill>
          </w14:textFill>
        </w:rPr>
        <w:t>属于乙方的</w:t>
      </w:r>
      <w:r>
        <w:rPr>
          <w:rFonts w:hint="eastAsia" w:asciiTheme="minorEastAsia" w:hAnsiTheme="minorEastAsia" w:eastAsiaTheme="minorEastAsia"/>
          <w:color w:val="000000" w:themeColor="text1"/>
          <w:szCs w:val="21"/>
          <w14:textFill>
            <w14:solidFill>
              <w14:schemeClr w14:val="tx1"/>
            </w14:solidFill>
          </w14:textFill>
        </w:rPr>
        <w:t>各项法定补偿；</w:t>
      </w:r>
      <w:r>
        <w:rPr>
          <w:rFonts w:hint="eastAsia" w:asciiTheme="minorEastAsia" w:hAnsiTheme="minorEastAsia" w:eastAsiaTheme="minorEastAsia"/>
          <w:color w:val="000000" w:themeColor="text1"/>
          <w:szCs w:val="21"/>
          <w:lang w:val="en-US" w:eastAsia="zh-CN"/>
          <w14:textFill>
            <w14:solidFill>
              <w14:schemeClr w14:val="tx1"/>
            </w14:solidFill>
          </w14:textFill>
        </w:rPr>
        <w:t>本合同项下，拆迁时涉及租赁场地产权的补偿等归甲方所有。</w:t>
      </w:r>
      <w:r>
        <w:rPr>
          <w:rFonts w:hint="eastAsia" w:asciiTheme="minorEastAsia" w:hAnsiTheme="minorEastAsia" w:eastAsiaTheme="minorEastAsia"/>
          <w:color w:val="000000" w:themeColor="text1"/>
          <w:szCs w:val="21"/>
          <w14:textFill>
            <w14:solidFill>
              <w14:schemeClr w14:val="tx1"/>
            </w14:solidFill>
          </w14:textFill>
        </w:rPr>
        <w:t>如遇场地被抵押等产权纠纷的，甲方也应提前告知乙方。因以上原因影响乙方对场地正常</w:t>
      </w:r>
      <w:r>
        <w:rPr>
          <w:rFonts w:hint="eastAsia" w:asciiTheme="minorEastAsia" w:hAnsiTheme="minorEastAsia" w:eastAsiaTheme="minorEastAsia"/>
          <w:bCs/>
          <w:color w:val="000000" w:themeColor="text1"/>
          <w:kern w:val="0"/>
          <w:szCs w:val="21"/>
          <w14:textFill>
            <w14:solidFill>
              <w14:schemeClr w14:val="tx1"/>
            </w14:solidFill>
          </w14:textFill>
        </w:rPr>
        <w:t>使用的，导致合同无法履行，甲方应退还乙方已付未到期部分的相应租金。因乙方原因导致合同提前解除的，甲方不退还未到期部分的相应租金。</w:t>
      </w:r>
    </w:p>
    <w:p w14:paraId="38E485B6">
      <w:pPr>
        <w:spacing w:line="240" w:lineRule="atLeast"/>
        <w:ind w:firstLine="420" w:firstLineChars="200"/>
        <w:rPr>
          <w:rFonts w:hint="eastAsia"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4.5合同期内甲方应积极配合保站，除不可抗力外（无论是否系第三方因素造成），甲方应对因甲方原因导致乙方不能正常使用基站（包括但不限于断电、拆站、无法正常运维等）造成的损失予以赔偿（包括但不限于运营商考核扣罚的损失等）。</w:t>
      </w:r>
    </w:p>
    <w:p w14:paraId="334F7E06">
      <w:pPr>
        <w:spacing w:line="240" w:lineRule="atLeast"/>
        <w:ind w:firstLine="420" w:firstLineChars="200"/>
        <w:rPr>
          <w:rFonts w:hint="eastAsia"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4.6甲方不承担乙方设备的维护、维修、水电等其他一切费用，乙方维持维修设备运行的一切费用均由乙方自行承担。</w:t>
      </w:r>
    </w:p>
    <w:p w14:paraId="31EA5B27">
      <w:pPr>
        <w:spacing w:line="240" w:lineRule="atLeast"/>
        <w:ind w:firstLine="420" w:firstLineChars="200"/>
        <w:rPr>
          <w:rFonts w:hint="eastAsia" w:asciiTheme="minorEastAsia" w:hAnsiTheme="minorEastAsia" w:eastAsiaTheme="minorEastAsia"/>
          <w:bCs/>
          <w:color w:val="000000" w:themeColor="text1"/>
          <w:kern w:val="0"/>
          <w:szCs w:val="21"/>
          <w14:textFill>
            <w14:solidFill>
              <w14:schemeClr w14:val="tx1"/>
            </w14:solidFill>
          </w14:textFill>
        </w:rPr>
      </w:pPr>
      <w:r>
        <w:rPr>
          <w:rFonts w:hint="eastAsia" w:asciiTheme="minorEastAsia" w:hAnsiTheme="minorEastAsia" w:eastAsiaTheme="minorEastAsia"/>
          <w:bCs/>
          <w:color w:val="000000" w:themeColor="text1"/>
          <w:kern w:val="0"/>
          <w:szCs w:val="21"/>
          <w14:textFill>
            <w14:solidFill>
              <w14:schemeClr w14:val="tx1"/>
            </w14:solidFill>
          </w14:textFill>
        </w:rPr>
        <w:t>4.7为保障公共通信安全，租赁期内，双方因履行本合同发生任何争议或纠纷，在争议或纠纷未最终解决之前，</w:t>
      </w:r>
      <w:r>
        <w:rPr>
          <w:rFonts w:hint="eastAsia" w:asciiTheme="minorEastAsia" w:hAnsiTheme="minorEastAsia" w:eastAsiaTheme="minorEastAsia"/>
          <w:bCs/>
          <w:color w:val="000000" w:themeColor="text1"/>
          <w:kern w:val="0"/>
          <w:szCs w:val="21"/>
          <w:lang w:val="en-US" w:eastAsia="zh-CN"/>
          <w14:textFill>
            <w14:solidFill>
              <w14:schemeClr w14:val="tx1"/>
            </w14:solidFill>
          </w14:textFill>
        </w:rPr>
        <w:t>除乙方存在严重违约行为导致合同目的不能实现外，</w:t>
      </w:r>
      <w:r>
        <w:rPr>
          <w:rFonts w:hint="eastAsia" w:asciiTheme="minorEastAsia" w:hAnsiTheme="minorEastAsia" w:eastAsiaTheme="minorEastAsia"/>
          <w:bCs/>
          <w:color w:val="000000" w:themeColor="text1"/>
          <w:kern w:val="0"/>
          <w:szCs w:val="21"/>
          <w14:textFill>
            <w14:solidFill>
              <w14:schemeClr w14:val="tx1"/>
            </w14:solidFill>
          </w14:textFill>
        </w:rPr>
        <w:t>甲方不得采取任何措施妨碍通信安全和正常运行。</w:t>
      </w:r>
    </w:p>
    <w:p w14:paraId="40A3B90B">
      <w:pPr>
        <w:spacing w:line="264"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kern w:val="0"/>
          <w:szCs w:val="21"/>
          <w14:textFill>
            <w14:solidFill>
              <w14:schemeClr w14:val="tx1"/>
            </w14:solidFill>
          </w14:textFill>
        </w:rPr>
        <w:t>4.8</w:t>
      </w:r>
      <w:r>
        <w:rPr>
          <w:rFonts w:hint="eastAsia" w:ascii="宋体" w:hAnsi="宋体" w:cs="宋体"/>
          <w:bCs/>
          <w:color w:val="000000" w:themeColor="text1"/>
          <w:kern w:val="0"/>
          <w:szCs w:val="21"/>
          <w14:textFill>
            <w14:solidFill>
              <w14:schemeClr w14:val="tx1"/>
            </w14:solidFill>
          </w14:textFill>
        </w:rPr>
        <w:t>租赁</w:t>
      </w:r>
      <w:r>
        <w:rPr>
          <w:rFonts w:hint="eastAsia" w:ascii="宋体" w:hAnsi="宋体" w:cs="宋体"/>
          <w:color w:val="000000" w:themeColor="text1"/>
          <w:szCs w:val="21"/>
          <w14:textFill>
            <w14:solidFill>
              <w14:schemeClr w14:val="tx1"/>
            </w14:solidFill>
          </w14:textFill>
        </w:rPr>
        <w:t>期满，甲方有权收回全部出租场地，若乙方有意向继续租赁的，可参加公开招租工作，乙方享有同等条件下优先承租权。若乙方无意向租赁或经公开招租后未获得租赁权，或甲方决定收回该场地暂时不再出租时，乙方应于租赁到期后</w:t>
      </w:r>
      <w:r>
        <w:rPr>
          <w:rFonts w:hint="eastAsia" w:asciiTheme="minorEastAsia" w:hAnsiTheme="minorEastAsia" w:eastAsiaTheme="minorEastAsia"/>
          <w:color w:val="000000" w:themeColor="text1"/>
          <w:szCs w:val="21"/>
          <w:u w:val="single"/>
          <w14:textFill>
            <w14:solidFill>
              <w14:schemeClr w14:val="tx1"/>
            </w14:solidFill>
          </w14:textFill>
        </w:rPr>
        <w:t xml:space="preserve"> 60 </w:t>
      </w:r>
      <w:r>
        <w:rPr>
          <w:rFonts w:hint="eastAsia" w:ascii="宋体" w:hAnsi="宋体" w:cs="宋体"/>
          <w:color w:val="000000" w:themeColor="text1"/>
          <w:szCs w:val="21"/>
          <w14:textFill>
            <w14:solidFill>
              <w14:schemeClr w14:val="tx1"/>
            </w14:solidFill>
          </w14:textFill>
        </w:rPr>
        <w:t>日历日内将该场地腾退并归还甲方，该段时期为过渡期，过渡期内乙方应以不低于原日租金标准支付补偿金</w:t>
      </w:r>
      <w:r>
        <w:rPr>
          <w:rFonts w:hint="eastAsia" w:ascii="宋体" w:hAnsi="宋体" w:cs="宋体"/>
          <w:color w:val="000000" w:themeColor="text1"/>
          <w:szCs w:val="21"/>
          <w:lang w:val="en-US" w:eastAsia="zh-CN"/>
          <w14:textFill>
            <w14:solidFill>
              <w14:schemeClr w14:val="tx1"/>
            </w14:solidFill>
          </w14:textFill>
        </w:rPr>
        <w:t>于</w:t>
      </w:r>
      <w:r>
        <w:rPr>
          <w:rFonts w:hint="eastAsia" w:ascii="宋体" w:hAnsi="宋体" w:cs="宋体"/>
          <w:color w:val="000000" w:themeColor="text1"/>
          <w:szCs w:val="21"/>
          <w14:textFill>
            <w14:solidFill>
              <w14:schemeClr w14:val="tx1"/>
            </w14:solidFill>
          </w14:textFill>
        </w:rPr>
        <w:t>甲方。如乙方逾期不归还</w:t>
      </w:r>
      <w:r>
        <w:rPr>
          <w:rFonts w:hint="eastAsia" w:ascii="宋体" w:hAnsi="宋体" w:cs="宋体"/>
          <w:color w:val="000000" w:themeColor="text1"/>
          <w:szCs w:val="21"/>
          <w:lang w:val="en-US" w:eastAsia="zh-CN"/>
          <w14:textFill>
            <w14:solidFill>
              <w14:schemeClr w14:val="tx1"/>
            </w14:solidFill>
          </w14:textFill>
        </w:rPr>
        <w:t>或腾退</w:t>
      </w:r>
      <w:r>
        <w:rPr>
          <w:rFonts w:hint="eastAsia" w:ascii="宋体" w:hAnsi="宋体" w:cs="宋体"/>
          <w:color w:val="000000" w:themeColor="text1"/>
          <w:szCs w:val="21"/>
          <w14:textFill>
            <w14:solidFill>
              <w14:schemeClr w14:val="tx1"/>
            </w14:solidFill>
          </w14:textFill>
        </w:rPr>
        <w:t>的，甲方有权要求每逾期一天按日租金2倍向甲方支付场地占用费。腾退期间产生的一切费用均由乙方承担。</w:t>
      </w:r>
    </w:p>
    <w:p w14:paraId="520CC00E">
      <w:pPr>
        <w:spacing w:line="240" w:lineRule="atLeast"/>
        <w:ind w:firstLine="422" w:firstLineChars="200"/>
        <w:rPr>
          <w:rFonts w:hint="eastAsia"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第五条 乙方权利和义务</w:t>
      </w:r>
    </w:p>
    <w:p w14:paraId="47D99959">
      <w:pPr>
        <w:spacing w:line="240" w:lineRule="atLeast"/>
        <w:ind w:firstLine="420" w:firstLineChars="200"/>
        <w:rPr>
          <w:rFonts w:hint="eastAsia"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5.1按时交纳租金</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如乙方未按约支付租金的，每逾期一日，乙方应按未支付租金总额的万分之五支付逾期付款违约金，可从保证金中抵扣；逾期达15日，甲方有权解除合同并没收保证金，仍不足以赔偿甲方所遭受的全部损失的，乙方予以补足。</w:t>
      </w:r>
    </w:p>
    <w:p w14:paraId="4E30AD61">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p>
    <w:p w14:paraId="3C784957">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5.2乙方保证按合同约定用途使用租赁场地，不得随意损坏场地原有设施及其用途，不得擅自将场地转让、转借他人或调换使用。</w:t>
      </w:r>
    </w:p>
    <w:p w14:paraId="6DA2660B">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5.3租赁期内，因不可归咎于乙方的原因导致乙方不能继续使用场地时，合同无法履行时，甲方应按未履约时间比例退还乙方已预付的相应租金。</w:t>
      </w:r>
    </w:p>
    <w:p w14:paraId="0A31B33A">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5.4租赁期内，乙方由于经营、技术、法律等方面的原因，需要提前终止租赁合同的，应提前</w:t>
      </w:r>
      <w:r>
        <w:rPr>
          <w:rFonts w:hint="eastAsia" w:asciiTheme="minorEastAsia" w:hAnsiTheme="minorEastAsia" w:eastAsiaTheme="minorEastAsia"/>
          <w:color w:val="000000" w:themeColor="text1"/>
          <w:szCs w:val="21"/>
          <w:lang w:val="en-US" w:eastAsia="zh-CN"/>
          <w14:textFill>
            <w14:solidFill>
              <w14:schemeClr w14:val="tx1"/>
            </w14:solidFill>
          </w14:textFill>
        </w:rPr>
        <w:t>三</w:t>
      </w:r>
      <w:r>
        <w:rPr>
          <w:rFonts w:hint="eastAsia" w:asciiTheme="minorEastAsia" w:hAnsiTheme="minorEastAsia" w:eastAsiaTheme="minorEastAsia"/>
          <w:color w:val="000000" w:themeColor="text1"/>
          <w:szCs w:val="21"/>
          <w14:textFill>
            <w14:solidFill>
              <w14:schemeClr w14:val="tx1"/>
            </w14:solidFill>
          </w14:textFill>
        </w:rPr>
        <w:t>个月通知甲方，</w:t>
      </w:r>
      <w:r>
        <w:rPr>
          <w:rFonts w:hint="eastAsia" w:asciiTheme="minorEastAsia" w:hAnsiTheme="minorEastAsia" w:eastAsiaTheme="minorEastAsia"/>
          <w:color w:val="000000" w:themeColor="text1"/>
          <w:szCs w:val="21"/>
          <w:lang w:val="en-US" w:eastAsia="zh-CN"/>
          <w14:textFill>
            <w14:solidFill>
              <w14:schemeClr w14:val="tx1"/>
            </w14:solidFill>
          </w14:textFill>
        </w:rPr>
        <w:t>经甲方同意后方可解除合同，乙方除</w:t>
      </w:r>
      <w:r>
        <w:rPr>
          <w:rFonts w:hint="eastAsia" w:asciiTheme="minorEastAsia" w:hAnsiTheme="minorEastAsia" w:eastAsiaTheme="minorEastAsia"/>
          <w:color w:val="000000" w:themeColor="text1"/>
          <w:szCs w:val="21"/>
          <w14:textFill>
            <w14:solidFill>
              <w14:schemeClr w14:val="tx1"/>
            </w14:solidFill>
          </w14:textFill>
        </w:rPr>
        <w:t>按实际租赁时间计算、支付租金</w:t>
      </w:r>
      <w:r>
        <w:rPr>
          <w:rFonts w:hint="eastAsia" w:asciiTheme="minorEastAsia" w:hAnsiTheme="minorEastAsia" w:eastAsiaTheme="minorEastAsia"/>
          <w:color w:val="000000" w:themeColor="text1"/>
          <w:szCs w:val="21"/>
          <w:lang w:val="en-US" w:eastAsia="zh-CN"/>
          <w14:textFill>
            <w14:solidFill>
              <w14:schemeClr w14:val="tx1"/>
            </w14:solidFill>
          </w14:textFill>
        </w:rPr>
        <w:t>外，还应向甲方支付 1 个月租金作为违约金”</w:t>
      </w:r>
      <w:r>
        <w:rPr>
          <w:rFonts w:hint="eastAsia" w:asciiTheme="minorEastAsia" w:hAnsiTheme="minorEastAsia" w:eastAsiaTheme="minorEastAsia"/>
          <w:color w:val="000000" w:themeColor="text1"/>
          <w:szCs w:val="21"/>
          <w14:textFill>
            <w14:solidFill>
              <w14:schemeClr w14:val="tx1"/>
            </w14:solidFill>
          </w14:textFill>
        </w:rPr>
        <w:t>。</w:t>
      </w:r>
    </w:p>
    <w:p w14:paraId="49835BEE">
      <w:pPr>
        <w:spacing w:line="240" w:lineRule="atLeast"/>
        <w:ind w:firstLine="420" w:firstLineChars="200"/>
        <w:rPr>
          <w:rFonts w:hint="eastAsia"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5.5乙方有权对</w:t>
      </w:r>
      <w:r>
        <w:rPr>
          <w:rFonts w:hint="eastAsia" w:asciiTheme="minorEastAsia" w:hAnsiTheme="minorEastAsia" w:eastAsiaTheme="minorEastAsia"/>
          <w:color w:val="000000" w:themeColor="text1"/>
          <w:kern w:val="0"/>
          <w:szCs w:val="21"/>
          <w14:textFill>
            <w14:solidFill>
              <w14:schemeClr w14:val="tx1"/>
            </w14:solidFill>
          </w14:textFill>
        </w:rPr>
        <w:t>场地</w:t>
      </w:r>
      <w:r>
        <w:rPr>
          <w:rFonts w:hint="eastAsia" w:asciiTheme="minorEastAsia" w:hAnsiTheme="minorEastAsia" w:eastAsiaTheme="minorEastAsia"/>
          <w:color w:val="000000" w:themeColor="text1"/>
          <w:szCs w:val="21"/>
          <w14:textFill>
            <w14:solidFill>
              <w14:schemeClr w14:val="tx1"/>
            </w14:solidFill>
          </w14:textFill>
        </w:rPr>
        <w:t>进行施工、装修及设备安装等，但应确保</w:t>
      </w:r>
      <w:r>
        <w:rPr>
          <w:rFonts w:hint="eastAsia" w:asciiTheme="minorEastAsia" w:hAnsiTheme="minorEastAsia" w:eastAsiaTheme="minorEastAsia"/>
          <w:color w:val="000000" w:themeColor="text1"/>
          <w:kern w:val="0"/>
          <w:szCs w:val="21"/>
          <w14:textFill>
            <w14:solidFill>
              <w14:schemeClr w14:val="tx1"/>
            </w14:solidFill>
          </w14:textFill>
        </w:rPr>
        <w:t>场地</w:t>
      </w:r>
      <w:r>
        <w:rPr>
          <w:rFonts w:hint="eastAsia" w:asciiTheme="minorEastAsia" w:hAnsiTheme="minorEastAsia" w:eastAsiaTheme="minorEastAsia"/>
          <w:color w:val="000000" w:themeColor="text1"/>
          <w:szCs w:val="21"/>
          <w14:textFill>
            <w14:solidFill>
              <w14:schemeClr w14:val="tx1"/>
            </w14:solidFill>
          </w14:textFill>
        </w:rPr>
        <w:t>现有整体结构不受损坏，如因施工造成的损坏或造成安全隐患，概由乙方负责并赔偿。</w:t>
      </w:r>
      <w:r>
        <w:rPr>
          <w:rFonts w:hint="eastAsia" w:asciiTheme="minorEastAsia" w:hAnsiTheme="minorEastAsia" w:eastAsiaTheme="minorEastAsia"/>
          <w:bCs/>
          <w:color w:val="000000" w:themeColor="text1"/>
          <w:szCs w:val="21"/>
          <w14:textFill>
            <w14:solidFill>
              <w14:schemeClr w14:val="tx1"/>
            </w14:solidFill>
          </w14:textFill>
        </w:rPr>
        <w:t>乙方对</w:t>
      </w:r>
      <w:r>
        <w:rPr>
          <w:rFonts w:hint="eastAsia" w:asciiTheme="minorEastAsia" w:hAnsiTheme="minorEastAsia" w:eastAsiaTheme="minorEastAsia"/>
          <w:color w:val="000000" w:themeColor="text1"/>
          <w:kern w:val="0"/>
          <w:szCs w:val="21"/>
          <w14:textFill>
            <w14:solidFill>
              <w14:schemeClr w14:val="tx1"/>
            </w14:solidFill>
          </w14:textFill>
        </w:rPr>
        <w:t>场地</w:t>
      </w:r>
      <w:r>
        <w:rPr>
          <w:rFonts w:hint="eastAsia" w:asciiTheme="minorEastAsia" w:hAnsiTheme="minorEastAsia" w:eastAsiaTheme="minorEastAsia"/>
          <w:bCs/>
          <w:color w:val="000000" w:themeColor="text1"/>
          <w:szCs w:val="21"/>
          <w14:textFill>
            <w14:solidFill>
              <w14:schemeClr w14:val="tx1"/>
            </w14:solidFill>
          </w14:textFill>
        </w:rPr>
        <w:t>的装修、改善、增设他物等添附归乙方所有，租赁期届满后，乙方有权处置。</w:t>
      </w:r>
      <w:r>
        <w:rPr>
          <w:rFonts w:hint="eastAsia" w:asciiTheme="minorEastAsia" w:hAnsiTheme="minorEastAsia" w:eastAsiaTheme="minorEastAsia"/>
          <w:bCs/>
          <w:color w:val="000000" w:themeColor="text1"/>
          <w:szCs w:val="21"/>
          <w:lang w:val="en-US" w:eastAsia="zh-CN"/>
          <w14:textFill>
            <w14:solidFill>
              <w14:schemeClr w14:val="tx1"/>
            </w14:solidFill>
          </w14:textFill>
        </w:rPr>
        <w:t>租赁期满或合同解除后，租赁场地内乙方自有设备、设施等物品，均由乙方自行拆卸、清运处置，将场地恢复原状交还甲方；逾期未处置的甲方有权自行处置，产生的费用由乙方承担。</w:t>
      </w:r>
    </w:p>
    <w:p w14:paraId="60640F14">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5.6乙方施工需报备甲方，经甲方同意后方可进场施工，乙方自行施工并承担相关费用，乙方施工、工作人员应持有乙方颁发的《基站临时出入证》和工作证或身份证，严格遵守甲方有关规章制度，配合甲方管理，施工和维护不得影响甲方的正常工作秩序和安全。</w:t>
      </w:r>
    </w:p>
    <w:p w14:paraId="79A359BD">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5.7因乙方过失造成甲方场地或其他设施/设备损坏的，乙方应负责修复，无法修复的须照价赔偿。</w:t>
      </w:r>
    </w:p>
    <w:p w14:paraId="032A95E8">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5.8若通信设备发生故障时，</w:t>
      </w:r>
      <w:r>
        <w:rPr>
          <w:rFonts w:hint="eastAsia" w:asciiTheme="minorEastAsia" w:hAnsiTheme="minorEastAsia" w:eastAsiaTheme="minorEastAsia"/>
          <w:color w:val="000000" w:themeColor="text1"/>
          <w:szCs w:val="21"/>
          <w:lang w:val="en-US" w:eastAsia="zh-CN"/>
          <w14:textFill>
            <w14:solidFill>
              <w14:schemeClr w14:val="tx1"/>
            </w14:solidFill>
          </w14:textFill>
        </w:rPr>
        <w:t>乙方须在发生故障后 24 小时内排除故障</w:t>
      </w:r>
      <w:r>
        <w:rPr>
          <w:rFonts w:hint="eastAsia" w:asciiTheme="minorEastAsia" w:hAnsiTheme="minorEastAsia" w:eastAsiaTheme="minorEastAsia"/>
          <w:color w:val="000000" w:themeColor="text1"/>
          <w:szCs w:val="21"/>
          <w14:textFill>
            <w14:solidFill>
              <w14:schemeClr w14:val="tx1"/>
            </w14:solidFill>
          </w14:textFill>
        </w:rPr>
        <w:t>，保证设备正常运行。</w:t>
      </w:r>
    </w:p>
    <w:p w14:paraId="3F90530B">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5.9乙方保证所用设备不影响甲方的电视系统、计算机系统及其它通信系统的正常工作,如产生干扰,乙方应设法在接到甲方通知后24小时内排除。</w:t>
      </w:r>
    </w:p>
    <w:p w14:paraId="1ABC8047">
      <w:pPr>
        <w:spacing w:line="240" w:lineRule="atLeast"/>
        <w:ind w:firstLine="420" w:firstLineChars="200"/>
        <w:rPr>
          <w:rFonts w:hint="default"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5.10如乙方未按第 5.8 条、第 5.9 条排除障碍的，甲方有权自行委托第三方代为处理，由此所产生的全部费用、损失均由乙方承担，甲方有权从保证金中予以抵扣。</w:t>
      </w:r>
    </w:p>
    <w:p w14:paraId="0AB6A1F2">
      <w:pPr>
        <w:spacing w:line="240" w:lineRule="atLeast"/>
        <w:ind w:firstLine="422" w:firstLineChars="200"/>
        <w:rPr>
          <w:rFonts w:hint="eastAsia"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第六条 违约责任</w:t>
      </w:r>
    </w:p>
    <w:p w14:paraId="6343C8E0">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6.1合同一方有违约行为，在对方规定的合理期间内没有更正或不予答复的，守约方有权解除合同，并有权要求赔偿损失。</w:t>
      </w:r>
      <w:r>
        <w:rPr>
          <w:rFonts w:hint="eastAsia" w:asciiTheme="minorEastAsia" w:hAnsiTheme="minorEastAsia" w:eastAsiaTheme="minorEastAsia"/>
          <w:color w:val="000000" w:themeColor="text1"/>
          <w:szCs w:val="21"/>
          <w:lang w:val="en-US" w:eastAsia="zh-CN"/>
          <w14:textFill>
            <w14:solidFill>
              <w14:schemeClr w14:val="tx1"/>
            </w14:solidFill>
          </w14:textFill>
        </w:rPr>
        <w:t>因乙方原因解除合同的，如乙方逾期不归还出租场地或腾退的，甲方有权要求每逾期一天按日租金 2 倍向甲方支付场地占用费。</w:t>
      </w:r>
    </w:p>
    <w:p w14:paraId="798E368B">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6.2</w:t>
      </w:r>
      <w:bookmarkStart w:id="1" w:name="OLE_LINK2"/>
      <w:r>
        <w:rPr>
          <w:rFonts w:hint="eastAsia" w:asciiTheme="minorEastAsia" w:hAnsiTheme="minorEastAsia" w:eastAsiaTheme="minorEastAsia"/>
          <w:color w:val="000000" w:themeColor="text1"/>
          <w:szCs w:val="21"/>
          <w14:textFill>
            <w14:solidFill>
              <w14:schemeClr w14:val="tx1"/>
            </w14:solidFill>
          </w14:textFill>
        </w:rPr>
        <w:t>在合同期内，乙方未经甲方同意单方面终止合同，当年租金不予退还</w:t>
      </w:r>
      <w:r>
        <w:rPr>
          <w:rFonts w:hint="eastAsia" w:asciiTheme="minorEastAsia" w:hAnsiTheme="minorEastAsia" w:eastAsiaTheme="minorEastAsia"/>
          <w:color w:val="000000" w:themeColor="text1"/>
          <w:szCs w:val="21"/>
          <w:lang w:val="en-US" w:eastAsia="zh-CN"/>
          <w14:textFill>
            <w14:solidFill>
              <w14:schemeClr w14:val="tx1"/>
            </w14:solidFill>
          </w14:textFill>
        </w:rPr>
        <w:t>并没收保证金。乙方未经甲方同意擅自转包、违法分包租赁场地的，甲方有权解除本合同，没收乙方保证金，并要求乙方赔偿由此造成的全部损失</w:t>
      </w:r>
      <w:r>
        <w:rPr>
          <w:rFonts w:hint="eastAsia" w:asciiTheme="minorEastAsia" w:hAnsiTheme="minorEastAsia" w:eastAsiaTheme="minorEastAsia"/>
          <w:color w:val="000000" w:themeColor="text1"/>
          <w:szCs w:val="21"/>
          <w14:textFill>
            <w14:solidFill>
              <w14:schemeClr w14:val="tx1"/>
            </w14:solidFill>
          </w14:textFill>
        </w:rPr>
        <w:t>。</w:t>
      </w:r>
    </w:p>
    <w:bookmarkEnd w:id="1"/>
    <w:p w14:paraId="52437C28">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6.3若因乙方原因导致甲方或任何第三人人身、财产损失由乙方承担全部责任，甲方先行赔付的有权向乙方追偿。</w:t>
      </w:r>
    </w:p>
    <w:p w14:paraId="4B67491F">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6.4违约方还应承担守约方为此所支出的诉讼费、律师费、公告费、公证费用等。</w:t>
      </w:r>
    </w:p>
    <w:p w14:paraId="2054D509">
      <w:pPr>
        <w:spacing w:line="240" w:lineRule="atLeast"/>
        <w:ind w:firstLine="422" w:firstLineChars="200"/>
        <w:rPr>
          <w:rFonts w:hint="eastAsia"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第七条 不可抗力</w:t>
      </w:r>
    </w:p>
    <w:p w14:paraId="717D6AE5">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7.1本合同所称不可抗力，是指不能预见、不能避免并不能克服的客观情况，包括地震、台风、水灾、火灾、战争等情况。</w:t>
      </w:r>
    </w:p>
    <w:p w14:paraId="737ACEF8">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7.2因不可抗力不能履行合同的，根据不可抗力的影响，遭受不可抗力一方部分或全部免除责任，但法律另有规定的除外。</w:t>
      </w:r>
    </w:p>
    <w:p w14:paraId="496302FE">
      <w:pPr>
        <w:snapToGrid w:val="0"/>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7.3如果因不可抗力的影响致使本合同中止履行</w:t>
      </w:r>
      <w:r>
        <w:rPr>
          <w:rFonts w:hint="eastAsia" w:asciiTheme="minorEastAsia" w:hAnsiTheme="minorEastAsia" w:eastAsiaTheme="minorEastAsia"/>
          <w:color w:val="000000" w:themeColor="text1"/>
          <w:kern w:val="0"/>
          <w:szCs w:val="21"/>
          <w14:textFill>
            <w14:solidFill>
              <w14:schemeClr w14:val="tx1"/>
            </w14:solidFill>
          </w14:textFill>
        </w:rPr>
        <w:t>【30】</w:t>
      </w:r>
      <w:r>
        <w:rPr>
          <w:rFonts w:hint="eastAsia" w:asciiTheme="minorEastAsia" w:hAnsiTheme="minorEastAsia" w:eastAsiaTheme="minorEastAsia"/>
          <w:color w:val="000000" w:themeColor="text1"/>
          <w:szCs w:val="21"/>
          <w14:textFill>
            <w14:solidFill>
              <w14:schemeClr w14:val="tx1"/>
            </w14:solidFill>
          </w14:textFill>
        </w:rPr>
        <w:t>日或以上时，乙方有权选择是否继续履行合同。</w:t>
      </w:r>
    </w:p>
    <w:p w14:paraId="7676B0B3">
      <w:pPr>
        <w:spacing w:line="240" w:lineRule="atLeast"/>
        <w:ind w:firstLine="422" w:firstLineChars="200"/>
        <w:rPr>
          <w:rFonts w:hint="eastAsia"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第八条 法律适用和争议解决</w:t>
      </w:r>
    </w:p>
    <w:p w14:paraId="4265A87B">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8.1所有因本合同引起的或与本合同有关的任何争议将通过双方友好协商解决。如果双方不能通过友好协商解决争议，</w:t>
      </w:r>
      <w:r>
        <w:rPr>
          <w:rFonts w:hint="eastAsia" w:asciiTheme="minorEastAsia" w:hAnsiTheme="minorEastAsia" w:eastAsiaTheme="minorEastAsia"/>
          <w:color w:val="000000" w:themeColor="text1"/>
          <w:szCs w:val="21"/>
          <w:lang w:val="en-US" w:eastAsia="zh-CN"/>
          <w14:textFill>
            <w14:solidFill>
              <w14:schemeClr w14:val="tx1"/>
            </w14:solidFill>
          </w14:textFill>
        </w:rPr>
        <w:t>任何一方均有权提交租赁物所在地有管辖权的人民法院诉讼解决</w:t>
      </w:r>
      <w:r>
        <w:rPr>
          <w:rFonts w:hint="eastAsia" w:asciiTheme="minorEastAsia" w:hAnsiTheme="minorEastAsia" w:eastAsiaTheme="minorEastAsia"/>
          <w:color w:val="000000" w:themeColor="text1"/>
          <w:szCs w:val="21"/>
          <w14:textFill>
            <w14:solidFill>
              <w14:schemeClr w14:val="tx1"/>
            </w14:solidFill>
          </w14:textFill>
        </w:rPr>
        <w:t>。</w:t>
      </w:r>
    </w:p>
    <w:p w14:paraId="50FD4E6D">
      <w:pPr>
        <w:spacing w:line="240" w:lineRule="atLeast"/>
        <w:ind w:firstLine="422"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第九条 合同生效及其他</w:t>
      </w:r>
    </w:p>
    <w:p w14:paraId="20B679FA">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9.1本合同自双方签字盖章之日起生效。</w:t>
      </w:r>
    </w:p>
    <w:p w14:paraId="13721F26">
      <w:pPr>
        <w:spacing w:line="240" w:lineRule="atLeast"/>
        <w:ind w:firstLine="420" w:firstLineChars="200"/>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9.2</w:t>
      </w:r>
      <w:r>
        <w:rPr>
          <w:rFonts w:hint="eastAsia" w:asciiTheme="minorEastAsia" w:hAnsiTheme="minorEastAsia"/>
          <w:color w:val="000000" w:themeColor="text1"/>
          <w:szCs w:val="21"/>
          <w14:textFill>
            <w14:solidFill>
              <w14:schemeClr w14:val="tx1"/>
            </w14:solidFill>
          </w14:textFill>
        </w:rPr>
        <w:t>一方根据本合同规定作出的通知以及双方的文件来往及与本合同有关的通知和要求，必须用书面形式，可采用快递、传真、邮箱等方式传递，以上方式无法送达的或者收到相应通知逾期未回复的，均视为已经送达。</w:t>
      </w:r>
      <w:r>
        <w:rPr>
          <w:rFonts w:hint="eastAsia" w:asciiTheme="minorEastAsia" w:hAnsiTheme="minorEastAsia"/>
          <w:b/>
          <w:color w:val="000000" w:themeColor="text1"/>
          <w:szCs w:val="21"/>
          <w14:textFill>
            <w14:solidFill>
              <w14:schemeClr w14:val="tx1"/>
            </w14:solidFill>
          </w14:textFill>
        </w:rPr>
        <w:t xml:space="preserve"> </w:t>
      </w:r>
    </w:p>
    <w:p w14:paraId="1C21B88B">
      <w:pPr>
        <w:spacing w:line="240" w:lineRule="atLeast"/>
        <w:ind w:firstLine="420" w:firstLineChars="200"/>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双方联系方式如下：</w:t>
      </w:r>
    </w:p>
    <w:tbl>
      <w:tblPr>
        <w:tblStyle w:val="8"/>
        <w:tblW w:w="8401"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4148"/>
      </w:tblGrid>
      <w:tr w14:paraId="0D55C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3" w:type="dxa"/>
          </w:tcPr>
          <w:p w14:paraId="54B167C3">
            <w:pPr>
              <w:spacing w:line="360" w:lineRule="auto"/>
              <w:jc w:val="left"/>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甲方联系人：</w:t>
            </w:r>
          </w:p>
        </w:tc>
        <w:tc>
          <w:tcPr>
            <w:tcW w:w="4148" w:type="dxa"/>
          </w:tcPr>
          <w:p w14:paraId="34E697AE">
            <w:pPr>
              <w:spacing w:line="360" w:lineRule="auto"/>
              <w:jc w:val="left"/>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乙方联系人：</w:t>
            </w:r>
          </w:p>
        </w:tc>
      </w:tr>
      <w:tr w14:paraId="65D5D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3" w:type="dxa"/>
          </w:tcPr>
          <w:p w14:paraId="2DDA388D">
            <w:pPr>
              <w:spacing w:line="360" w:lineRule="auto"/>
              <w:jc w:val="left"/>
              <w:rPr>
                <w:rFonts w:hint="eastAsia" w:asciiTheme="minorEastAsia" w:hAnsiTheme="minorEastAsia"/>
                <w:color w:val="000000" w:themeColor="text1"/>
                <w:kern w:val="0"/>
                <w:szCs w:val="21"/>
                <w14:textFill>
                  <w14:solidFill>
                    <w14:schemeClr w14:val="tx1"/>
                  </w14:solidFill>
                </w14:textFill>
              </w:rPr>
            </w:pPr>
            <w:r>
              <w:rPr>
                <w:rFonts w:hint="eastAsia" w:asciiTheme="minorEastAsia" w:hAnsiTheme="minorEastAsia"/>
                <w:color w:val="000000" w:themeColor="text1"/>
                <w:kern w:val="0"/>
                <w:szCs w:val="21"/>
                <w14:textFill>
                  <w14:solidFill>
                    <w14:schemeClr w14:val="tx1"/>
                  </w14:solidFill>
                </w14:textFill>
              </w:rPr>
              <w:t>联系电话：</w:t>
            </w:r>
          </w:p>
        </w:tc>
        <w:tc>
          <w:tcPr>
            <w:tcW w:w="4148" w:type="dxa"/>
          </w:tcPr>
          <w:p w14:paraId="27B8565C">
            <w:pPr>
              <w:spacing w:line="360" w:lineRule="auto"/>
              <w:jc w:val="left"/>
              <w:rPr>
                <w:rFonts w:hint="eastAsia" w:asciiTheme="minorEastAsia" w:hAnsiTheme="minorEastAsia"/>
                <w:color w:val="000000" w:themeColor="text1"/>
                <w:kern w:val="0"/>
                <w:szCs w:val="21"/>
                <w14:textFill>
                  <w14:solidFill>
                    <w14:schemeClr w14:val="tx1"/>
                  </w14:solidFill>
                </w14:textFill>
              </w:rPr>
            </w:pPr>
            <w:r>
              <w:rPr>
                <w:rFonts w:hint="eastAsia" w:asciiTheme="minorEastAsia" w:hAnsiTheme="minorEastAsia"/>
                <w:color w:val="000000" w:themeColor="text1"/>
                <w:kern w:val="0"/>
                <w:szCs w:val="21"/>
                <w14:textFill>
                  <w14:solidFill>
                    <w14:schemeClr w14:val="tx1"/>
                  </w14:solidFill>
                </w14:textFill>
              </w:rPr>
              <w:t>联系电话：</w:t>
            </w:r>
          </w:p>
        </w:tc>
      </w:tr>
      <w:tr w14:paraId="44E09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3" w:type="dxa"/>
          </w:tcPr>
          <w:p w14:paraId="57EAC7A0">
            <w:pPr>
              <w:spacing w:line="360" w:lineRule="auto"/>
              <w:jc w:val="left"/>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通讯地址：</w:t>
            </w:r>
          </w:p>
        </w:tc>
        <w:tc>
          <w:tcPr>
            <w:tcW w:w="4148" w:type="dxa"/>
          </w:tcPr>
          <w:p w14:paraId="64F923D5">
            <w:pPr>
              <w:spacing w:line="360" w:lineRule="auto"/>
              <w:jc w:val="left"/>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通讯地址：</w:t>
            </w:r>
          </w:p>
        </w:tc>
      </w:tr>
      <w:tr w14:paraId="7C62A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3" w:type="dxa"/>
          </w:tcPr>
          <w:p w14:paraId="76741AB3">
            <w:pPr>
              <w:spacing w:line="360" w:lineRule="auto"/>
              <w:jc w:val="left"/>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传真：</w:t>
            </w:r>
          </w:p>
        </w:tc>
        <w:tc>
          <w:tcPr>
            <w:tcW w:w="4148" w:type="dxa"/>
          </w:tcPr>
          <w:p w14:paraId="5F312B9A">
            <w:pPr>
              <w:spacing w:line="360" w:lineRule="auto"/>
              <w:jc w:val="left"/>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传真：</w:t>
            </w:r>
          </w:p>
        </w:tc>
      </w:tr>
      <w:tr w14:paraId="1FB52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3" w:type="dxa"/>
          </w:tcPr>
          <w:p w14:paraId="6F96E076">
            <w:pPr>
              <w:spacing w:line="360" w:lineRule="auto"/>
              <w:jc w:val="left"/>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邮箱：</w:t>
            </w:r>
          </w:p>
        </w:tc>
        <w:tc>
          <w:tcPr>
            <w:tcW w:w="4148" w:type="dxa"/>
          </w:tcPr>
          <w:p w14:paraId="0A2DF24D">
            <w:pPr>
              <w:spacing w:line="360" w:lineRule="auto"/>
              <w:jc w:val="left"/>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邮箱：</w:t>
            </w:r>
          </w:p>
        </w:tc>
      </w:tr>
    </w:tbl>
    <w:p w14:paraId="03F0B5DE">
      <w:pPr>
        <w:spacing w:line="240" w:lineRule="atLeast"/>
        <w:ind w:firstLine="420" w:firstLineChars="200"/>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若任何一方的联系人发生变更或联系方法发生变更，变更一方有义务在第一时间将变更信息通知对方；任何一方未及时通知的，应承担由此可能引起的责任。</w:t>
      </w:r>
    </w:p>
    <w:p w14:paraId="447DB2FB">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9.3 本协议一式</w:t>
      </w:r>
      <w:r>
        <w:rPr>
          <w:rFonts w:hint="eastAsia" w:ascii="宋体" w:hAnsi="宋体"/>
          <w:color w:val="000000" w:themeColor="text1"/>
          <w:sz w:val="24"/>
          <w14:textFill>
            <w14:solidFill>
              <w14:schemeClr w14:val="tx1"/>
            </w14:solidFill>
          </w14:textFill>
        </w:rPr>
        <w:t>肆</w:t>
      </w:r>
      <w:r>
        <w:rPr>
          <w:rFonts w:hint="eastAsia" w:asciiTheme="minorEastAsia" w:hAnsiTheme="minorEastAsia" w:eastAsiaTheme="minorEastAsia"/>
          <w:color w:val="000000" w:themeColor="text1"/>
          <w:szCs w:val="21"/>
          <w14:textFill>
            <w14:solidFill>
              <w14:schemeClr w14:val="tx1"/>
            </w14:solidFill>
          </w14:textFill>
        </w:rPr>
        <w:t>份，双方各执</w:t>
      </w:r>
      <w:r>
        <w:rPr>
          <w:rFonts w:hint="eastAsia" w:ascii="宋体" w:hAnsi="宋体"/>
          <w:color w:val="000000" w:themeColor="text1"/>
          <w:sz w:val="24"/>
          <w14:textFill>
            <w14:solidFill>
              <w14:schemeClr w14:val="tx1"/>
            </w14:solidFill>
          </w14:textFill>
        </w:rPr>
        <w:t>贰</w:t>
      </w:r>
      <w:r>
        <w:rPr>
          <w:rFonts w:hint="eastAsia" w:asciiTheme="minorEastAsia" w:hAnsiTheme="minorEastAsia" w:eastAsiaTheme="minorEastAsia"/>
          <w:color w:val="000000" w:themeColor="text1"/>
          <w:szCs w:val="21"/>
          <w14:textFill>
            <w14:solidFill>
              <w14:schemeClr w14:val="tx1"/>
            </w14:solidFill>
          </w14:textFill>
        </w:rPr>
        <w:t>份，具有同等法律效力。</w:t>
      </w:r>
    </w:p>
    <w:p w14:paraId="25481CE7">
      <w:pPr>
        <w:spacing w:line="240" w:lineRule="atLeas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9.4有关合同未尽事宜，双方可另行签订补充合同，补充合同与本合同具有同等法律效力，两者不一致的，以补充合同为准。</w:t>
      </w:r>
    </w:p>
    <w:p w14:paraId="5A899BF7">
      <w:pPr>
        <w:autoSpaceDE w:val="0"/>
        <w:autoSpaceDN w:val="0"/>
        <w:adjustRightInd w:val="0"/>
        <w:spacing w:line="293" w:lineRule="auto"/>
        <w:rPr>
          <w:rFonts w:hint="eastAsia" w:asciiTheme="minorEastAsia" w:hAnsiTheme="minorEastAsia" w:eastAsiaTheme="minorEastAsia"/>
          <w:bCs/>
          <w:color w:val="000000" w:themeColor="text1"/>
          <w:spacing w:val="20"/>
          <w:szCs w:val="21"/>
          <w14:textFill>
            <w14:solidFill>
              <w14:schemeClr w14:val="tx1"/>
            </w14:solidFill>
          </w14:textFill>
        </w:rPr>
      </w:pPr>
      <w:r>
        <w:rPr>
          <w:rFonts w:hint="eastAsia" w:asciiTheme="minorEastAsia" w:hAnsiTheme="minorEastAsia" w:eastAsiaTheme="minorEastAsia"/>
          <w:bCs/>
          <w:color w:val="000000" w:themeColor="text1"/>
          <w:spacing w:val="20"/>
          <w:szCs w:val="21"/>
          <w14:textFill>
            <w14:solidFill>
              <w14:schemeClr w14:val="tx1"/>
            </w14:solidFill>
          </w14:textFill>
        </w:rPr>
        <w:t>（以下无正文）</w:t>
      </w:r>
    </w:p>
    <w:p w14:paraId="6C312899">
      <w:pPr>
        <w:autoSpaceDE w:val="0"/>
        <w:autoSpaceDN w:val="0"/>
        <w:adjustRightInd w:val="0"/>
        <w:spacing w:line="293" w:lineRule="auto"/>
        <w:rPr>
          <w:rFonts w:hint="eastAsia" w:asciiTheme="minorEastAsia" w:hAnsiTheme="minorEastAsia" w:eastAsiaTheme="minorEastAsia"/>
          <w:bCs/>
          <w:color w:val="000000" w:themeColor="text1"/>
          <w:spacing w:val="20"/>
          <w:szCs w:val="21"/>
          <w14:textFill>
            <w14:solidFill>
              <w14:schemeClr w14:val="tx1"/>
            </w14:solidFill>
          </w14:textFill>
        </w:rPr>
      </w:pPr>
    </w:p>
    <w:p w14:paraId="34EF5591">
      <w:pPr>
        <w:autoSpaceDE w:val="0"/>
        <w:autoSpaceDN w:val="0"/>
        <w:adjustRightInd w:val="0"/>
        <w:spacing w:line="293" w:lineRule="auto"/>
        <w:rPr>
          <w:rFonts w:hint="eastAsia" w:asciiTheme="minorEastAsia" w:hAnsiTheme="minorEastAsia" w:eastAsiaTheme="minorEastAsia"/>
          <w:bCs/>
          <w:color w:val="000000" w:themeColor="text1"/>
          <w:spacing w:val="20"/>
          <w:szCs w:val="21"/>
          <w14:textFill>
            <w14:solidFill>
              <w14:schemeClr w14:val="tx1"/>
            </w14:solidFill>
          </w14:textFill>
        </w:r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14:paraId="06F9E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4148" w:type="dxa"/>
          </w:tcPr>
          <w:p w14:paraId="5CB26960">
            <w:pPr>
              <w:spacing w:line="360" w:lineRule="auto"/>
              <w:jc w:val="left"/>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甲方（盖章）：</w:t>
            </w:r>
          </w:p>
        </w:tc>
        <w:tc>
          <w:tcPr>
            <w:tcW w:w="4148" w:type="dxa"/>
          </w:tcPr>
          <w:p w14:paraId="57A2433A">
            <w:pPr>
              <w:spacing w:line="360" w:lineRule="auto"/>
              <w:ind w:firstLine="1470" w:firstLineChars="700"/>
              <w:jc w:val="left"/>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乙方（盖章）：</w:t>
            </w:r>
          </w:p>
        </w:tc>
      </w:tr>
      <w:tr w14:paraId="6CEC1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148" w:type="dxa"/>
          </w:tcPr>
          <w:p w14:paraId="3C0611B0">
            <w:pPr>
              <w:spacing w:line="360" w:lineRule="auto"/>
              <w:jc w:val="left"/>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授权代表（签字）：</w:t>
            </w:r>
          </w:p>
        </w:tc>
        <w:tc>
          <w:tcPr>
            <w:tcW w:w="4148" w:type="dxa"/>
          </w:tcPr>
          <w:p w14:paraId="4FE1595D">
            <w:pPr>
              <w:spacing w:line="360" w:lineRule="auto"/>
              <w:jc w:val="left"/>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授权代表（签字）：</w:t>
            </w:r>
          </w:p>
          <w:p w14:paraId="132E291E">
            <w:pPr>
              <w:spacing w:line="360" w:lineRule="auto"/>
              <w:jc w:val="left"/>
              <w:rPr>
                <w:rFonts w:hint="eastAsia" w:asciiTheme="minorEastAsia" w:hAnsiTheme="minorEastAsia" w:eastAsiaTheme="minorEastAsia"/>
                <w:color w:val="000000" w:themeColor="text1"/>
                <w:kern w:val="0"/>
                <w:szCs w:val="21"/>
                <w14:textFill>
                  <w14:solidFill>
                    <w14:schemeClr w14:val="tx1"/>
                  </w14:solidFill>
                </w14:textFill>
              </w:rPr>
            </w:pPr>
          </w:p>
        </w:tc>
      </w:tr>
      <w:tr w14:paraId="1B465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148" w:type="dxa"/>
          </w:tcPr>
          <w:p w14:paraId="3988A131">
            <w:pPr>
              <w:spacing w:line="360" w:lineRule="auto"/>
              <w:jc w:val="left"/>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签约日期：   年   月   日</w:t>
            </w:r>
          </w:p>
        </w:tc>
        <w:tc>
          <w:tcPr>
            <w:tcW w:w="4148" w:type="dxa"/>
          </w:tcPr>
          <w:p w14:paraId="499CB130">
            <w:pPr>
              <w:spacing w:line="360" w:lineRule="auto"/>
              <w:jc w:val="left"/>
              <w:rPr>
                <w:rFonts w:hint="eastAsia"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签约日期：   年   月   日</w:t>
            </w:r>
          </w:p>
        </w:tc>
      </w:tr>
    </w:tbl>
    <w:p w14:paraId="747ECFEB">
      <w:pPr>
        <w:autoSpaceDE w:val="0"/>
        <w:autoSpaceDN w:val="0"/>
        <w:adjustRightInd w:val="0"/>
        <w:spacing w:line="293" w:lineRule="auto"/>
        <w:ind w:right="560"/>
        <w:rPr>
          <w:rFonts w:hint="eastAsia" w:ascii="宋体" w:hAnsi="宋体"/>
          <w:bCs/>
          <w:color w:val="000000" w:themeColor="text1"/>
          <w:spacing w:val="20"/>
          <w:sz w:val="24"/>
          <w14:textFill>
            <w14:solidFill>
              <w14:schemeClr w14:val="tx1"/>
            </w14:solidFill>
          </w14:textFill>
        </w:rPr>
      </w:pPr>
    </w:p>
    <w:p w14:paraId="3FFB6BB3">
      <w:pPr>
        <w:autoSpaceDE w:val="0"/>
        <w:autoSpaceDN w:val="0"/>
        <w:adjustRightInd w:val="0"/>
        <w:spacing w:line="293" w:lineRule="auto"/>
        <w:ind w:right="560"/>
        <w:rPr>
          <w:rFonts w:hint="eastAsia" w:ascii="宋体" w:hAnsi="宋体"/>
          <w:bCs/>
          <w:color w:val="000000" w:themeColor="text1"/>
          <w:spacing w:val="20"/>
          <w:sz w:val="24"/>
          <w14:textFill>
            <w14:solidFill>
              <w14:schemeClr w14:val="tx1"/>
            </w14:solidFill>
          </w14:textFill>
        </w:rPr>
      </w:pPr>
    </w:p>
    <w:p w14:paraId="2B5F7949">
      <w:pPr>
        <w:autoSpaceDE w:val="0"/>
        <w:autoSpaceDN w:val="0"/>
        <w:adjustRightInd w:val="0"/>
        <w:spacing w:line="293" w:lineRule="auto"/>
        <w:ind w:right="560"/>
        <w:rPr>
          <w:rFonts w:hint="eastAsia" w:ascii="宋体" w:hAnsi="宋体"/>
          <w:bCs/>
          <w:color w:val="000000" w:themeColor="text1"/>
          <w:spacing w:val="20"/>
          <w:sz w:val="24"/>
          <w14:textFill>
            <w14:solidFill>
              <w14:schemeClr w14:val="tx1"/>
            </w14:solidFill>
          </w14:textFill>
        </w:rPr>
      </w:pPr>
    </w:p>
    <w:p w14:paraId="633F3452">
      <w:pPr>
        <w:autoSpaceDE w:val="0"/>
        <w:autoSpaceDN w:val="0"/>
        <w:adjustRightInd w:val="0"/>
        <w:spacing w:line="293" w:lineRule="auto"/>
        <w:ind w:right="560"/>
        <w:rPr>
          <w:rFonts w:hint="eastAsia" w:ascii="宋体" w:hAnsi="宋体"/>
          <w:bCs/>
          <w:color w:val="000000" w:themeColor="text1"/>
          <w:spacing w:val="20"/>
          <w:sz w:val="24"/>
          <w14:textFill>
            <w14:solidFill>
              <w14:schemeClr w14:val="tx1"/>
            </w14:solidFill>
          </w14:textFill>
        </w:rPr>
      </w:pPr>
    </w:p>
    <w:p w14:paraId="38F51F2D">
      <w:pPr>
        <w:autoSpaceDE w:val="0"/>
        <w:autoSpaceDN w:val="0"/>
        <w:adjustRightInd w:val="0"/>
        <w:spacing w:line="293" w:lineRule="auto"/>
        <w:ind w:right="560"/>
        <w:rPr>
          <w:rFonts w:hint="eastAsia" w:ascii="宋体" w:hAnsi="宋体"/>
          <w:bCs/>
          <w:color w:val="000000" w:themeColor="text1"/>
          <w:spacing w:val="20"/>
          <w:sz w:val="24"/>
          <w14:textFill>
            <w14:solidFill>
              <w14:schemeClr w14:val="tx1"/>
            </w14:solidFill>
          </w14:textFill>
        </w:rPr>
      </w:pPr>
    </w:p>
    <w:p w14:paraId="295D0628">
      <w:pPr>
        <w:autoSpaceDE w:val="0"/>
        <w:autoSpaceDN w:val="0"/>
        <w:adjustRightInd w:val="0"/>
        <w:spacing w:line="293" w:lineRule="auto"/>
        <w:ind w:right="560"/>
        <w:rPr>
          <w:rFonts w:hint="eastAsia" w:ascii="宋体" w:hAnsi="宋体"/>
          <w:bCs/>
          <w:color w:val="000000" w:themeColor="text1"/>
          <w:spacing w:val="20"/>
          <w:sz w:val="24"/>
          <w14:textFill>
            <w14:solidFill>
              <w14:schemeClr w14:val="tx1"/>
            </w14:solidFill>
          </w14:textFill>
        </w:rPr>
      </w:pPr>
    </w:p>
    <w:p w14:paraId="5C67741C">
      <w:pPr>
        <w:autoSpaceDE w:val="0"/>
        <w:autoSpaceDN w:val="0"/>
        <w:adjustRightInd w:val="0"/>
        <w:spacing w:line="293" w:lineRule="auto"/>
        <w:ind w:right="560"/>
        <w:rPr>
          <w:rFonts w:hint="eastAsia" w:ascii="宋体" w:hAnsi="宋体"/>
          <w:bCs/>
          <w:color w:val="000000" w:themeColor="text1"/>
          <w:spacing w:val="20"/>
          <w:sz w:val="24"/>
          <w14:textFill>
            <w14:solidFill>
              <w14:schemeClr w14:val="tx1"/>
            </w14:solidFill>
          </w14:textFill>
        </w:rPr>
      </w:pPr>
    </w:p>
    <w:p w14:paraId="711B7DD0">
      <w:pPr>
        <w:autoSpaceDE w:val="0"/>
        <w:autoSpaceDN w:val="0"/>
        <w:adjustRightInd w:val="0"/>
        <w:spacing w:line="293" w:lineRule="auto"/>
        <w:ind w:right="560"/>
        <w:rPr>
          <w:rFonts w:hint="eastAsia" w:ascii="宋体" w:hAnsi="宋体"/>
          <w:bCs/>
          <w:color w:val="000000" w:themeColor="text1"/>
          <w:spacing w:val="20"/>
          <w:sz w:val="24"/>
          <w14:textFill>
            <w14:solidFill>
              <w14:schemeClr w14:val="tx1"/>
            </w14:solidFill>
          </w14:textFill>
        </w:rPr>
      </w:pPr>
    </w:p>
    <w:p w14:paraId="62A1958A">
      <w:pPr>
        <w:autoSpaceDE w:val="0"/>
        <w:autoSpaceDN w:val="0"/>
        <w:adjustRightInd w:val="0"/>
        <w:spacing w:line="293" w:lineRule="auto"/>
        <w:ind w:right="560"/>
        <w:rPr>
          <w:rFonts w:hint="eastAsia" w:ascii="宋体" w:hAnsi="宋体"/>
          <w:bCs/>
          <w:color w:val="000000" w:themeColor="text1"/>
          <w:spacing w:val="20"/>
          <w:sz w:val="24"/>
          <w14:textFill>
            <w14:solidFill>
              <w14:schemeClr w14:val="tx1"/>
            </w14:solidFill>
          </w14:textFill>
        </w:rPr>
      </w:pPr>
    </w:p>
    <w:p w14:paraId="58AABA38">
      <w:pPr>
        <w:autoSpaceDE w:val="0"/>
        <w:autoSpaceDN w:val="0"/>
        <w:adjustRightInd w:val="0"/>
        <w:spacing w:line="293" w:lineRule="auto"/>
        <w:ind w:right="560"/>
        <w:rPr>
          <w:rFonts w:hint="eastAsia" w:ascii="宋体" w:hAnsi="宋体"/>
          <w:bCs/>
          <w:color w:val="000000" w:themeColor="text1"/>
          <w:spacing w:val="20"/>
          <w:sz w:val="24"/>
          <w14:textFill>
            <w14:solidFill>
              <w14:schemeClr w14:val="tx1"/>
            </w14:solidFill>
          </w14:textFill>
        </w:rPr>
      </w:pPr>
    </w:p>
    <w:p w14:paraId="0CD57947">
      <w:pPr>
        <w:autoSpaceDE w:val="0"/>
        <w:autoSpaceDN w:val="0"/>
        <w:adjustRightInd w:val="0"/>
        <w:spacing w:line="293" w:lineRule="auto"/>
        <w:ind w:right="560"/>
        <w:rPr>
          <w:rFonts w:hint="eastAsia" w:ascii="宋体" w:hAnsi="宋体"/>
          <w:bCs/>
          <w:color w:val="000000" w:themeColor="text1"/>
          <w:spacing w:val="20"/>
          <w:sz w:val="24"/>
          <w14:textFill>
            <w14:solidFill>
              <w14:schemeClr w14:val="tx1"/>
            </w14:solidFill>
          </w14:textFill>
        </w:rPr>
      </w:pPr>
    </w:p>
    <w:p w14:paraId="5FC5B538">
      <w:pPr>
        <w:autoSpaceDE w:val="0"/>
        <w:autoSpaceDN w:val="0"/>
        <w:adjustRightInd w:val="0"/>
        <w:spacing w:line="293" w:lineRule="auto"/>
        <w:ind w:right="560"/>
        <w:rPr>
          <w:rFonts w:hint="eastAsia" w:ascii="宋体" w:hAnsi="宋体"/>
          <w:bCs/>
          <w:color w:val="000000" w:themeColor="text1"/>
          <w:spacing w:val="20"/>
          <w:sz w:val="24"/>
          <w14:textFill>
            <w14:solidFill>
              <w14:schemeClr w14:val="tx1"/>
            </w14:solidFill>
          </w14:textFill>
        </w:rPr>
      </w:pPr>
    </w:p>
    <w:p w14:paraId="4D70F905">
      <w:pPr>
        <w:autoSpaceDE w:val="0"/>
        <w:autoSpaceDN w:val="0"/>
        <w:adjustRightInd w:val="0"/>
        <w:spacing w:line="293" w:lineRule="auto"/>
        <w:ind w:right="560"/>
        <w:rPr>
          <w:rFonts w:hint="eastAsia" w:ascii="宋体" w:hAnsi="宋体"/>
          <w:bCs/>
          <w:color w:val="000000" w:themeColor="text1"/>
          <w:spacing w:val="20"/>
          <w:sz w:val="24"/>
          <w14:textFill>
            <w14:solidFill>
              <w14:schemeClr w14:val="tx1"/>
            </w14:solidFill>
          </w14:textFill>
        </w:rPr>
      </w:pPr>
    </w:p>
    <w:p w14:paraId="72A53A0F">
      <w:pPr>
        <w:autoSpaceDE w:val="0"/>
        <w:autoSpaceDN w:val="0"/>
        <w:adjustRightInd w:val="0"/>
        <w:spacing w:line="293" w:lineRule="auto"/>
        <w:ind w:right="560"/>
        <w:rPr>
          <w:rFonts w:hint="eastAsia" w:ascii="宋体" w:hAnsi="宋体"/>
          <w:bCs/>
          <w:color w:val="000000" w:themeColor="text1"/>
          <w:spacing w:val="20"/>
          <w:sz w:val="24"/>
          <w14:textFill>
            <w14:solidFill>
              <w14:schemeClr w14:val="tx1"/>
            </w14:solidFill>
          </w14:textFill>
        </w:rPr>
      </w:pPr>
    </w:p>
    <w:p w14:paraId="77C765A7">
      <w:pPr>
        <w:autoSpaceDE w:val="0"/>
        <w:autoSpaceDN w:val="0"/>
        <w:adjustRightInd w:val="0"/>
        <w:spacing w:line="293" w:lineRule="auto"/>
        <w:ind w:right="560"/>
        <w:rPr>
          <w:rFonts w:hint="eastAsia" w:ascii="宋体" w:hAnsi="宋体"/>
          <w:bCs/>
          <w:color w:val="000000" w:themeColor="text1"/>
          <w:spacing w:val="20"/>
          <w:sz w:val="24"/>
          <w14:textFill>
            <w14:solidFill>
              <w14:schemeClr w14:val="tx1"/>
            </w14:solidFill>
          </w14:textFill>
        </w:rPr>
      </w:pPr>
    </w:p>
    <w:p w14:paraId="4A87AF4B">
      <w:pPr>
        <w:autoSpaceDE w:val="0"/>
        <w:autoSpaceDN w:val="0"/>
        <w:adjustRightInd w:val="0"/>
        <w:spacing w:line="293" w:lineRule="auto"/>
        <w:ind w:right="560"/>
        <w:rPr>
          <w:rFonts w:hint="eastAsia" w:ascii="宋体" w:hAnsi="宋体"/>
          <w:bCs/>
          <w:color w:val="000000" w:themeColor="text1"/>
          <w:spacing w:val="20"/>
          <w:sz w:val="24"/>
          <w14:textFill>
            <w14:solidFill>
              <w14:schemeClr w14:val="tx1"/>
            </w14:solidFill>
          </w14:textFill>
        </w:rPr>
      </w:pPr>
    </w:p>
    <w:p w14:paraId="60450FE4">
      <w:pPr>
        <w:spacing w:after="312" w:afterLines="100" w:line="420" w:lineRule="exact"/>
        <w:jc w:val="center"/>
        <w:rPr>
          <w:rFonts w:hint="eastAsia" w:ascii="仿宋" w:hAnsi="仿宋" w:eastAsia="仿宋"/>
          <w:b/>
          <w:sz w:val="28"/>
          <w:szCs w:val="28"/>
        </w:rPr>
      </w:pPr>
      <w:bookmarkStart w:id="2" w:name="书签2：context"/>
      <w:r>
        <w:rPr>
          <w:rFonts w:hint="eastAsia" w:ascii="仿宋" w:hAnsi="仿宋" w:eastAsia="仿宋"/>
          <w:b/>
          <w:sz w:val="44"/>
          <w:szCs w:val="44"/>
        </w:rPr>
        <w:t>出租场地消防安全生产管理责任协议</w:t>
      </w:r>
      <w:r>
        <w:rPr>
          <w:rFonts w:hint="eastAsia" w:ascii="仿宋" w:hAnsi="仿宋" w:eastAsia="仿宋"/>
          <w:b/>
          <w:sz w:val="36"/>
          <w:szCs w:val="36"/>
        </w:rPr>
        <w:t xml:space="preserve">  </w:t>
      </w:r>
    </w:p>
    <w:p w14:paraId="547F99AF">
      <w:pPr>
        <w:spacing w:line="420" w:lineRule="exact"/>
        <w:ind w:firstLine="420" w:firstLineChars="200"/>
        <w:rPr>
          <w:rFonts w:hint="eastAsia" w:ascii="宋体" w:hAnsi="宋体"/>
          <w:szCs w:val="21"/>
        </w:rPr>
      </w:pPr>
      <w:r>
        <w:rPr>
          <w:rFonts w:hint="eastAsia" w:ascii="宋体" w:hAnsi="宋体"/>
          <w:szCs w:val="21"/>
        </w:rPr>
        <w:t>出租单位（以下简称甲方）：杭州蒙正实业有限责任公司</w:t>
      </w:r>
    </w:p>
    <w:p w14:paraId="3E37B214">
      <w:pPr>
        <w:spacing w:line="420" w:lineRule="exact"/>
        <w:rPr>
          <w:rFonts w:hint="eastAsia" w:ascii="宋体" w:hAnsi="宋体"/>
          <w:b/>
          <w:szCs w:val="21"/>
        </w:rPr>
      </w:pPr>
    </w:p>
    <w:p w14:paraId="79B78B7E">
      <w:pPr>
        <w:spacing w:line="420" w:lineRule="exact"/>
        <w:ind w:firstLine="420" w:firstLineChars="200"/>
        <w:rPr>
          <w:rFonts w:hint="eastAsia" w:ascii="宋体" w:hAnsi="宋体"/>
          <w:b/>
          <w:szCs w:val="21"/>
        </w:rPr>
      </w:pPr>
      <w:r>
        <w:rPr>
          <w:rFonts w:hint="eastAsia" w:ascii="宋体" w:hAnsi="宋体"/>
          <w:szCs w:val="21"/>
        </w:rPr>
        <w:t>承租单位（以下简称乙方）：</w:t>
      </w:r>
    </w:p>
    <w:p w14:paraId="116F6600">
      <w:pPr>
        <w:spacing w:line="420" w:lineRule="exact"/>
        <w:rPr>
          <w:rFonts w:hint="eastAsia" w:ascii="宋体" w:hAnsi="宋体"/>
          <w:szCs w:val="21"/>
        </w:rPr>
      </w:pPr>
    </w:p>
    <w:p w14:paraId="79A8BFF9">
      <w:pPr>
        <w:spacing w:line="420" w:lineRule="exact"/>
        <w:ind w:firstLine="420" w:firstLineChars="200"/>
        <w:rPr>
          <w:rFonts w:hint="eastAsia" w:ascii="宋体" w:hAnsi="宋体"/>
          <w:szCs w:val="21"/>
        </w:rPr>
      </w:pPr>
      <w:r>
        <w:rPr>
          <w:rFonts w:hint="eastAsia" w:ascii="宋体" w:hAnsi="宋体"/>
          <w:szCs w:val="21"/>
        </w:rPr>
        <w:t>根据《中华人民共和国安全生产法》、《中华人民共和国消防法》、《浙江省安全生产条例》及《浙江省消防条例》等法律法规及政府部门的相关规定，经双方协商一致，就明确双方在</w:t>
      </w:r>
      <w:r>
        <w:rPr>
          <w:rFonts w:hint="eastAsia" w:asciiTheme="minorEastAsia" w:hAnsiTheme="minorEastAsia" w:eastAsiaTheme="minorEastAsia"/>
          <w:szCs w:val="21"/>
        </w:rPr>
        <w:t>_</w:t>
      </w:r>
      <w:r>
        <w:rPr>
          <w:rFonts w:hint="eastAsia" w:asciiTheme="minorEastAsia" w:hAnsiTheme="minorEastAsia"/>
          <w:szCs w:val="21"/>
          <w:u w:val="single"/>
        </w:rPr>
        <w:t>萧山区新街街道蒙正路22号东北角靠近红十五线处</w:t>
      </w:r>
      <w:r>
        <w:rPr>
          <w:rFonts w:hint="eastAsia" w:ascii="宋体" w:hAnsi="宋体"/>
          <w:szCs w:val="21"/>
        </w:rPr>
        <w:t>的安全生产的责任和义务，确保租赁期间的安全生产，特签订本消防安全生产管理责任协议。</w:t>
      </w:r>
    </w:p>
    <w:p w14:paraId="59D9B994">
      <w:pPr>
        <w:spacing w:line="420" w:lineRule="exact"/>
        <w:ind w:firstLine="422" w:firstLineChars="200"/>
        <w:rPr>
          <w:rFonts w:hint="eastAsia" w:ascii="宋体" w:hAnsi="宋体"/>
          <w:b/>
          <w:szCs w:val="21"/>
        </w:rPr>
      </w:pPr>
      <w:r>
        <w:rPr>
          <w:rFonts w:hint="eastAsia" w:ascii="宋体" w:hAnsi="宋体"/>
          <w:b/>
          <w:szCs w:val="21"/>
        </w:rPr>
        <w:t>一、安全目标：</w:t>
      </w:r>
    </w:p>
    <w:p w14:paraId="10B14201">
      <w:pPr>
        <w:spacing w:line="420" w:lineRule="exact"/>
        <w:ind w:firstLine="420" w:firstLineChars="200"/>
        <w:rPr>
          <w:rFonts w:hint="eastAsia" w:ascii="宋体" w:hAnsi="宋体"/>
          <w:szCs w:val="21"/>
        </w:rPr>
      </w:pPr>
      <w:r>
        <w:rPr>
          <w:rFonts w:hint="eastAsia" w:ascii="宋体" w:hAnsi="宋体"/>
          <w:szCs w:val="21"/>
        </w:rPr>
        <w:t>全年确保不发生因工伤死亡事故或重伤以上事故，不发生火灾、特种设备使用安全事故和职业病。</w:t>
      </w:r>
    </w:p>
    <w:p w14:paraId="7B3DCEAA">
      <w:pPr>
        <w:spacing w:line="420" w:lineRule="exact"/>
        <w:ind w:firstLine="422" w:firstLineChars="200"/>
        <w:rPr>
          <w:rFonts w:hint="eastAsia" w:ascii="宋体" w:hAnsi="宋体"/>
          <w:b/>
          <w:szCs w:val="21"/>
        </w:rPr>
      </w:pPr>
      <w:r>
        <w:rPr>
          <w:rFonts w:hint="eastAsia" w:ascii="宋体" w:hAnsi="宋体"/>
          <w:b/>
          <w:szCs w:val="21"/>
        </w:rPr>
        <w:t>二、甲方责任：</w:t>
      </w:r>
    </w:p>
    <w:p w14:paraId="0D2E59B4">
      <w:pPr>
        <w:spacing w:line="420" w:lineRule="exact"/>
        <w:ind w:firstLine="420" w:firstLineChars="200"/>
        <w:rPr>
          <w:rFonts w:hint="eastAsia" w:ascii="宋体" w:hAnsi="宋体"/>
          <w:szCs w:val="21"/>
        </w:rPr>
      </w:pPr>
      <w:r>
        <w:rPr>
          <w:rFonts w:hint="eastAsia" w:ascii="宋体" w:hAnsi="宋体"/>
          <w:szCs w:val="21"/>
        </w:rPr>
        <w:t>1、甲方应认真执行法律法规及政府部门的相关规定。</w:t>
      </w:r>
    </w:p>
    <w:p w14:paraId="4634114D">
      <w:pPr>
        <w:spacing w:line="420" w:lineRule="exact"/>
        <w:ind w:firstLine="420" w:firstLineChars="200"/>
        <w:rPr>
          <w:rFonts w:hint="eastAsia" w:ascii="宋体" w:hAnsi="宋体"/>
          <w:szCs w:val="21"/>
        </w:rPr>
      </w:pPr>
      <w:r>
        <w:rPr>
          <w:rFonts w:hint="eastAsia" w:ascii="宋体" w:hAnsi="宋体"/>
          <w:szCs w:val="21"/>
        </w:rPr>
        <w:t>2、乙方进驻前，甲方应向乙方交待清环境、水、电、消防设施等注意事项,明确安全工作职责，签订消防安全生产管理责任协议。</w:t>
      </w:r>
    </w:p>
    <w:p w14:paraId="568898AE">
      <w:pPr>
        <w:spacing w:line="420" w:lineRule="exact"/>
        <w:ind w:firstLine="420" w:firstLineChars="200"/>
        <w:rPr>
          <w:rFonts w:hint="eastAsia" w:ascii="宋体" w:hAnsi="宋体"/>
          <w:szCs w:val="21"/>
        </w:rPr>
      </w:pPr>
      <w:r>
        <w:rPr>
          <w:rFonts w:hint="eastAsia" w:ascii="宋体" w:hAnsi="宋体"/>
          <w:szCs w:val="21"/>
        </w:rPr>
        <w:t>3、</w:t>
      </w:r>
      <w:r>
        <w:rPr>
          <w:rFonts w:ascii="宋体" w:hAnsi="宋体" w:cs="Arial"/>
          <w:color w:val="000000"/>
          <w:szCs w:val="21"/>
          <w:shd w:val="clear" w:color="auto" w:fill="FFFFFF"/>
        </w:rPr>
        <w:t>对乙方的生产安全、消防</w:t>
      </w:r>
      <w:r>
        <w:rPr>
          <w:rFonts w:hint="eastAsia" w:ascii="宋体" w:hAnsi="宋体" w:cs="Arial"/>
          <w:color w:val="000000"/>
          <w:szCs w:val="21"/>
          <w:shd w:val="clear" w:color="auto" w:fill="FFFFFF"/>
        </w:rPr>
        <w:t>安全</w:t>
      </w:r>
      <w:r>
        <w:rPr>
          <w:rFonts w:ascii="宋体" w:hAnsi="宋体" w:cs="Arial"/>
          <w:color w:val="000000"/>
          <w:szCs w:val="21"/>
          <w:shd w:val="clear" w:color="auto" w:fill="FFFFFF"/>
        </w:rPr>
        <w:t>、特种设备</w:t>
      </w:r>
      <w:r>
        <w:rPr>
          <w:rFonts w:hint="eastAsia" w:ascii="宋体" w:hAnsi="宋体" w:cs="Arial"/>
          <w:color w:val="000000"/>
          <w:szCs w:val="21"/>
          <w:shd w:val="clear" w:color="auto" w:fill="FFFFFF"/>
        </w:rPr>
        <w:t>安全</w:t>
      </w:r>
      <w:r>
        <w:rPr>
          <w:rFonts w:ascii="宋体" w:hAnsi="宋体" w:cs="Arial"/>
          <w:color w:val="000000"/>
          <w:szCs w:val="21"/>
          <w:shd w:val="clear" w:color="auto" w:fill="FFFFFF"/>
        </w:rPr>
        <w:t>等</w:t>
      </w:r>
      <w:r>
        <w:rPr>
          <w:rFonts w:hint="eastAsia" w:ascii="宋体" w:hAnsi="宋体" w:cs="Arial"/>
          <w:color w:val="000000"/>
          <w:szCs w:val="21"/>
          <w:shd w:val="clear" w:color="auto" w:fill="FFFFFF"/>
        </w:rPr>
        <w:t>行业及领域</w:t>
      </w:r>
      <w:r>
        <w:rPr>
          <w:rFonts w:ascii="宋体" w:hAnsi="宋体" w:cs="Arial"/>
          <w:color w:val="000000"/>
          <w:szCs w:val="21"/>
          <w:shd w:val="clear" w:color="auto" w:fill="FFFFFF"/>
        </w:rPr>
        <w:t>进行监督检查。</w:t>
      </w:r>
    </w:p>
    <w:p w14:paraId="51561FA8">
      <w:pPr>
        <w:spacing w:line="420" w:lineRule="exact"/>
        <w:ind w:firstLine="420" w:firstLineChars="200"/>
        <w:rPr>
          <w:rFonts w:hint="eastAsia" w:ascii="宋体" w:hAnsi="宋体"/>
          <w:szCs w:val="21"/>
        </w:rPr>
      </w:pPr>
      <w:r>
        <w:rPr>
          <w:rFonts w:hint="eastAsia" w:ascii="宋体" w:hAnsi="宋体"/>
          <w:szCs w:val="21"/>
        </w:rPr>
        <w:t>4、及时向乙方传达上级部门的安全生产工作指示。</w:t>
      </w:r>
    </w:p>
    <w:p w14:paraId="70093EB4">
      <w:pPr>
        <w:spacing w:line="420" w:lineRule="exact"/>
        <w:ind w:firstLine="420" w:firstLineChars="200"/>
        <w:rPr>
          <w:rFonts w:hint="eastAsia" w:ascii="宋体" w:hAnsi="宋体"/>
          <w:szCs w:val="21"/>
        </w:rPr>
      </w:pPr>
      <w:r>
        <w:rPr>
          <w:rFonts w:hint="eastAsia" w:ascii="宋体" w:hAnsi="宋体"/>
          <w:szCs w:val="21"/>
        </w:rPr>
        <w:t>5、出租区域如发现重大安全隐患时，甲方有权责令乙方当场撤离人员和设备及物资。</w:t>
      </w:r>
    </w:p>
    <w:p w14:paraId="2DB774F4">
      <w:pPr>
        <w:spacing w:line="420" w:lineRule="exact"/>
        <w:ind w:firstLine="422" w:firstLineChars="200"/>
        <w:rPr>
          <w:rFonts w:hint="eastAsia" w:ascii="宋体" w:hAnsi="宋体"/>
          <w:b/>
          <w:szCs w:val="21"/>
        </w:rPr>
      </w:pPr>
      <w:r>
        <w:rPr>
          <w:rFonts w:hint="eastAsia" w:ascii="宋体" w:hAnsi="宋体"/>
          <w:b/>
          <w:szCs w:val="21"/>
        </w:rPr>
        <w:t>三、乙方责任：</w:t>
      </w:r>
    </w:p>
    <w:p w14:paraId="720E8E54">
      <w:pPr>
        <w:spacing w:line="420" w:lineRule="exact"/>
        <w:ind w:firstLine="315" w:firstLineChars="150"/>
        <w:rPr>
          <w:rFonts w:hint="eastAsia" w:ascii="宋体" w:hAnsi="宋体"/>
          <w:szCs w:val="21"/>
        </w:rPr>
      </w:pPr>
      <w:r>
        <w:rPr>
          <w:rFonts w:hint="eastAsia" w:ascii="宋体" w:hAnsi="宋体"/>
          <w:szCs w:val="21"/>
        </w:rPr>
        <w:t>1、乙方遵守相关法律法规，办理相关合法证件。自觉接受安全、消防等职能部门和甲方的监督检查。</w:t>
      </w:r>
    </w:p>
    <w:p w14:paraId="3377169D">
      <w:pPr>
        <w:spacing w:line="420" w:lineRule="exact"/>
        <w:ind w:firstLine="315" w:firstLineChars="150"/>
        <w:rPr>
          <w:rFonts w:hint="eastAsia" w:ascii="宋体" w:hAnsi="宋体"/>
          <w:szCs w:val="21"/>
        </w:rPr>
      </w:pPr>
      <w:r>
        <w:rPr>
          <w:rFonts w:hint="eastAsia" w:ascii="宋体" w:hAnsi="宋体"/>
          <w:szCs w:val="21"/>
        </w:rPr>
        <w:t>2、乙方的法定代表人为安全第一责任人，应严格遵守安全生产法律法规，全面负责承租场所的安全工作，并建立完善的安全责任制。</w:t>
      </w:r>
    </w:p>
    <w:p w14:paraId="7AAB66AA">
      <w:pPr>
        <w:spacing w:line="420" w:lineRule="exact"/>
        <w:ind w:firstLine="315" w:firstLineChars="150"/>
        <w:rPr>
          <w:rFonts w:hint="eastAsia" w:ascii="宋体" w:hAnsi="宋体"/>
          <w:szCs w:val="21"/>
        </w:rPr>
      </w:pPr>
      <w:r>
        <w:rPr>
          <w:rFonts w:hint="eastAsia" w:ascii="宋体" w:hAnsi="宋体"/>
          <w:szCs w:val="21"/>
        </w:rPr>
        <w:t>3、主要负责人和安全管理人员，须具备与所从事的生产经营活动相适应的安全知识和管理能力，接受法定培训，做到持证上岗。</w:t>
      </w:r>
    </w:p>
    <w:p w14:paraId="1C8E7B99">
      <w:pPr>
        <w:spacing w:line="420" w:lineRule="exact"/>
        <w:ind w:firstLine="315" w:firstLineChars="150"/>
        <w:rPr>
          <w:rFonts w:hint="eastAsia" w:ascii="宋体" w:hAnsi="宋体"/>
          <w:szCs w:val="21"/>
        </w:rPr>
      </w:pPr>
      <w:r>
        <w:rPr>
          <w:rFonts w:hint="eastAsia" w:ascii="宋体" w:hAnsi="宋体"/>
          <w:szCs w:val="21"/>
        </w:rPr>
        <w:t>4、不得擅自改变建(构)筑物结构，不得擅自改变承租场地的用途。</w:t>
      </w:r>
    </w:p>
    <w:p w14:paraId="21286F88">
      <w:pPr>
        <w:spacing w:line="420" w:lineRule="exact"/>
        <w:ind w:firstLine="315" w:firstLineChars="150"/>
        <w:rPr>
          <w:rFonts w:hint="eastAsia" w:ascii="宋体" w:hAnsi="宋体"/>
          <w:szCs w:val="21"/>
        </w:rPr>
      </w:pPr>
      <w:r>
        <w:rPr>
          <w:rFonts w:hint="eastAsia" w:ascii="宋体" w:hAnsi="宋体"/>
          <w:szCs w:val="21"/>
        </w:rPr>
        <w:t>5、严禁在承租区域内使用和储存易燃易爆化学物品。</w:t>
      </w:r>
    </w:p>
    <w:p w14:paraId="274B6ACE">
      <w:pPr>
        <w:spacing w:line="420" w:lineRule="exact"/>
        <w:ind w:firstLine="315" w:firstLineChars="150"/>
        <w:rPr>
          <w:rFonts w:hint="eastAsia" w:ascii="宋体" w:hAnsi="宋体"/>
          <w:szCs w:val="21"/>
        </w:rPr>
      </w:pPr>
      <w:r>
        <w:rPr>
          <w:rFonts w:hint="eastAsia" w:ascii="宋体" w:hAnsi="宋体"/>
          <w:szCs w:val="21"/>
        </w:rPr>
        <w:t>6、乙方配备安全管理人员，建立健全安全管理规章制度和操作规程，落实安全责任，加强对从业人员的安全培训、教育，制订事故应急救援预案并按规定演练。</w:t>
      </w:r>
    </w:p>
    <w:p w14:paraId="134D35BC">
      <w:pPr>
        <w:spacing w:line="420" w:lineRule="exact"/>
        <w:ind w:firstLine="315" w:firstLineChars="150"/>
        <w:rPr>
          <w:rFonts w:hint="eastAsia" w:ascii="宋体" w:hAnsi="宋体"/>
          <w:szCs w:val="21"/>
        </w:rPr>
      </w:pPr>
      <w:r>
        <w:rPr>
          <w:rFonts w:hint="eastAsia" w:ascii="宋体" w:hAnsi="宋体"/>
          <w:szCs w:val="21"/>
        </w:rPr>
        <w:t>7、乙方严格执行安全用电制度，禁止私自更改、违章搭接或乱拉乱接，禁止使用国家淘汰的电气设备，做到一路一漏保，开关盒（柜）前方不得堵塞。</w:t>
      </w:r>
    </w:p>
    <w:p w14:paraId="1413190F">
      <w:pPr>
        <w:spacing w:line="420" w:lineRule="exact"/>
        <w:ind w:firstLine="315" w:firstLineChars="150"/>
        <w:rPr>
          <w:rFonts w:hint="eastAsia" w:ascii="宋体" w:hAnsi="宋体"/>
          <w:szCs w:val="21"/>
        </w:rPr>
      </w:pPr>
      <w:r>
        <w:rPr>
          <w:rFonts w:hint="eastAsia" w:ascii="宋体" w:hAnsi="宋体"/>
          <w:szCs w:val="21"/>
        </w:rPr>
        <w:t>8、乙方负责所使用特种设备，检验、检测、验收合格等事项，从事特种作业的人员应具备相应资质，持证上岗，并按规定进行年检和复审。</w:t>
      </w:r>
    </w:p>
    <w:p w14:paraId="3BB50AEC">
      <w:pPr>
        <w:spacing w:line="420" w:lineRule="exact"/>
        <w:ind w:firstLine="315" w:firstLineChars="150"/>
        <w:rPr>
          <w:rFonts w:hint="eastAsia" w:ascii="宋体" w:hAnsi="宋体"/>
          <w:szCs w:val="21"/>
        </w:rPr>
      </w:pPr>
      <w:r>
        <w:rPr>
          <w:rFonts w:hint="eastAsia" w:ascii="宋体" w:hAnsi="宋体"/>
          <w:szCs w:val="21"/>
        </w:rPr>
        <w:t>9、不得在所承租场所内设置员工宿舍。</w:t>
      </w:r>
    </w:p>
    <w:p w14:paraId="2B70DB99">
      <w:pPr>
        <w:spacing w:line="420" w:lineRule="exact"/>
        <w:ind w:firstLine="315" w:firstLineChars="150"/>
        <w:rPr>
          <w:rFonts w:hint="eastAsia" w:ascii="宋体" w:hAnsi="宋体"/>
          <w:szCs w:val="21"/>
        </w:rPr>
      </w:pPr>
      <w:r>
        <w:rPr>
          <w:rFonts w:hint="eastAsia" w:ascii="宋体" w:hAnsi="宋体"/>
          <w:szCs w:val="21"/>
        </w:rPr>
        <w:t>10、作业场所和通道必须保持畅通，并按规定设置照明和疏散标志，不得堵塞、封闭、占用疏散通道和安全出口。</w:t>
      </w:r>
    </w:p>
    <w:p w14:paraId="23A54A96">
      <w:pPr>
        <w:spacing w:line="420" w:lineRule="exact"/>
        <w:ind w:firstLine="315" w:firstLineChars="150"/>
        <w:rPr>
          <w:rFonts w:hint="eastAsia" w:ascii="宋体" w:hAnsi="宋体"/>
          <w:szCs w:val="21"/>
        </w:rPr>
      </w:pPr>
      <w:r>
        <w:rPr>
          <w:rFonts w:hint="eastAsia" w:ascii="宋体" w:hAnsi="宋体"/>
          <w:szCs w:val="21"/>
        </w:rPr>
        <w:t>11、乙方负责在承租区域配置相应规定数量的消防器材，并定期对消防器材进行检查、维护、保养和更换，确保承租区域内所有消防设备设施和器材的完好。</w:t>
      </w:r>
    </w:p>
    <w:p w14:paraId="172B1358">
      <w:pPr>
        <w:spacing w:line="420" w:lineRule="exact"/>
        <w:ind w:firstLine="315" w:firstLineChars="150"/>
        <w:rPr>
          <w:rFonts w:hint="eastAsia" w:ascii="宋体" w:hAnsi="宋体"/>
          <w:szCs w:val="21"/>
        </w:rPr>
      </w:pPr>
      <w:r>
        <w:rPr>
          <w:rFonts w:hint="eastAsia" w:ascii="宋体" w:hAnsi="宋体"/>
          <w:szCs w:val="21"/>
        </w:rPr>
        <w:t>12、乙方资产可根据实际向保险公司投保，费用自理。</w:t>
      </w:r>
    </w:p>
    <w:p w14:paraId="0F5977C1">
      <w:pPr>
        <w:spacing w:line="420" w:lineRule="exact"/>
        <w:ind w:firstLine="315" w:firstLineChars="150"/>
        <w:rPr>
          <w:rFonts w:hint="eastAsia" w:ascii="宋体" w:hAnsi="宋体"/>
          <w:szCs w:val="21"/>
        </w:rPr>
      </w:pPr>
      <w:r>
        <w:rPr>
          <w:rFonts w:hint="eastAsia" w:ascii="宋体" w:hAnsi="宋体"/>
          <w:szCs w:val="21"/>
        </w:rPr>
        <w:t>13、如发生安全事故，按有关规定及时向有关主管部门</w:t>
      </w:r>
      <w:r>
        <w:fldChar w:fldCharType="begin"/>
      </w:r>
      <w:r>
        <w:instrText xml:space="preserve"> HYPERLINK "http://www.gkstk.com/admin_gk/admin_index.php" \o "报告" </w:instrText>
      </w:r>
      <w:r>
        <w:fldChar w:fldCharType="separate"/>
      </w:r>
      <w:r>
        <w:rPr>
          <w:rFonts w:hint="eastAsia" w:ascii="宋体" w:hAnsi="宋体"/>
          <w:szCs w:val="21"/>
        </w:rPr>
        <w:t>报告</w:t>
      </w:r>
      <w:r>
        <w:rPr>
          <w:rFonts w:hint="eastAsia" w:ascii="宋体" w:hAnsi="宋体"/>
          <w:szCs w:val="21"/>
        </w:rPr>
        <w:fldChar w:fldCharType="end"/>
      </w:r>
      <w:r>
        <w:rPr>
          <w:rFonts w:hint="eastAsia" w:ascii="宋体" w:hAnsi="宋体"/>
          <w:szCs w:val="21"/>
        </w:rPr>
        <w:t>。同时，积极配合甲方和有关部门做好事故调查和善后处理工作。造成单位人员伤亡、经济损失（含甲方场地及设施）和由此造成的一切后果均由乙方承担。如发生意外（死亡、重伤、轻伤、火灾、中毒等）由乙方承担全部责任，甲方将根据租赁合同中的相关条</w:t>
      </w:r>
      <w:r>
        <w:rPr>
          <w:rFonts w:hint="eastAsia" w:ascii="宋体" w:hAnsi="宋体"/>
          <w:szCs w:val="21"/>
          <w:lang w:val="en-US" w:eastAsia="zh-CN"/>
        </w:rPr>
        <w:t>款追究乙方的违约责任。</w:t>
      </w:r>
    </w:p>
    <w:p w14:paraId="75D6CBAB">
      <w:pPr>
        <w:spacing w:line="420" w:lineRule="exact"/>
        <w:ind w:firstLine="315" w:firstLineChars="150"/>
        <w:rPr>
          <w:rFonts w:hint="eastAsia" w:ascii="宋体" w:hAnsi="宋体"/>
          <w:szCs w:val="21"/>
        </w:rPr>
      </w:pPr>
      <w:r>
        <w:rPr>
          <w:rFonts w:hint="eastAsia" w:ascii="宋体" w:hAnsi="宋体"/>
          <w:szCs w:val="21"/>
        </w:rPr>
        <w:t>14、发现重大安全隐患或突发事故时，根据甲方要求落实措施。</w:t>
      </w:r>
    </w:p>
    <w:p w14:paraId="4C506491">
      <w:pPr>
        <w:spacing w:line="420" w:lineRule="exact"/>
        <w:ind w:firstLine="316" w:firstLineChars="150"/>
        <w:rPr>
          <w:rFonts w:hint="eastAsia" w:ascii="宋体" w:hAnsi="宋体"/>
          <w:b/>
          <w:szCs w:val="21"/>
        </w:rPr>
      </w:pPr>
      <w:r>
        <w:rPr>
          <w:rFonts w:hint="eastAsia" w:ascii="宋体" w:hAnsi="宋体"/>
          <w:b/>
          <w:szCs w:val="21"/>
        </w:rPr>
        <w:t>四、其他事项：</w:t>
      </w:r>
    </w:p>
    <w:p w14:paraId="432EFBD9">
      <w:pPr>
        <w:spacing w:line="420" w:lineRule="exact"/>
        <w:ind w:firstLine="315" w:firstLineChars="150"/>
        <w:rPr>
          <w:rFonts w:hint="eastAsia" w:ascii="宋体" w:hAnsi="宋体"/>
          <w:szCs w:val="21"/>
        </w:rPr>
      </w:pPr>
      <w:r>
        <w:rPr>
          <w:rFonts w:hint="eastAsia" w:ascii="宋体" w:hAnsi="宋体"/>
          <w:szCs w:val="21"/>
        </w:rPr>
        <w:t>1、甲方或甲方上级专业部门有权随时检查工作现场及本安全管理协议的落实情况。乙方必须严格履行消防安全生产管理责任，对存在的安全隐患乙方未能及时整改或乙方有违反本协议和消防安全规定的行为，视为乙方违约，甲方有权中止租赁协议，由此造成的经济损失和行政、法律责任，由乙方承担。</w:t>
      </w:r>
    </w:p>
    <w:p w14:paraId="7C808041">
      <w:pPr>
        <w:spacing w:line="420" w:lineRule="exact"/>
        <w:ind w:left="141" w:leftChars="67" w:firstLine="210" w:firstLineChars="100"/>
        <w:rPr>
          <w:rFonts w:hint="eastAsia" w:ascii="宋体" w:hAnsi="宋体"/>
          <w:szCs w:val="21"/>
        </w:rPr>
      </w:pPr>
      <w:r>
        <w:rPr>
          <w:rFonts w:hint="eastAsia" w:ascii="宋体" w:hAnsi="宋体"/>
          <w:szCs w:val="21"/>
        </w:rPr>
        <w:t>2、本场地消防安全生产管理责任协议为甲、乙双方租赁协议的补充内容之一,生效时间与甲、乙双方所签订的租赁协议履行期限一致。</w:t>
      </w:r>
    </w:p>
    <w:p w14:paraId="68C5484E">
      <w:pPr>
        <w:spacing w:line="420" w:lineRule="exact"/>
        <w:ind w:firstLine="315" w:firstLineChars="150"/>
        <w:rPr>
          <w:rFonts w:hint="eastAsia" w:ascii="宋体" w:hAnsi="宋体"/>
          <w:szCs w:val="21"/>
        </w:rPr>
      </w:pPr>
      <w:r>
        <w:rPr>
          <w:rFonts w:hint="eastAsia" w:ascii="宋体" w:hAnsi="宋体"/>
          <w:szCs w:val="21"/>
        </w:rPr>
        <w:t>3、本场地消防安全管理责任协议一式两份，双方签字后生效，甲方执一份、乙方执一份。</w:t>
      </w:r>
    </w:p>
    <w:p w14:paraId="7373BA90">
      <w:pPr>
        <w:spacing w:line="420" w:lineRule="exact"/>
        <w:rPr>
          <w:rFonts w:hint="eastAsia" w:ascii="宋体" w:hAnsi="宋体"/>
          <w:szCs w:val="21"/>
        </w:r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14:paraId="4583E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4148" w:type="dxa"/>
          </w:tcPr>
          <w:p w14:paraId="39C92B89">
            <w:pPr>
              <w:spacing w:line="360" w:lineRule="auto"/>
              <w:jc w:val="left"/>
              <w:rPr>
                <w:rFonts w:hint="eastAsia" w:asciiTheme="minorEastAsia" w:hAnsi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甲方</w:t>
            </w:r>
            <w:r>
              <w:rPr>
                <w:rFonts w:asciiTheme="minorEastAsia" w:hAnsiTheme="minorEastAsia" w:eastAsiaTheme="minorEastAsia"/>
                <w:color w:val="000000" w:themeColor="text1"/>
                <w:kern w:val="0"/>
                <w:szCs w:val="21"/>
                <w14:textFill>
                  <w14:solidFill>
                    <w14:schemeClr w14:val="tx1"/>
                  </w14:solidFill>
                </w14:textFill>
              </w:rPr>
              <w:t>（</w:t>
            </w:r>
            <w:r>
              <w:rPr>
                <w:rFonts w:hint="eastAsia" w:asciiTheme="minorEastAsia" w:hAnsiTheme="minorEastAsia" w:eastAsiaTheme="minorEastAsia"/>
                <w:color w:val="000000" w:themeColor="text1"/>
                <w:kern w:val="0"/>
                <w:szCs w:val="21"/>
                <w14:textFill>
                  <w14:solidFill>
                    <w14:schemeClr w14:val="tx1"/>
                  </w14:solidFill>
                </w14:textFill>
              </w:rPr>
              <w:t>盖章</w:t>
            </w:r>
            <w:r>
              <w:rPr>
                <w:rFonts w:asciiTheme="minorEastAsia" w:hAnsiTheme="minorEastAsia" w:eastAsiaTheme="minorEastAsia"/>
                <w:color w:val="000000" w:themeColor="text1"/>
                <w:kern w:val="0"/>
                <w:szCs w:val="21"/>
                <w14:textFill>
                  <w14:solidFill>
                    <w14:schemeClr w14:val="tx1"/>
                  </w14:solidFill>
                </w14:textFill>
              </w:rPr>
              <w:t>）</w:t>
            </w:r>
            <w:r>
              <w:rPr>
                <w:rFonts w:hint="eastAsia" w:asciiTheme="minorEastAsia" w:hAnsiTheme="minorEastAsia" w:eastAsiaTheme="minorEastAsia"/>
                <w:color w:val="000000" w:themeColor="text1"/>
                <w:kern w:val="0"/>
                <w:szCs w:val="21"/>
                <w14:textFill>
                  <w14:solidFill>
                    <w14:schemeClr w14:val="tx1"/>
                  </w14:solidFill>
                </w14:textFill>
              </w:rPr>
              <w:t>：</w:t>
            </w:r>
            <w:r>
              <w:rPr>
                <w:rFonts w:hint="eastAsia" w:ascii="宋体" w:hAnsi="宋体"/>
                <w:szCs w:val="21"/>
              </w:rPr>
              <w:t>杭州蒙正实业有限责任公司</w:t>
            </w:r>
          </w:p>
        </w:tc>
        <w:tc>
          <w:tcPr>
            <w:tcW w:w="4148" w:type="dxa"/>
          </w:tcPr>
          <w:p w14:paraId="6322B4EE">
            <w:pPr>
              <w:spacing w:line="360" w:lineRule="auto"/>
              <w:ind w:firstLine="1470" w:firstLineChars="700"/>
              <w:jc w:val="left"/>
              <w:rPr>
                <w:rFonts w:hint="eastAsia" w:asciiTheme="minorEastAsia" w:hAnsi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乙方</w:t>
            </w:r>
            <w:r>
              <w:rPr>
                <w:rFonts w:asciiTheme="minorEastAsia" w:hAnsiTheme="minorEastAsia" w:eastAsiaTheme="minorEastAsia"/>
                <w:color w:val="000000" w:themeColor="text1"/>
                <w:kern w:val="0"/>
                <w:szCs w:val="21"/>
                <w14:textFill>
                  <w14:solidFill>
                    <w14:schemeClr w14:val="tx1"/>
                  </w14:solidFill>
                </w14:textFill>
              </w:rPr>
              <w:t>（</w:t>
            </w:r>
            <w:r>
              <w:rPr>
                <w:rFonts w:hint="eastAsia" w:asciiTheme="minorEastAsia" w:hAnsiTheme="minorEastAsia" w:eastAsiaTheme="minorEastAsia"/>
                <w:color w:val="000000" w:themeColor="text1"/>
                <w:kern w:val="0"/>
                <w:szCs w:val="21"/>
                <w14:textFill>
                  <w14:solidFill>
                    <w14:schemeClr w14:val="tx1"/>
                  </w14:solidFill>
                </w14:textFill>
              </w:rPr>
              <w:t>盖章</w:t>
            </w:r>
            <w:r>
              <w:rPr>
                <w:rFonts w:asciiTheme="minorEastAsia" w:hAnsiTheme="minorEastAsia" w:eastAsiaTheme="minorEastAsia"/>
                <w:color w:val="000000" w:themeColor="text1"/>
                <w:kern w:val="0"/>
                <w:szCs w:val="21"/>
                <w14:textFill>
                  <w14:solidFill>
                    <w14:schemeClr w14:val="tx1"/>
                  </w14:solidFill>
                </w14:textFill>
              </w:rPr>
              <w:t>）</w:t>
            </w:r>
            <w:r>
              <w:rPr>
                <w:rFonts w:hint="eastAsia" w:asciiTheme="minorEastAsia" w:hAnsiTheme="minorEastAsia" w:eastAsiaTheme="minorEastAsia"/>
                <w:color w:val="000000" w:themeColor="text1"/>
                <w:kern w:val="0"/>
                <w:szCs w:val="21"/>
                <w14:textFill>
                  <w14:solidFill>
                    <w14:schemeClr w14:val="tx1"/>
                  </w14:solidFill>
                </w14:textFill>
              </w:rPr>
              <w:t>：</w:t>
            </w:r>
          </w:p>
        </w:tc>
      </w:tr>
      <w:tr w14:paraId="38DB6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148" w:type="dxa"/>
          </w:tcPr>
          <w:p w14:paraId="71429A55">
            <w:pPr>
              <w:spacing w:line="360" w:lineRule="auto"/>
              <w:jc w:val="left"/>
              <w:rPr>
                <w:rFonts w:hint="eastAsia" w:asciiTheme="minorEastAsia" w:hAnsi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授权代表（签字）：</w:t>
            </w:r>
          </w:p>
        </w:tc>
        <w:tc>
          <w:tcPr>
            <w:tcW w:w="4148" w:type="dxa"/>
          </w:tcPr>
          <w:p w14:paraId="23279276">
            <w:pPr>
              <w:spacing w:line="360" w:lineRule="auto"/>
              <w:jc w:val="left"/>
              <w:rPr>
                <w:rFonts w:hint="eastAsia" w:asciiTheme="minorEastAsia" w:hAnsi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授权代表（签字）：</w:t>
            </w:r>
          </w:p>
          <w:p w14:paraId="402A7BC7">
            <w:pPr>
              <w:spacing w:line="360" w:lineRule="auto"/>
              <w:jc w:val="left"/>
              <w:rPr>
                <w:rFonts w:hint="eastAsia" w:asciiTheme="minorEastAsia" w:hAnsiTheme="minorEastAsia"/>
                <w:color w:val="000000" w:themeColor="text1"/>
                <w:kern w:val="0"/>
                <w:szCs w:val="21"/>
                <w14:textFill>
                  <w14:solidFill>
                    <w14:schemeClr w14:val="tx1"/>
                  </w14:solidFill>
                </w14:textFill>
              </w:rPr>
            </w:pPr>
          </w:p>
        </w:tc>
      </w:tr>
      <w:tr w14:paraId="60FB7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148" w:type="dxa"/>
          </w:tcPr>
          <w:p w14:paraId="5371CB71">
            <w:pPr>
              <w:spacing w:line="360" w:lineRule="auto"/>
              <w:jc w:val="left"/>
              <w:rPr>
                <w:rFonts w:hint="eastAsia" w:asciiTheme="minorEastAsia" w:hAnsi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签约日期</w:t>
            </w:r>
            <w:r>
              <w:rPr>
                <w:rFonts w:asciiTheme="minorEastAsia" w:hAnsiTheme="minorEastAsia" w:eastAsiaTheme="minorEastAsia"/>
                <w:color w:val="000000" w:themeColor="text1"/>
                <w:kern w:val="0"/>
                <w:szCs w:val="21"/>
                <w14:textFill>
                  <w14:solidFill>
                    <w14:schemeClr w14:val="tx1"/>
                  </w14:solidFill>
                </w14:textFill>
              </w:rPr>
              <w:t>：</w:t>
            </w:r>
            <w:r>
              <w:rPr>
                <w:rFonts w:hint="eastAsia" w:asciiTheme="minorEastAsia" w:hAnsiTheme="minorEastAsia"/>
                <w:color w:val="000000" w:themeColor="text1"/>
                <w:kern w:val="0"/>
                <w:szCs w:val="21"/>
                <w14:textFill>
                  <w14:solidFill>
                    <w14:schemeClr w14:val="tx1"/>
                  </w14:solidFill>
                </w14:textFill>
              </w:rPr>
              <w:t xml:space="preserve">   </w:t>
            </w:r>
            <w:r>
              <w:rPr>
                <w:rFonts w:hint="eastAsia" w:asciiTheme="minorEastAsia" w:hAnsiTheme="minorEastAsia" w:eastAsiaTheme="minorEastAsia"/>
                <w:color w:val="000000" w:themeColor="text1"/>
                <w:kern w:val="0"/>
                <w:szCs w:val="21"/>
                <w14:textFill>
                  <w14:solidFill>
                    <w14:schemeClr w14:val="tx1"/>
                  </w14:solidFill>
                </w14:textFill>
              </w:rPr>
              <w:t xml:space="preserve">  </w:t>
            </w:r>
            <w:r>
              <w:rPr>
                <w:rFonts w:asciiTheme="minorEastAsia" w:hAnsiTheme="minorEastAsia" w:eastAsiaTheme="minorEastAsia"/>
                <w:color w:val="000000" w:themeColor="text1"/>
                <w:kern w:val="0"/>
                <w:szCs w:val="21"/>
                <w14:textFill>
                  <w14:solidFill>
                    <w14:schemeClr w14:val="tx1"/>
                  </w14:solidFill>
                </w14:textFill>
              </w:rPr>
              <w:t xml:space="preserve"> </w:t>
            </w:r>
            <w:r>
              <w:rPr>
                <w:rFonts w:hint="eastAsia" w:asciiTheme="minorEastAsia" w:hAnsiTheme="minorEastAsia" w:eastAsiaTheme="minorEastAsia"/>
                <w:color w:val="000000" w:themeColor="text1"/>
                <w:kern w:val="0"/>
                <w:szCs w:val="21"/>
                <w14:textFill>
                  <w14:solidFill>
                    <w14:schemeClr w14:val="tx1"/>
                  </w14:solidFill>
                </w14:textFill>
              </w:rPr>
              <w:t xml:space="preserve">年  </w:t>
            </w:r>
            <w:r>
              <w:rPr>
                <w:rFonts w:asciiTheme="minorEastAsia" w:hAnsiTheme="minorEastAsia" w:eastAsiaTheme="minorEastAsia"/>
                <w:color w:val="000000" w:themeColor="text1"/>
                <w:kern w:val="0"/>
                <w:szCs w:val="21"/>
                <w14:textFill>
                  <w14:solidFill>
                    <w14:schemeClr w14:val="tx1"/>
                  </w14:solidFill>
                </w14:textFill>
              </w:rPr>
              <w:t xml:space="preserve"> </w:t>
            </w:r>
            <w:r>
              <w:rPr>
                <w:rFonts w:hint="eastAsia" w:asciiTheme="minorEastAsia" w:hAnsiTheme="minorEastAsia" w:eastAsiaTheme="minorEastAsia"/>
                <w:color w:val="000000" w:themeColor="text1"/>
                <w:kern w:val="0"/>
                <w:szCs w:val="21"/>
                <w14:textFill>
                  <w14:solidFill>
                    <w14:schemeClr w14:val="tx1"/>
                  </w14:solidFill>
                </w14:textFill>
              </w:rPr>
              <w:t xml:space="preserve">月  </w:t>
            </w:r>
            <w:r>
              <w:rPr>
                <w:rFonts w:asciiTheme="minorEastAsia" w:hAnsiTheme="minorEastAsia" w:eastAsiaTheme="minorEastAsia"/>
                <w:color w:val="000000" w:themeColor="text1"/>
                <w:kern w:val="0"/>
                <w:szCs w:val="21"/>
                <w14:textFill>
                  <w14:solidFill>
                    <w14:schemeClr w14:val="tx1"/>
                  </w14:solidFill>
                </w14:textFill>
              </w:rPr>
              <w:t xml:space="preserve"> </w:t>
            </w:r>
            <w:r>
              <w:rPr>
                <w:rFonts w:hint="eastAsia" w:asciiTheme="minorEastAsia" w:hAnsiTheme="minorEastAsia" w:eastAsiaTheme="minorEastAsia"/>
                <w:color w:val="000000" w:themeColor="text1"/>
                <w:kern w:val="0"/>
                <w:szCs w:val="21"/>
                <w14:textFill>
                  <w14:solidFill>
                    <w14:schemeClr w14:val="tx1"/>
                  </w14:solidFill>
                </w14:textFill>
              </w:rPr>
              <w:t>日</w:t>
            </w:r>
          </w:p>
        </w:tc>
        <w:tc>
          <w:tcPr>
            <w:tcW w:w="4148" w:type="dxa"/>
          </w:tcPr>
          <w:p w14:paraId="4F96A317">
            <w:pPr>
              <w:spacing w:line="360" w:lineRule="auto"/>
              <w:jc w:val="left"/>
              <w:rPr>
                <w:rFonts w:hint="eastAsia" w:asciiTheme="minorEastAsia" w:hAnsi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签约日期</w:t>
            </w:r>
            <w:r>
              <w:rPr>
                <w:rFonts w:asciiTheme="minorEastAsia" w:hAnsiTheme="minorEastAsia" w:eastAsiaTheme="minorEastAsia"/>
                <w:color w:val="000000" w:themeColor="text1"/>
                <w:kern w:val="0"/>
                <w:szCs w:val="21"/>
                <w14:textFill>
                  <w14:solidFill>
                    <w14:schemeClr w14:val="tx1"/>
                  </w14:solidFill>
                </w14:textFill>
              </w:rPr>
              <w:t>：</w:t>
            </w:r>
            <w:r>
              <w:rPr>
                <w:rFonts w:hint="eastAsia" w:asciiTheme="minorEastAsia" w:hAnsiTheme="minorEastAsia" w:eastAsiaTheme="minorEastAsia"/>
                <w:color w:val="000000" w:themeColor="text1"/>
                <w:kern w:val="0"/>
                <w:szCs w:val="21"/>
                <w14:textFill>
                  <w14:solidFill>
                    <w14:schemeClr w14:val="tx1"/>
                  </w14:solidFill>
                </w14:textFill>
              </w:rPr>
              <w:t xml:space="preserve">  </w:t>
            </w:r>
            <w:r>
              <w:rPr>
                <w:rFonts w:hint="eastAsia" w:asciiTheme="minorEastAsia" w:hAnsiTheme="minorEastAsia"/>
                <w:color w:val="000000" w:themeColor="text1"/>
                <w:kern w:val="0"/>
                <w:szCs w:val="21"/>
                <w14:textFill>
                  <w14:solidFill>
                    <w14:schemeClr w14:val="tx1"/>
                  </w14:solidFill>
                </w14:textFill>
              </w:rPr>
              <w:t xml:space="preserve">   </w:t>
            </w:r>
            <w:r>
              <w:rPr>
                <w:rFonts w:asciiTheme="minorEastAsia" w:hAnsiTheme="minorEastAsia" w:eastAsiaTheme="minorEastAsia"/>
                <w:color w:val="000000" w:themeColor="text1"/>
                <w:kern w:val="0"/>
                <w:szCs w:val="21"/>
                <w14:textFill>
                  <w14:solidFill>
                    <w14:schemeClr w14:val="tx1"/>
                  </w14:solidFill>
                </w14:textFill>
              </w:rPr>
              <w:t xml:space="preserve"> </w:t>
            </w:r>
            <w:r>
              <w:rPr>
                <w:rFonts w:hint="eastAsia" w:asciiTheme="minorEastAsia" w:hAnsiTheme="minorEastAsia" w:eastAsiaTheme="minorEastAsia"/>
                <w:color w:val="000000" w:themeColor="text1"/>
                <w:kern w:val="0"/>
                <w:szCs w:val="21"/>
                <w14:textFill>
                  <w14:solidFill>
                    <w14:schemeClr w14:val="tx1"/>
                  </w14:solidFill>
                </w14:textFill>
              </w:rPr>
              <w:t xml:space="preserve">年  </w:t>
            </w:r>
            <w:r>
              <w:rPr>
                <w:rFonts w:asciiTheme="minorEastAsia" w:hAnsiTheme="minorEastAsia" w:eastAsiaTheme="minorEastAsia"/>
                <w:color w:val="000000" w:themeColor="text1"/>
                <w:kern w:val="0"/>
                <w:szCs w:val="21"/>
                <w14:textFill>
                  <w14:solidFill>
                    <w14:schemeClr w14:val="tx1"/>
                  </w14:solidFill>
                </w14:textFill>
              </w:rPr>
              <w:t xml:space="preserve"> </w:t>
            </w:r>
            <w:r>
              <w:rPr>
                <w:rFonts w:hint="eastAsia" w:asciiTheme="minorEastAsia" w:hAnsiTheme="minorEastAsia" w:eastAsiaTheme="minorEastAsia"/>
                <w:color w:val="000000" w:themeColor="text1"/>
                <w:kern w:val="0"/>
                <w:szCs w:val="21"/>
                <w14:textFill>
                  <w14:solidFill>
                    <w14:schemeClr w14:val="tx1"/>
                  </w14:solidFill>
                </w14:textFill>
              </w:rPr>
              <w:t xml:space="preserve">月  </w:t>
            </w:r>
            <w:r>
              <w:rPr>
                <w:rFonts w:asciiTheme="minorEastAsia" w:hAnsiTheme="minorEastAsia" w:eastAsiaTheme="minorEastAsia"/>
                <w:color w:val="000000" w:themeColor="text1"/>
                <w:kern w:val="0"/>
                <w:szCs w:val="21"/>
                <w14:textFill>
                  <w14:solidFill>
                    <w14:schemeClr w14:val="tx1"/>
                  </w14:solidFill>
                </w14:textFill>
              </w:rPr>
              <w:t xml:space="preserve"> </w:t>
            </w:r>
            <w:r>
              <w:rPr>
                <w:rFonts w:hint="eastAsia" w:asciiTheme="minorEastAsia" w:hAnsiTheme="minorEastAsia" w:eastAsiaTheme="minorEastAsia"/>
                <w:color w:val="000000" w:themeColor="text1"/>
                <w:kern w:val="0"/>
                <w:szCs w:val="21"/>
                <w14:textFill>
                  <w14:solidFill>
                    <w14:schemeClr w14:val="tx1"/>
                  </w14:solidFill>
                </w14:textFill>
              </w:rPr>
              <w:t>日</w:t>
            </w:r>
          </w:p>
        </w:tc>
      </w:tr>
      <w:bookmarkEnd w:id="2"/>
    </w:tbl>
    <w:p w14:paraId="2A4CB934">
      <w:pPr>
        <w:spacing w:line="312" w:lineRule="auto"/>
        <w:rPr>
          <w:rFonts w:hint="eastAsia" w:ascii="宋体" w:hAnsi="宋体"/>
          <w:szCs w:val="21"/>
          <w:u w:val="single"/>
        </w:rPr>
      </w:pPr>
    </w:p>
    <w:p w14:paraId="525CB4A6">
      <w:pPr>
        <w:autoSpaceDE w:val="0"/>
        <w:autoSpaceDN w:val="0"/>
        <w:adjustRightInd w:val="0"/>
        <w:spacing w:line="293" w:lineRule="auto"/>
        <w:ind w:right="560"/>
        <w:rPr>
          <w:rFonts w:hint="eastAsia" w:ascii="宋体" w:hAnsi="宋体"/>
          <w:bCs/>
          <w:color w:val="000000" w:themeColor="text1"/>
          <w:spacing w:val="20"/>
          <w:sz w:val="24"/>
          <w14:textFill>
            <w14:solidFill>
              <w14:schemeClr w14:val="tx1"/>
            </w14:solidFill>
          </w14:textFill>
        </w:rPr>
      </w:pPr>
    </w:p>
    <w:sectPr>
      <w:footerReference r:id="rId3" w:type="default"/>
      <w:pgSz w:w="11906" w:h="16838"/>
      <w:pgMar w:top="1304" w:right="1417" w:bottom="130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958B5">
    <w:pPr>
      <w:pStyle w:val="5"/>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1N2Q5ZWZmYTM1NWIwNzVkNjYwZmRmYTcwN2M4ZDgifQ=="/>
  </w:docVars>
  <w:rsids>
    <w:rsidRoot w:val="0078216E"/>
    <w:rsid w:val="000049E1"/>
    <w:rsid w:val="00011E29"/>
    <w:rsid w:val="000246C7"/>
    <w:rsid w:val="00025B21"/>
    <w:rsid w:val="000309B8"/>
    <w:rsid w:val="00035D4A"/>
    <w:rsid w:val="00037B20"/>
    <w:rsid w:val="0004475E"/>
    <w:rsid w:val="00044E71"/>
    <w:rsid w:val="00052E7B"/>
    <w:rsid w:val="000579AF"/>
    <w:rsid w:val="00074366"/>
    <w:rsid w:val="000760D8"/>
    <w:rsid w:val="00082594"/>
    <w:rsid w:val="00091549"/>
    <w:rsid w:val="00094E0A"/>
    <w:rsid w:val="000A52A5"/>
    <w:rsid w:val="000A7A0F"/>
    <w:rsid w:val="000B4751"/>
    <w:rsid w:val="000C118B"/>
    <w:rsid w:val="000E51C9"/>
    <w:rsid w:val="000E684D"/>
    <w:rsid w:val="000F396A"/>
    <w:rsid w:val="000F4811"/>
    <w:rsid w:val="000F61B3"/>
    <w:rsid w:val="00102E3E"/>
    <w:rsid w:val="00105DD5"/>
    <w:rsid w:val="00110EE7"/>
    <w:rsid w:val="00113E25"/>
    <w:rsid w:val="001250E8"/>
    <w:rsid w:val="001260E0"/>
    <w:rsid w:val="00127750"/>
    <w:rsid w:val="0013195A"/>
    <w:rsid w:val="00134AEB"/>
    <w:rsid w:val="0014183B"/>
    <w:rsid w:val="00155ACB"/>
    <w:rsid w:val="001579EC"/>
    <w:rsid w:val="001656C1"/>
    <w:rsid w:val="0017013D"/>
    <w:rsid w:val="001725B5"/>
    <w:rsid w:val="0018443C"/>
    <w:rsid w:val="0019443B"/>
    <w:rsid w:val="001A50FC"/>
    <w:rsid w:val="001A5E76"/>
    <w:rsid w:val="001D2557"/>
    <w:rsid w:val="001D3955"/>
    <w:rsid w:val="001D43BE"/>
    <w:rsid w:val="001F1098"/>
    <w:rsid w:val="001F1AE9"/>
    <w:rsid w:val="001F3292"/>
    <w:rsid w:val="001F64DC"/>
    <w:rsid w:val="002016D2"/>
    <w:rsid w:val="00211543"/>
    <w:rsid w:val="00221028"/>
    <w:rsid w:val="00221DEA"/>
    <w:rsid w:val="0022477E"/>
    <w:rsid w:val="002306D9"/>
    <w:rsid w:val="002376FA"/>
    <w:rsid w:val="00245F05"/>
    <w:rsid w:val="00246CA3"/>
    <w:rsid w:val="002515FB"/>
    <w:rsid w:val="00270A5D"/>
    <w:rsid w:val="002720CE"/>
    <w:rsid w:val="00291E9D"/>
    <w:rsid w:val="002A10EA"/>
    <w:rsid w:val="002A13E3"/>
    <w:rsid w:val="002A7FEE"/>
    <w:rsid w:val="002B01CE"/>
    <w:rsid w:val="002B04FE"/>
    <w:rsid w:val="002B442A"/>
    <w:rsid w:val="002B5C24"/>
    <w:rsid w:val="002C6472"/>
    <w:rsid w:val="002D639E"/>
    <w:rsid w:val="002E14AF"/>
    <w:rsid w:val="002E1A9B"/>
    <w:rsid w:val="002E7B43"/>
    <w:rsid w:val="00306C09"/>
    <w:rsid w:val="00314550"/>
    <w:rsid w:val="003200B8"/>
    <w:rsid w:val="00320CE9"/>
    <w:rsid w:val="003259A3"/>
    <w:rsid w:val="00326C62"/>
    <w:rsid w:val="00326EA5"/>
    <w:rsid w:val="00343BD9"/>
    <w:rsid w:val="0035069B"/>
    <w:rsid w:val="00354CE4"/>
    <w:rsid w:val="00357935"/>
    <w:rsid w:val="003609FB"/>
    <w:rsid w:val="0036193A"/>
    <w:rsid w:val="00363DF7"/>
    <w:rsid w:val="00371708"/>
    <w:rsid w:val="00375F1B"/>
    <w:rsid w:val="003861A5"/>
    <w:rsid w:val="00391273"/>
    <w:rsid w:val="003A52DC"/>
    <w:rsid w:val="003A5C0B"/>
    <w:rsid w:val="003A5E1F"/>
    <w:rsid w:val="003B038D"/>
    <w:rsid w:val="003B76AE"/>
    <w:rsid w:val="003C072F"/>
    <w:rsid w:val="003C4E1A"/>
    <w:rsid w:val="003E4497"/>
    <w:rsid w:val="003F5438"/>
    <w:rsid w:val="004029BD"/>
    <w:rsid w:val="00411D9E"/>
    <w:rsid w:val="004214C1"/>
    <w:rsid w:val="004224ED"/>
    <w:rsid w:val="00425D96"/>
    <w:rsid w:val="00430F78"/>
    <w:rsid w:val="00434638"/>
    <w:rsid w:val="00434BA4"/>
    <w:rsid w:val="00440163"/>
    <w:rsid w:val="00443870"/>
    <w:rsid w:val="004604E3"/>
    <w:rsid w:val="004643E9"/>
    <w:rsid w:val="00471038"/>
    <w:rsid w:val="0047524A"/>
    <w:rsid w:val="00480CD0"/>
    <w:rsid w:val="00494020"/>
    <w:rsid w:val="004945BF"/>
    <w:rsid w:val="004978B5"/>
    <w:rsid w:val="004A14B2"/>
    <w:rsid w:val="004A2D89"/>
    <w:rsid w:val="004A3219"/>
    <w:rsid w:val="004A770F"/>
    <w:rsid w:val="004C3886"/>
    <w:rsid w:val="004D08D0"/>
    <w:rsid w:val="004D6670"/>
    <w:rsid w:val="004E3A51"/>
    <w:rsid w:val="004E3C08"/>
    <w:rsid w:val="004F2DA6"/>
    <w:rsid w:val="004F36EC"/>
    <w:rsid w:val="00501B1C"/>
    <w:rsid w:val="005101AF"/>
    <w:rsid w:val="005113D6"/>
    <w:rsid w:val="00515897"/>
    <w:rsid w:val="00524394"/>
    <w:rsid w:val="0052517D"/>
    <w:rsid w:val="0053087F"/>
    <w:rsid w:val="00531D9F"/>
    <w:rsid w:val="00533642"/>
    <w:rsid w:val="005365E2"/>
    <w:rsid w:val="005475E6"/>
    <w:rsid w:val="00550CBD"/>
    <w:rsid w:val="0055622A"/>
    <w:rsid w:val="005563E9"/>
    <w:rsid w:val="00565EBA"/>
    <w:rsid w:val="00581E07"/>
    <w:rsid w:val="00592D54"/>
    <w:rsid w:val="00593BA7"/>
    <w:rsid w:val="00594B4C"/>
    <w:rsid w:val="00595BFC"/>
    <w:rsid w:val="00596A8C"/>
    <w:rsid w:val="005A33C5"/>
    <w:rsid w:val="005A6D12"/>
    <w:rsid w:val="005B36B6"/>
    <w:rsid w:val="005C7916"/>
    <w:rsid w:val="005D608C"/>
    <w:rsid w:val="005E27D0"/>
    <w:rsid w:val="005E4163"/>
    <w:rsid w:val="005E6165"/>
    <w:rsid w:val="005E6520"/>
    <w:rsid w:val="005E7121"/>
    <w:rsid w:val="00602DFF"/>
    <w:rsid w:val="00604623"/>
    <w:rsid w:val="00622222"/>
    <w:rsid w:val="00623ECF"/>
    <w:rsid w:val="006256BA"/>
    <w:rsid w:val="00626173"/>
    <w:rsid w:val="00631E25"/>
    <w:rsid w:val="0063784F"/>
    <w:rsid w:val="00643DC0"/>
    <w:rsid w:val="00654B98"/>
    <w:rsid w:val="00655E2E"/>
    <w:rsid w:val="0066382C"/>
    <w:rsid w:val="0066383F"/>
    <w:rsid w:val="00664CDC"/>
    <w:rsid w:val="00670D3E"/>
    <w:rsid w:val="006715F4"/>
    <w:rsid w:val="0067667C"/>
    <w:rsid w:val="00683281"/>
    <w:rsid w:val="0068650A"/>
    <w:rsid w:val="0069373E"/>
    <w:rsid w:val="006B2B6B"/>
    <w:rsid w:val="006B36BD"/>
    <w:rsid w:val="006B5B75"/>
    <w:rsid w:val="006B6C51"/>
    <w:rsid w:val="006C0447"/>
    <w:rsid w:val="006C16D3"/>
    <w:rsid w:val="006C1DAC"/>
    <w:rsid w:val="006C26A5"/>
    <w:rsid w:val="006C4195"/>
    <w:rsid w:val="006E235D"/>
    <w:rsid w:val="006E26AA"/>
    <w:rsid w:val="006F11D0"/>
    <w:rsid w:val="006F32C1"/>
    <w:rsid w:val="006F6966"/>
    <w:rsid w:val="00700E75"/>
    <w:rsid w:val="0070442A"/>
    <w:rsid w:val="007066CC"/>
    <w:rsid w:val="00713271"/>
    <w:rsid w:val="00723166"/>
    <w:rsid w:val="00723C8A"/>
    <w:rsid w:val="00730A19"/>
    <w:rsid w:val="00736504"/>
    <w:rsid w:val="00742070"/>
    <w:rsid w:val="0074236C"/>
    <w:rsid w:val="007542F0"/>
    <w:rsid w:val="00775D28"/>
    <w:rsid w:val="0077785A"/>
    <w:rsid w:val="0078216E"/>
    <w:rsid w:val="007872F0"/>
    <w:rsid w:val="007903EE"/>
    <w:rsid w:val="007919ED"/>
    <w:rsid w:val="00795459"/>
    <w:rsid w:val="00797C39"/>
    <w:rsid w:val="007C66B9"/>
    <w:rsid w:val="007C674C"/>
    <w:rsid w:val="007C7449"/>
    <w:rsid w:val="007C77C4"/>
    <w:rsid w:val="007D1D22"/>
    <w:rsid w:val="007D33BC"/>
    <w:rsid w:val="007D7AF1"/>
    <w:rsid w:val="007E04AC"/>
    <w:rsid w:val="007E6EAA"/>
    <w:rsid w:val="007F77F2"/>
    <w:rsid w:val="00805D63"/>
    <w:rsid w:val="00805E99"/>
    <w:rsid w:val="00807424"/>
    <w:rsid w:val="0081714E"/>
    <w:rsid w:val="008217E3"/>
    <w:rsid w:val="0082395E"/>
    <w:rsid w:val="0082663E"/>
    <w:rsid w:val="00832C10"/>
    <w:rsid w:val="0084108F"/>
    <w:rsid w:val="00845CF0"/>
    <w:rsid w:val="00857F8E"/>
    <w:rsid w:val="00866D76"/>
    <w:rsid w:val="008737DF"/>
    <w:rsid w:val="00880A87"/>
    <w:rsid w:val="008878B5"/>
    <w:rsid w:val="00887DEA"/>
    <w:rsid w:val="00890001"/>
    <w:rsid w:val="008912D2"/>
    <w:rsid w:val="0089181E"/>
    <w:rsid w:val="008944F7"/>
    <w:rsid w:val="008A5854"/>
    <w:rsid w:val="008A7242"/>
    <w:rsid w:val="008A73A1"/>
    <w:rsid w:val="008A7595"/>
    <w:rsid w:val="008B6EE8"/>
    <w:rsid w:val="008C74E0"/>
    <w:rsid w:val="008D0013"/>
    <w:rsid w:val="008D1BC1"/>
    <w:rsid w:val="008D6607"/>
    <w:rsid w:val="008E4F9C"/>
    <w:rsid w:val="008E50AB"/>
    <w:rsid w:val="008F5EC3"/>
    <w:rsid w:val="009068EB"/>
    <w:rsid w:val="00924FC5"/>
    <w:rsid w:val="0093023D"/>
    <w:rsid w:val="00933AAE"/>
    <w:rsid w:val="00937500"/>
    <w:rsid w:val="00944EC0"/>
    <w:rsid w:val="00956738"/>
    <w:rsid w:val="00967718"/>
    <w:rsid w:val="00974860"/>
    <w:rsid w:val="00975A6D"/>
    <w:rsid w:val="00981D7C"/>
    <w:rsid w:val="00983FBC"/>
    <w:rsid w:val="00985D66"/>
    <w:rsid w:val="009869D5"/>
    <w:rsid w:val="00997CEB"/>
    <w:rsid w:val="009A2509"/>
    <w:rsid w:val="009A491A"/>
    <w:rsid w:val="009A69C6"/>
    <w:rsid w:val="009B049E"/>
    <w:rsid w:val="009D1A87"/>
    <w:rsid w:val="009D1F92"/>
    <w:rsid w:val="009D3680"/>
    <w:rsid w:val="009D4244"/>
    <w:rsid w:val="009E0864"/>
    <w:rsid w:val="009E4ECB"/>
    <w:rsid w:val="00A02C6A"/>
    <w:rsid w:val="00A10EF7"/>
    <w:rsid w:val="00A11373"/>
    <w:rsid w:val="00A15A04"/>
    <w:rsid w:val="00A20566"/>
    <w:rsid w:val="00A22DAC"/>
    <w:rsid w:val="00A26EF9"/>
    <w:rsid w:val="00A323DF"/>
    <w:rsid w:val="00A32925"/>
    <w:rsid w:val="00A3296E"/>
    <w:rsid w:val="00A33D19"/>
    <w:rsid w:val="00A34E40"/>
    <w:rsid w:val="00A5316D"/>
    <w:rsid w:val="00A54C84"/>
    <w:rsid w:val="00A735F1"/>
    <w:rsid w:val="00A763D7"/>
    <w:rsid w:val="00AA3122"/>
    <w:rsid w:val="00AB103A"/>
    <w:rsid w:val="00AB2F2C"/>
    <w:rsid w:val="00AB71B0"/>
    <w:rsid w:val="00AC5A34"/>
    <w:rsid w:val="00AD07EA"/>
    <w:rsid w:val="00B123C8"/>
    <w:rsid w:val="00B2746E"/>
    <w:rsid w:val="00B320BA"/>
    <w:rsid w:val="00B35F4A"/>
    <w:rsid w:val="00B4208A"/>
    <w:rsid w:val="00B43C15"/>
    <w:rsid w:val="00B47285"/>
    <w:rsid w:val="00B52473"/>
    <w:rsid w:val="00B53591"/>
    <w:rsid w:val="00B554E5"/>
    <w:rsid w:val="00B55AFE"/>
    <w:rsid w:val="00B55DE7"/>
    <w:rsid w:val="00B64B08"/>
    <w:rsid w:val="00B72547"/>
    <w:rsid w:val="00B820AF"/>
    <w:rsid w:val="00BA1654"/>
    <w:rsid w:val="00BB7576"/>
    <w:rsid w:val="00BC212A"/>
    <w:rsid w:val="00BC27B2"/>
    <w:rsid w:val="00BD4AC2"/>
    <w:rsid w:val="00BD55FB"/>
    <w:rsid w:val="00BE2A03"/>
    <w:rsid w:val="00BF7FCD"/>
    <w:rsid w:val="00C04B3C"/>
    <w:rsid w:val="00C13DE3"/>
    <w:rsid w:val="00C223EB"/>
    <w:rsid w:val="00C27BC5"/>
    <w:rsid w:val="00C32357"/>
    <w:rsid w:val="00C325DB"/>
    <w:rsid w:val="00C43D63"/>
    <w:rsid w:val="00C51F80"/>
    <w:rsid w:val="00C63712"/>
    <w:rsid w:val="00C7001D"/>
    <w:rsid w:val="00C72851"/>
    <w:rsid w:val="00C805F1"/>
    <w:rsid w:val="00C8403A"/>
    <w:rsid w:val="00C95AA2"/>
    <w:rsid w:val="00C970FA"/>
    <w:rsid w:val="00C974AE"/>
    <w:rsid w:val="00CB4EFA"/>
    <w:rsid w:val="00CB6B76"/>
    <w:rsid w:val="00CC3943"/>
    <w:rsid w:val="00CC4EB7"/>
    <w:rsid w:val="00CD78D3"/>
    <w:rsid w:val="00CE1949"/>
    <w:rsid w:val="00D05AF3"/>
    <w:rsid w:val="00D05E85"/>
    <w:rsid w:val="00D13794"/>
    <w:rsid w:val="00D256D3"/>
    <w:rsid w:val="00D26761"/>
    <w:rsid w:val="00D40025"/>
    <w:rsid w:val="00D44026"/>
    <w:rsid w:val="00D46BC0"/>
    <w:rsid w:val="00D54B9B"/>
    <w:rsid w:val="00D65140"/>
    <w:rsid w:val="00D655E9"/>
    <w:rsid w:val="00D66B3E"/>
    <w:rsid w:val="00D91045"/>
    <w:rsid w:val="00D9173F"/>
    <w:rsid w:val="00DA484B"/>
    <w:rsid w:val="00DB6096"/>
    <w:rsid w:val="00DC40DF"/>
    <w:rsid w:val="00DD6CC4"/>
    <w:rsid w:val="00DE2B9F"/>
    <w:rsid w:val="00DE3099"/>
    <w:rsid w:val="00DE40F3"/>
    <w:rsid w:val="00DF6195"/>
    <w:rsid w:val="00DF7E11"/>
    <w:rsid w:val="00E03163"/>
    <w:rsid w:val="00E067FF"/>
    <w:rsid w:val="00E07B9F"/>
    <w:rsid w:val="00E205E4"/>
    <w:rsid w:val="00E24292"/>
    <w:rsid w:val="00E24924"/>
    <w:rsid w:val="00E4179A"/>
    <w:rsid w:val="00E51F13"/>
    <w:rsid w:val="00E61FF3"/>
    <w:rsid w:val="00E80FC6"/>
    <w:rsid w:val="00E842BE"/>
    <w:rsid w:val="00E9286D"/>
    <w:rsid w:val="00E940A4"/>
    <w:rsid w:val="00EA374B"/>
    <w:rsid w:val="00EA4596"/>
    <w:rsid w:val="00EB3187"/>
    <w:rsid w:val="00EB44C0"/>
    <w:rsid w:val="00EB47E4"/>
    <w:rsid w:val="00EC102D"/>
    <w:rsid w:val="00EE0969"/>
    <w:rsid w:val="00EF1DD1"/>
    <w:rsid w:val="00EF47F9"/>
    <w:rsid w:val="00EF7A69"/>
    <w:rsid w:val="00F0340D"/>
    <w:rsid w:val="00F1128A"/>
    <w:rsid w:val="00F1712E"/>
    <w:rsid w:val="00F222F2"/>
    <w:rsid w:val="00F30BB4"/>
    <w:rsid w:val="00F35CA0"/>
    <w:rsid w:val="00F43E7C"/>
    <w:rsid w:val="00F57030"/>
    <w:rsid w:val="00F869D4"/>
    <w:rsid w:val="00F86AAD"/>
    <w:rsid w:val="00F91781"/>
    <w:rsid w:val="00F93266"/>
    <w:rsid w:val="00F94838"/>
    <w:rsid w:val="00F96BF1"/>
    <w:rsid w:val="00FA171A"/>
    <w:rsid w:val="00FB26CB"/>
    <w:rsid w:val="00FB6876"/>
    <w:rsid w:val="00FD076C"/>
    <w:rsid w:val="00FD10A8"/>
    <w:rsid w:val="00FE0B57"/>
    <w:rsid w:val="104B1E76"/>
    <w:rsid w:val="203634AF"/>
    <w:rsid w:val="3342398E"/>
    <w:rsid w:val="36E702FB"/>
    <w:rsid w:val="37021484"/>
    <w:rsid w:val="3A980CF8"/>
    <w:rsid w:val="3E775E37"/>
    <w:rsid w:val="3E815385"/>
    <w:rsid w:val="3F88629F"/>
    <w:rsid w:val="41A509E5"/>
    <w:rsid w:val="47622884"/>
    <w:rsid w:val="4A725606"/>
    <w:rsid w:val="4E4A7FCF"/>
    <w:rsid w:val="4F8E7901"/>
    <w:rsid w:val="59B742DC"/>
    <w:rsid w:val="632717A7"/>
    <w:rsid w:val="6B681CC7"/>
    <w:rsid w:val="6DFB21AE"/>
    <w:rsid w:val="76CC3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Date"/>
    <w:basedOn w:val="1"/>
    <w:next w:val="1"/>
    <w:link w:val="15"/>
    <w:qFormat/>
    <w:uiPriority w:val="0"/>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脚 字符"/>
    <w:basedOn w:val="9"/>
    <w:link w:val="5"/>
    <w:qFormat/>
    <w:uiPriority w:val="0"/>
    <w:rPr>
      <w:rFonts w:ascii="Times New Roman" w:hAnsi="Times New Roman" w:eastAsia="宋体" w:cs="Times New Roman"/>
      <w:sz w:val="18"/>
      <w:szCs w:val="18"/>
    </w:rPr>
  </w:style>
  <w:style w:type="character" w:customStyle="1" w:styleId="13">
    <w:name w:val="页眉 字符"/>
    <w:basedOn w:val="9"/>
    <w:link w:val="6"/>
    <w:qFormat/>
    <w:uiPriority w:val="0"/>
    <w:rPr>
      <w:rFonts w:ascii="Times New Roman" w:hAnsi="Times New Roman" w:eastAsia="宋体" w:cs="Times New Roman"/>
      <w:sz w:val="18"/>
      <w:szCs w:val="18"/>
    </w:rPr>
  </w:style>
  <w:style w:type="character" w:customStyle="1" w:styleId="14">
    <w:name w:val="批注框文本 字符"/>
    <w:basedOn w:val="9"/>
    <w:link w:val="4"/>
    <w:semiHidden/>
    <w:qFormat/>
    <w:uiPriority w:val="99"/>
    <w:rPr>
      <w:rFonts w:ascii="Times New Roman" w:hAnsi="Times New Roman" w:eastAsia="宋体" w:cs="Times New Roman"/>
      <w:sz w:val="18"/>
      <w:szCs w:val="18"/>
    </w:rPr>
  </w:style>
  <w:style w:type="character" w:customStyle="1" w:styleId="15">
    <w:name w:val="日期 字符"/>
    <w:basedOn w:val="9"/>
    <w:link w:val="3"/>
    <w:qFormat/>
    <w:uiPriority w:val="0"/>
    <w:rPr>
      <w:rFonts w:ascii="Times New Roman" w:hAnsi="Times New Roman" w:eastAsia="宋体" w:cs="Times New Roman"/>
      <w:szCs w:val="24"/>
    </w:rPr>
  </w:style>
  <w:style w:type="paragraph" w:customStyle="1" w:styleId="16">
    <w:name w:val="列出段落1"/>
    <w:basedOn w:val="1"/>
    <w:qFormat/>
    <w:uiPriority w:val="34"/>
    <w:pPr>
      <w:ind w:firstLine="420" w:firstLineChars="200"/>
    </w:pPr>
    <w:rPr>
      <w:rFonts w:asciiTheme="minorHAnsi" w:hAnsiTheme="minorHAnsi" w:eastAsiaTheme="minorEastAsia" w:cstheme="minorBidi"/>
      <w:szCs w:val="22"/>
    </w:rPr>
  </w:style>
  <w:style w:type="paragraph" w:customStyle="1" w:styleId="1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8">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B8850-13A7-4062-B917-7523B3211741}">
  <ds:schemaRefs/>
</ds:datastoreItem>
</file>

<file path=docProps/app.xml><?xml version="1.0" encoding="utf-8"?>
<Properties xmlns="http://schemas.openxmlformats.org/officeDocument/2006/extended-properties" xmlns:vt="http://schemas.openxmlformats.org/officeDocument/2006/docPropsVTypes">
  <Template>Normal</Template>
  <Pages>6</Pages>
  <Words>5531</Words>
  <Characters>5661</Characters>
  <Lines>136</Lines>
  <Paragraphs>136</Paragraphs>
  <TotalTime>57</TotalTime>
  <ScaleCrop>false</ScaleCrop>
  <LinksUpToDate>false</LinksUpToDate>
  <CharactersWithSpaces>5959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2026-05-09T02:16:00Z</dcterms:created>
  <dc:creator>缪英</dc:creator>
  <cp:lastModifiedBy>江南第一流</cp:lastModifiedBy>
  <cp:lastPrinted>2015-01-26T03:31:00Z</cp:lastPrinted>
  <dcterms:modified xsi:type="dcterms:W3CDTF">2026-06-03T00:28:08Z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2F02B5907A1E4F1FBD2C74F23A3A8A7F_13</vt:lpwstr>
  </property>
  <property fmtid="{D5CDD505-2E9C-101B-9397-08002B2CF9AE}" pid="4" name="KSOTemplateDocerSaveRecord">
    <vt:lpwstr>eyJoZGlkIjoiNGI0OGJjNjY5ZDBlYzc1NmRlNjU3ZmQwMDQwYjI3MzciLCJ1c2VySWQiOiIxMTQ5MjA0ODcyIn0=</vt:lpwstr>
  </property>
</Properties>
</file>