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75C1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4DD974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2E63AC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6E99C369">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杭州市西湖区萃紫街37-63号（单号）房屋7年租赁权</w:t>
      </w:r>
      <w:r>
        <w:rPr>
          <w:rFonts w:hint="eastAsia" w:asciiTheme="minorEastAsia" w:hAnsiTheme="minorEastAsia" w:eastAsiaTheme="minorEastAsia"/>
          <w:szCs w:val="21"/>
        </w:rPr>
        <w:t>，现做如下承诺：</w:t>
      </w:r>
    </w:p>
    <w:p w14:paraId="357A588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614799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3D01F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1CC66D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70AF206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本房屋不动产附记所示为保障性安居工程配套公建用房（经济适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33CFB57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868E84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①转租约定为意向承租方整体承租后进行首次转租(分租)，承租方不得整体转租，次承租方不得二次转租;。②承租方已知晓项目房屋存在原承租方和实际占有人的情况，同意接收现状房屋。③承租方签订合同后，自行负责与原承租方或实际占有人签订转租协议或进行腾退工作，承租方承诺不提出任何附加条件或修改已签订的《房屋租赁合同》《房屋管理合同》。④该标的存在无法办理餐饮、住宿等业态的营业执照风险，请竟租人在竟租前自行向有关行政部门核实。如竞拍成功后无法办理相关餐饮、住宿等证照，需自行承担风险。</w:t>
      </w:r>
    </w:p>
    <w:p w14:paraId="55A360D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26E351D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水、电、燃气、电视、网络费用、公摊费</w:t>
      </w:r>
      <w:r>
        <w:rPr>
          <w:rFonts w:hint="eastAsia" w:asciiTheme="minorEastAsia" w:hAnsiTheme="minorEastAsia" w:eastAsiaTheme="minorEastAsia"/>
          <w:szCs w:val="21"/>
          <w:lang w:val="en-US" w:eastAsia="zh-CN"/>
        </w:rPr>
        <w:t>等一切房屋使用费均由承租方自行承担，物业费除外。</w:t>
      </w:r>
    </w:p>
    <w:p w14:paraId="38D96A2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10、若我方成为承租方，我方已知悉并承诺：本次租赁房屋原承租人尚未搬离。意向承租方确认已知晓本次租赁房屋</w:t>
      </w:r>
      <w:bookmarkStart w:id="4" w:name="_GoBack"/>
      <w:bookmarkEnd w:id="4"/>
      <w:r>
        <w:rPr>
          <w:rFonts w:hint="eastAsia" w:asciiTheme="minorEastAsia" w:hAnsiTheme="minorEastAsia" w:eastAsiaTheme="minorEastAsia"/>
          <w:szCs w:val="21"/>
          <w:lang w:val="en-US" w:eastAsia="zh-CN"/>
        </w:rPr>
        <w:t>存在原承租人和实际占有人的情况，并同意按现状接收房屋。承租方签订《成交通知书》、《房屋租赁合同》、《房屋管理合同》，付清首期租金、履约保证金、装修保证金和交易服务费，即视为出租方已经履行交付义务。承租方签订合同后，自行负责与原承租人或实际占有人之间签订转租协议或腾退的工作。同时，承租方承诺不提出任何附加条件或修改已签订的《房屋租赁合同》、《房屋管理合同》</w:t>
      </w:r>
      <w:r>
        <w:rPr>
          <w:rFonts w:hint="eastAsia" w:asciiTheme="minorEastAsia" w:hAnsiTheme="minorEastAsia" w:eastAsiaTheme="minorEastAsia"/>
          <w:szCs w:val="21"/>
          <w:lang w:val="en-US" w:eastAsia="zh-CN"/>
        </w:rPr>
        <w:t>。</w:t>
      </w:r>
    </w:p>
    <w:p w14:paraId="33FB577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default"/>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4D7A88F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430F90C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3750553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FACCAA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7FB96C2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5DE736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1B437D9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4E592CF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0732FFF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0F321009">
      <w:pPr>
        <w:keepNext w:val="0"/>
        <w:keepLines w:val="0"/>
        <w:pageBreakBefore w:val="0"/>
        <w:widowControl w:val="0"/>
        <w:kinsoku/>
        <w:wordWrap/>
        <w:overflowPunct/>
        <w:topLinePunct w:val="0"/>
        <w:autoSpaceDE/>
        <w:autoSpaceDN/>
        <w:bidi w:val="0"/>
        <w:adjustRightInd/>
        <w:snapToGrid/>
        <w:spacing w:line="380" w:lineRule="exact"/>
        <w:ind w:firstLine="3990" w:firstLineChars="19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561B282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1A80BDB"/>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662A54"/>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5845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79F3D91"/>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2167</Words>
  <Characters>2179</Characters>
  <Lines>15</Lines>
  <Paragraphs>4</Paragraphs>
  <TotalTime>5</TotalTime>
  <ScaleCrop>false</ScaleCrop>
  <LinksUpToDate>false</LinksUpToDate>
  <CharactersWithSpaces>2280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2026-05-20T08:40:11Z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