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承租杭州市上城区彭埠街道九和路518号铁汇发展中心1幢602室房屋2年租赁权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Theme="minorEastAsia" w:hAnsiTheme="minorEastAsia" w:eastAsiaTheme="minorEastAsia"/>
          <w:szCs w:val="21"/>
          <w:lang w:eastAsia="zh-CN"/>
        </w:rPr>
        <w:t>3、</w:t>
      </w:r>
      <w:r>
        <w:rPr>
          <w:rFonts w:hint="eastAsia" w:ascii="宋体" w:hAnsi="宋体"/>
          <w:color w:val="auto"/>
          <w:szCs w:val="21"/>
        </w:rPr>
        <w:t>同意</w:t>
      </w:r>
      <w:r>
        <w:rPr>
          <w:rFonts w:ascii="宋体" w:hAnsi="宋体"/>
          <w:color w:val="auto"/>
          <w:szCs w:val="21"/>
        </w:rPr>
        <w:t>在被确</w:t>
      </w:r>
      <w:r>
        <w:rPr>
          <w:rFonts w:hint="eastAsia" w:ascii="宋体" w:hAnsi="宋体"/>
          <w:color w:val="auto"/>
          <w:szCs w:val="21"/>
        </w:rPr>
        <w:t>定</w:t>
      </w:r>
      <w:r>
        <w:rPr>
          <w:rFonts w:ascii="宋体" w:hAnsi="宋体"/>
          <w:color w:val="auto"/>
          <w:szCs w:val="21"/>
        </w:rPr>
        <w:t>为</w:t>
      </w:r>
      <w:r>
        <w:rPr>
          <w:rFonts w:hint="eastAsia" w:ascii="宋体" w:hAnsi="宋体"/>
          <w:color w:val="auto"/>
          <w:szCs w:val="21"/>
        </w:rPr>
        <w:t>承租</w:t>
      </w:r>
      <w:r>
        <w:rPr>
          <w:rFonts w:ascii="宋体" w:hAnsi="宋体"/>
          <w:color w:val="auto"/>
          <w:szCs w:val="21"/>
        </w:rPr>
        <w:t>方</w:t>
      </w:r>
      <w:r>
        <w:rPr>
          <w:rFonts w:hint="eastAsia" w:ascii="宋体" w:hAnsi="宋体"/>
          <w:color w:val="auto"/>
          <w:szCs w:val="21"/>
        </w:rPr>
        <w:t>之日</w:t>
      </w:r>
      <w:r>
        <w:rPr>
          <w:rFonts w:ascii="宋体" w:hAnsi="宋体"/>
          <w:color w:val="auto"/>
          <w:szCs w:val="21"/>
        </w:rPr>
        <w:t>起</w:t>
      </w:r>
      <w:r>
        <w:rPr>
          <w:rFonts w:hint="eastAsia" w:ascii="宋体" w:hAnsi="宋体"/>
          <w:color w:val="auto"/>
          <w:szCs w:val="21"/>
        </w:rPr>
        <w:t xml:space="preserve">3 </w:t>
      </w:r>
      <w:r>
        <w:rPr>
          <w:rFonts w:ascii="宋体" w:hAnsi="宋体"/>
          <w:color w:val="auto"/>
          <w:szCs w:val="21"/>
        </w:rPr>
        <w:t>个工作日内</w:t>
      </w:r>
      <w:r>
        <w:rPr>
          <w:rFonts w:hint="eastAsia" w:ascii="宋体" w:hAnsi="宋体"/>
          <w:color w:val="auto"/>
          <w:szCs w:val="21"/>
        </w:rPr>
        <w:t>携带承租申请材料原件到杭交所完成现场确认并签署《成交通知书》、</w:t>
      </w:r>
      <w:r>
        <w:rPr>
          <w:rFonts w:ascii="宋体" w:hAnsi="宋体"/>
          <w:color w:val="auto"/>
          <w:szCs w:val="21"/>
        </w:rPr>
        <w:t>《</w:t>
      </w:r>
      <w:r>
        <w:rPr>
          <w:rFonts w:hint="eastAsia" w:ascii="宋体" w:hAnsi="宋体"/>
          <w:color w:val="auto"/>
          <w:szCs w:val="21"/>
        </w:rPr>
        <w:t>房屋</w:t>
      </w:r>
      <w:r>
        <w:rPr>
          <w:rFonts w:ascii="宋体" w:hAnsi="宋体"/>
          <w:color w:val="auto"/>
          <w:szCs w:val="21"/>
        </w:rPr>
        <w:t>租赁合同》</w:t>
      </w:r>
      <w:r>
        <w:rPr>
          <w:rFonts w:hint="eastAsia" w:ascii="宋体" w:hAnsi="宋体"/>
          <w:color w:val="auto"/>
          <w:szCs w:val="21"/>
        </w:rPr>
        <w:t>；并在</w:t>
      </w:r>
      <w:r>
        <w:rPr>
          <w:rFonts w:ascii="宋体" w:hAnsi="宋体"/>
          <w:color w:val="auto"/>
          <w:szCs w:val="21"/>
        </w:rPr>
        <w:t>《</w:t>
      </w:r>
      <w:r>
        <w:rPr>
          <w:rFonts w:hint="eastAsia" w:ascii="宋体" w:hAnsi="宋体"/>
          <w:color w:val="auto"/>
          <w:szCs w:val="21"/>
        </w:rPr>
        <w:t>房屋</w:t>
      </w:r>
      <w:r>
        <w:rPr>
          <w:rFonts w:ascii="宋体" w:hAnsi="宋体"/>
          <w:color w:val="auto"/>
          <w:szCs w:val="21"/>
        </w:rPr>
        <w:t>租赁合同》</w:t>
      </w:r>
      <w:r>
        <w:rPr>
          <w:rFonts w:hint="eastAsia" w:ascii="宋体" w:hAnsi="宋体"/>
          <w:color w:val="auto"/>
          <w:szCs w:val="21"/>
        </w:rPr>
        <w:t>签署之</w:t>
      </w:r>
      <w:r>
        <w:rPr>
          <w:rFonts w:ascii="宋体" w:hAnsi="宋体"/>
          <w:color w:val="auto"/>
          <w:szCs w:val="21"/>
        </w:rPr>
        <w:t>日起</w:t>
      </w:r>
      <w:r>
        <w:rPr>
          <w:rFonts w:hint="eastAsia" w:ascii="宋体" w:hAnsi="宋体"/>
          <w:color w:val="auto"/>
          <w:szCs w:val="21"/>
          <w:highlight w:val="none"/>
          <w:lang w:val="en-US" w:eastAsia="zh-CN"/>
        </w:rPr>
        <w:t>10</w:t>
      </w:r>
      <w:r>
        <w:rPr>
          <w:rFonts w:ascii="宋体" w:hAnsi="宋体"/>
          <w:color w:val="auto"/>
          <w:szCs w:val="21"/>
          <w:highlight w:val="none"/>
        </w:rPr>
        <w:t>个</w:t>
      </w:r>
      <w:r>
        <w:rPr>
          <w:rFonts w:ascii="宋体" w:hAnsi="宋体"/>
          <w:color w:val="auto"/>
          <w:szCs w:val="21"/>
        </w:rPr>
        <w:t>工作日内向杭交所指定账户一次性支付交易服务费</w:t>
      </w:r>
      <w:r>
        <w:rPr>
          <w:rFonts w:hint="eastAsia" w:ascii="宋体" w:hAnsi="宋体"/>
          <w:color w:val="auto"/>
          <w:szCs w:val="21"/>
        </w:rPr>
        <w:t>、履约保证金、首期租金</w:t>
      </w:r>
      <w:r>
        <w:rPr>
          <w:rFonts w:ascii="宋体" w:hAnsi="宋体"/>
          <w:color w:val="auto"/>
          <w:szCs w:val="21"/>
        </w:rPr>
        <w:t>等交易资金（以到账时间为准）</w:t>
      </w:r>
      <w:r>
        <w:rPr>
          <w:rFonts w:hint="eastAsia" w:asciiTheme="minorEastAsia" w:hAnsiTheme="minorEastAsia" w:eastAsiaTheme="minorEastAsia"/>
          <w:szCs w:val="21"/>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4、</w:t>
      </w:r>
      <w:r>
        <w:rPr>
          <w:rFonts w:ascii="宋体" w:hAnsi="宋体"/>
          <w:szCs w:val="21"/>
        </w:rPr>
        <w:t>同意杭交所</w:t>
      </w:r>
      <w:r>
        <w:rPr>
          <w:rFonts w:hint="eastAsia" w:ascii="宋体" w:hAnsi="宋体"/>
          <w:szCs w:val="21"/>
        </w:rPr>
        <w:t>在</w:t>
      </w:r>
      <w:r>
        <w:rPr>
          <w:rFonts w:ascii="宋体" w:hAnsi="宋体"/>
          <w:szCs w:val="21"/>
        </w:rPr>
        <w:t>经</w:t>
      </w:r>
      <w:r>
        <w:rPr>
          <w:rFonts w:hint="eastAsia" w:ascii="宋体" w:hAnsi="宋体"/>
          <w:szCs w:val="21"/>
        </w:rPr>
        <w:t>出租</w:t>
      </w:r>
      <w:r>
        <w:rPr>
          <w:rFonts w:ascii="宋体" w:hAnsi="宋体"/>
          <w:szCs w:val="21"/>
        </w:rPr>
        <w:t>方申请</w:t>
      </w:r>
      <w:r>
        <w:rPr>
          <w:rFonts w:hint="eastAsia" w:ascii="宋体" w:hAnsi="宋体"/>
          <w:szCs w:val="21"/>
        </w:rPr>
        <w:t>之日</w:t>
      </w:r>
      <w:r>
        <w:rPr>
          <w:rFonts w:ascii="宋体" w:hAnsi="宋体"/>
          <w:szCs w:val="21"/>
        </w:rPr>
        <w:t>起3个工作日内将</w:t>
      </w:r>
      <w:r>
        <w:rPr>
          <w:rFonts w:hint="eastAsia" w:ascii="宋体" w:hAnsi="宋体"/>
          <w:szCs w:val="21"/>
        </w:rPr>
        <w:t>承租</w:t>
      </w:r>
      <w:r>
        <w:rPr>
          <w:rFonts w:ascii="宋体" w:hAnsi="宋体"/>
          <w:szCs w:val="21"/>
        </w:rPr>
        <w:t>方已交纳的</w:t>
      </w:r>
      <w:r>
        <w:rPr>
          <w:rFonts w:hint="eastAsia" w:ascii="宋体" w:hAnsi="宋体"/>
          <w:szCs w:val="21"/>
        </w:rPr>
        <w:t>首期租金、履约保证金全部划转</w:t>
      </w:r>
      <w:r>
        <w:rPr>
          <w:rFonts w:ascii="宋体" w:hAnsi="宋体"/>
          <w:szCs w:val="21"/>
        </w:rPr>
        <w:t>至</w:t>
      </w:r>
      <w:r>
        <w:rPr>
          <w:rFonts w:hint="eastAsia" w:ascii="宋体" w:hAnsi="宋体"/>
          <w:szCs w:val="21"/>
        </w:rPr>
        <w:t>出租</w:t>
      </w:r>
      <w:r>
        <w:rPr>
          <w:rFonts w:ascii="宋体" w:hAnsi="宋体"/>
          <w:szCs w:val="21"/>
        </w:rPr>
        <w:t>方指定账户</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ascii="宋体" w:hAnsi="宋体"/>
          <w:color w:val="auto"/>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ascii="宋体" w:hAnsi="宋体"/>
          <w:color w:val="auto"/>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color w:val="auto"/>
          <w:szCs w:val="21"/>
        </w:rPr>
        <w:t>租赁房屋的规划用途为商服用地/办公用房，用于办公经营使用，不得用于从事产生环境污染或扰民项目；不得从事易燃易爆物品的商业活动；不得用作危化品的储存仓库；不得使用、存放液化燃气瓶等其他事项，不得有人员居住、生活。未经出租方允许，承租方不得擅自改变房屋的用途及经营业态。如擅自改租赁房屋</w:t>
      </w:r>
      <w:r>
        <w:rPr>
          <w:rFonts w:hint="eastAsia" w:ascii="宋体" w:hAnsi="宋体"/>
          <w:color w:val="auto"/>
          <w:szCs w:val="21"/>
          <w:lang w:val="en-US" w:eastAsia="zh-CN"/>
        </w:rPr>
        <w:t>的</w:t>
      </w:r>
      <w:r>
        <w:rPr>
          <w:rFonts w:hint="eastAsia" w:ascii="宋体" w:hAnsi="宋体"/>
          <w:color w:val="auto"/>
          <w:szCs w:val="21"/>
        </w:rPr>
        <w:t>租赁用途，出租方有权终止租赁合同并没收本次承租方的履约保证金，由此造成的损失，由承租方承担，造成出租方损失的，承租方应赔偿相应损失。</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color w:val="auto"/>
          <w:szCs w:val="21"/>
        </w:rPr>
        <w:t>房屋以现状进行移交，承租方租赁房屋及其自行装修部分的全部设施设备的启用、维修、保养、年检、更新、改造均由承租方负责。若现状或租赁期内因房屋本身质量原因造成的主体结构漏水、渗水及沉降等现象的，出租方需承担维修工作，与此相关的费用由出租方承担。若现状或租赁期内出现因承租方装修、改造等原因造成的房屋漏水、渗水及沉降等现象的，承租方需承担维修工作，与此相关的费用也均由承租方承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color w:val="auto"/>
          <w:szCs w:val="21"/>
        </w:rPr>
        <w:t>承租方如对房屋室内进行装修、对房屋结构、供水供电、消防系统、排水排污原有管道、线路、监控等进行改变、调整或扩容的，必须事先按规定向有关部门办理申报手续并批准后，向出租方提供详细的书面方案及装修、改造图纸，并征得出租方的书面同意后才能动工，否则出租方有权责令承租方停工，如承租方拒绝停工的，视为承租方严重违约。相关装修及改造、扩容等调整涉及的所有费用均由承租方自行承担。如出租方要求装修图纸经专业第三方审核确认的，相关费用由承租方自行承担。上述改变调整及房屋装修完工后，应按照相关职能部门要求验收合格或备案后方可投入使用。承租方在房屋装修结束后需提供给出租方一套完整的装修竣工图。</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6</w:t>
      </w:r>
      <w:r>
        <w:rPr>
          <w:rFonts w:hint="eastAsia" w:ascii="宋体" w:hAnsi="宋体"/>
          <w:szCs w:val="21"/>
          <w:lang w:eastAsia="zh-CN"/>
        </w:rPr>
        <w:t>）</w:t>
      </w:r>
      <w:r>
        <w:rPr>
          <w:rFonts w:hint="eastAsia" w:ascii="宋体" w:hAnsi="宋体"/>
          <w:color w:val="auto"/>
          <w:szCs w:val="21"/>
          <w:lang w:eastAsia="zh-CN"/>
        </w:rPr>
        <w:t>如承租方擅自改变房屋结构或因使用不当造成房屋或设施损坏的，承租方应立即负责修复并承担由此引起的一切经济损失。承租方在使用过程中，由于管理不当或违规使用而造成房屋损失的，应由承租方负责赔偿，承租方添加的设施设备及装修由承租方自行负责。</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7</w:t>
      </w:r>
      <w:r>
        <w:rPr>
          <w:rFonts w:hint="eastAsia" w:ascii="宋体" w:hAnsi="宋体"/>
          <w:szCs w:val="21"/>
          <w:lang w:eastAsia="zh-CN"/>
        </w:rPr>
        <w:t>）承租方应做好消防安全的自查、自纠工作，同时配合出租方和物业管理服务单位做好现场的消防安全及相关问题的整改工作。若出租方检查发现问题，承租方收到出租方或物业管理服务单位送达的《物业消防安全检查整改通知单》等，应当按照出租方的要求限期整改，并在整改完毕后3个工作日内将整改后现状拍照交至出租方委托的物业公司相关部门备案留底。</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8</w:t>
      </w:r>
      <w:r>
        <w:rPr>
          <w:rFonts w:hint="eastAsia" w:ascii="宋体" w:hAnsi="宋体"/>
          <w:szCs w:val="21"/>
          <w:lang w:eastAsia="zh-CN"/>
        </w:rPr>
        <w:t>）</w:t>
      </w:r>
      <w:r>
        <w:rPr>
          <w:rFonts w:hint="eastAsia" w:ascii="宋体" w:hAnsi="宋体"/>
          <w:color w:val="auto"/>
          <w:szCs w:val="21"/>
        </w:rPr>
        <w:t>本次租赁权成交后，承租方需支付房屋物业服务费9元/㎡/月，公共能耗费4元/㎡/月，具体计费起始时间以书面协议为准。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9</w:t>
      </w:r>
      <w:r>
        <w:rPr>
          <w:rFonts w:hint="eastAsia" w:ascii="宋体" w:hAnsi="宋体"/>
          <w:szCs w:val="21"/>
          <w:lang w:eastAsia="zh-CN"/>
        </w:rPr>
        <w:t>）租期满后未发现《房屋租赁合同》约定的违约现象及安全责任事故，且承租方把以该批房屋注册的工商营业执照等办理完成迁出或注销手续，并经出租方验收合格，且无任何安全方面的违约情形，承租方提供保证金凭据后出租方将履约保证金不计息全额退还承租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（1</w:t>
      </w:r>
      <w:r>
        <w:rPr>
          <w:rFonts w:hint="eastAsia" w:ascii="宋体" w:hAnsi="宋体"/>
          <w:szCs w:val="21"/>
          <w:lang w:val="en-US" w:eastAsia="zh-CN"/>
        </w:rPr>
        <w:t>0</w:t>
      </w:r>
      <w:r>
        <w:rPr>
          <w:rFonts w:hint="eastAsia" w:ascii="宋体" w:hAnsi="宋体"/>
          <w:szCs w:val="21"/>
          <w:lang w:eastAsia="zh-CN"/>
        </w:rPr>
        <w:t>）</w:t>
      </w:r>
      <w:r>
        <w:rPr>
          <w:rFonts w:hint="eastAsia" w:ascii="宋体" w:hAnsi="宋体"/>
          <w:color w:val="auto"/>
          <w:szCs w:val="21"/>
          <w:lang w:eastAsia="zh-CN"/>
        </w:rPr>
        <w:t>在《房屋租赁合同》有效期内，</w:t>
      </w:r>
      <w:r>
        <w:rPr>
          <w:rFonts w:hint="eastAsia" w:ascii="宋体" w:hAnsi="宋体"/>
          <w:color w:val="auto"/>
          <w:szCs w:val="21"/>
          <w:lang w:val="en-US" w:eastAsia="zh-CN"/>
        </w:rPr>
        <w:t>承租方</w:t>
      </w:r>
      <w:r>
        <w:rPr>
          <w:rFonts w:hint="eastAsia" w:ascii="宋体" w:hAnsi="宋体"/>
          <w:color w:val="auto"/>
          <w:szCs w:val="21"/>
          <w:lang w:eastAsia="zh-CN"/>
        </w:rPr>
        <w:t>不得将租赁房屋全部/部分以任何形式向第三方转租、转让、转包、转借、交换承租权、抵押或设立其它负担，或与第三方合资、合作经营或由第三方进行承包经营，并且不得以任何方式令其他主体参与租赁商铺的经营及使用。一旦发现上述行为，</w:t>
      </w:r>
      <w:r>
        <w:rPr>
          <w:rFonts w:hint="eastAsia" w:ascii="宋体" w:hAnsi="宋体"/>
          <w:color w:val="auto"/>
          <w:szCs w:val="21"/>
          <w:lang w:val="en-US" w:eastAsia="zh-CN"/>
        </w:rPr>
        <w:t>出租方</w:t>
      </w:r>
      <w:r>
        <w:rPr>
          <w:rFonts w:hint="eastAsia" w:ascii="宋体" w:hAnsi="宋体"/>
          <w:color w:val="auto"/>
          <w:szCs w:val="21"/>
          <w:lang w:eastAsia="zh-CN"/>
        </w:rPr>
        <w:t>有权解除合同，</w:t>
      </w:r>
      <w:r>
        <w:rPr>
          <w:rFonts w:hint="eastAsia" w:ascii="宋体" w:hAnsi="宋体"/>
          <w:color w:val="auto"/>
          <w:szCs w:val="21"/>
          <w:lang w:val="en-US" w:eastAsia="zh-CN"/>
        </w:rPr>
        <w:t>承租方</w:t>
      </w:r>
      <w:r>
        <w:rPr>
          <w:rFonts w:hint="eastAsia" w:ascii="宋体" w:hAnsi="宋体"/>
          <w:color w:val="auto"/>
          <w:szCs w:val="21"/>
          <w:lang w:eastAsia="zh-CN"/>
        </w:rPr>
        <w:t>应承担合同解除的违约责任。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11</w:t>
      </w:r>
      <w:r>
        <w:rPr>
          <w:rFonts w:hint="eastAsia" w:ascii="宋体" w:hAnsi="宋体"/>
          <w:szCs w:val="21"/>
          <w:lang w:eastAsia="zh-CN"/>
        </w:rPr>
        <w:t>）本次交易出租方与承租方的权利和义务以出租方确定的《房屋租赁合同》（样本）为准。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宋体" w:hAnsi="宋体"/>
          <w:szCs w:val="21"/>
          <w:lang w:eastAsia="zh-CN"/>
        </w:rPr>
        <w:t>6、我方同意交纳交易服务费：（1）各年累计租金在800万元以下，按照各年累计租金的2%收取。（2）各年累计租金在800万元以上的，按照各年累计租金的1.5%收取。如仅一位意向承租方报名且成交的，可按以上收费标准减半收取。</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eastAsia="zh-CN"/>
        </w:rPr>
        <w:t>、若非出租方原因，出现以下任一情况时，意向承租方交纳的保证金不予退还，先用于补偿杭交所、</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lang w:eastAsia="zh-CN"/>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（3）在被确定为承租方后未按约定签署《房屋租赁合同》的或未按约定支付首期租金、履约保证金和交易服务费的；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（4）意向承租方未履行书面承诺事项的；</w:t>
      </w:r>
      <w:bookmarkStart w:id="0" w:name="_GoBack"/>
      <w:bookmarkEnd w:id="0"/>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A10EC"/>
    <w:multiLevelType w:val="multilevel"/>
    <w:tmpl w:val="587A10EC"/>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756"/>
        </w:tabs>
        <w:ind w:left="756" w:hanging="576"/>
      </w:pPr>
      <w:rPr>
        <w:rFonts w:hint="default"/>
        <w:color w:val="auto"/>
      </w:rPr>
    </w:lvl>
    <w:lvl w:ilvl="2" w:tentative="0">
      <w:start w:val="1"/>
      <w:numFmt w:val="decimal"/>
      <w:pStyle w:val="2"/>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4D96630"/>
    <w:rsid w:val="05474BCA"/>
    <w:rsid w:val="06403643"/>
    <w:rsid w:val="06565574"/>
    <w:rsid w:val="06A907A1"/>
    <w:rsid w:val="06FF3E8A"/>
    <w:rsid w:val="0739342F"/>
    <w:rsid w:val="09377722"/>
    <w:rsid w:val="0A514DBC"/>
    <w:rsid w:val="0BBE3E04"/>
    <w:rsid w:val="0C455BB9"/>
    <w:rsid w:val="0DF647A0"/>
    <w:rsid w:val="0F423341"/>
    <w:rsid w:val="0FA620A5"/>
    <w:rsid w:val="0FE5338A"/>
    <w:rsid w:val="10346095"/>
    <w:rsid w:val="10E20B40"/>
    <w:rsid w:val="11561F17"/>
    <w:rsid w:val="122D5A9B"/>
    <w:rsid w:val="138D2FEF"/>
    <w:rsid w:val="144100F1"/>
    <w:rsid w:val="15B80C26"/>
    <w:rsid w:val="166533E4"/>
    <w:rsid w:val="17DF339A"/>
    <w:rsid w:val="18AB29E5"/>
    <w:rsid w:val="1A4B5000"/>
    <w:rsid w:val="1ABC1E4E"/>
    <w:rsid w:val="1AE30C41"/>
    <w:rsid w:val="1D772D50"/>
    <w:rsid w:val="1E2E20E9"/>
    <w:rsid w:val="1E570CAC"/>
    <w:rsid w:val="1E867034"/>
    <w:rsid w:val="1E9C785A"/>
    <w:rsid w:val="1EC62F0A"/>
    <w:rsid w:val="1FB76644"/>
    <w:rsid w:val="209558D7"/>
    <w:rsid w:val="2164102D"/>
    <w:rsid w:val="21D62F05"/>
    <w:rsid w:val="224C47AB"/>
    <w:rsid w:val="22596EC8"/>
    <w:rsid w:val="22DE555C"/>
    <w:rsid w:val="22EF036A"/>
    <w:rsid w:val="254E3613"/>
    <w:rsid w:val="25677B0B"/>
    <w:rsid w:val="258432D6"/>
    <w:rsid w:val="25CF0E14"/>
    <w:rsid w:val="25D72BEF"/>
    <w:rsid w:val="25F1264D"/>
    <w:rsid w:val="261256F5"/>
    <w:rsid w:val="26176E7E"/>
    <w:rsid w:val="261B6EAF"/>
    <w:rsid w:val="26F34D08"/>
    <w:rsid w:val="271B5A35"/>
    <w:rsid w:val="273E55C5"/>
    <w:rsid w:val="280C6FF3"/>
    <w:rsid w:val="29831BA4"/>
    <w:rsid w:val="29A37426"/>
    <w:rsid w:val="29AC0889"/>
    <w:rsid w:val="2A135E82"/>
    <w:rsid w:val="2A7A57A9"/>
    <w:rsid w:val="2A7E3585"/>
    <w:rsid w:val="2AC97973"/>
    <w:rsid w:val="2BE11930"/>
    <w:rsid w:val="2C5B5AFF"/>
    <w:rsid w:val="2C993CF8"/>
    <w:rsid w:val="2D095E73"/>
    <w:rsid w:val="2D462264"/>
    <w:rsid w:val="2DDE0BE6"/>
    <w:rsid w:val="2EF16AF3"/>
    <w:rsid w:val="2FFC7C4A"/>
    <w:rsid w:val="30F66B22"/>
    <w:rsid w:val="31831344"/>
    <w:rsid w:val="31A85707"/>
    <w:rsid w:val="31C10B20"/>
    <w:rsid w:val="32147D6E"/>
    <w:rsid w:val="32824EDB"/>
    <w:rsid w:val="344459E3"/>
    <w:rsid w:val="34705D86"/>
    <w:rsid w:val="34B343DA"/>
    <w:rsid w:val="37200BEA"/>
    <w:rsid w:val="37A200AC"/>
    <w:rsid w:val="380B12B2"/>
    <w:rsid w:val="383374BF"/>
    <w:rsid w:val="384E2216"/>
    <w:rsid w:val="38536508"/>
    <w:rsid w:val="38CB4108"/>
    <w:rsid w:val="38DD4350"/>
    <w:rsid w:val="38FD240B"/>
    <w:rsid w:val="396F6817"/>
    <w:rsid w:val="39E9751C"/>
    <w:rsid w:val="3A4574B2"/>
    <w:rsid w:val="3AC218E1"/>
    <w:rsid w:val="3B2E3F4D"/>
    <w:rsid w:val="3B872449"/>
    <w:rsid w:val="3C2C0B99"/>
    <w:rsid w:val="3CB624B8"/>
    <w:rsid w:val="3D6B2F4F"/>
    <w:rsid w:val="3D8D11E6"/>
    <w:rsid w:val="3DE736C7"/>
    <w:rsid w:val="3E366EA5"/>
    <w:rsid w:val="3E9079E7"/>
    <w:rsid w:val="3F6A50BE"/>
    <w:rsid w:val="3F7A371C"/>
    <w:rsid w:val="3FBA3979"/>
    <w:rsid w:val="3FC6216C"/>
    <w:rsid w:val="3FFD00BF"/>
    <w:rsid w:val="40FE57EE"/>
    <w:rsid w:val="41266D89"/>
    <w:rsid w:val="414F26D9"/>
    <w:rsid w:val="41F153B0"/>
    <w:rsid w:val="4305016E"/>
    <w:rsid w:val="450A38F6"/>
    <w:rsid w:val="450C14F7"/>
    <w:rsid w:val="459A4A97"/>
    <w:rsid w:val="464723B1"/>
    <w:rsid w:val="479E5897"/>
    <w:rsid w:val="489A19EF"/>
    <w:rsid w:val="48D83DF3"/>
    <w:rsid w:val="49396F88"/>
    <w:rsid w:val="49927B74"/>
    <w:rsid w:val="4A4333A2"/>
    <w:rsid w:val="4C4308FE"/>
    <w:rsid w:val="4D801570"/>
    <w:rsid w:val="4DD22F16"/>
    <w:rsid w:val="4F092F78"/>
    <w:rsid w:val="4F0D7317"/>
    <w:rsid w:val="4F201E42"/>
    <w:rsid w:val="4F6D31A3"/>
    <w:rsid w:val="4FBC2F5F"/>
    <w:rsid w:val="52212BBB"/>
    <w:rsid w:val="53495EBD"/>
    <w:rsid w:val="53CF79C0"/>
    <w:rsid w:val="54130175"/>
    <w:rsid w:val="54AC0761"/>
    <w:rsid w:val="5502046E"/>
    <w:rsid w:val="552542D2"/>
    <w:rsid w:val="558A5E23"/>
    <w:rsid w:val="57576ED8"/>
    <w:rsid w:val="576B3208"/>
    <w:rsid w:val="57E43E5E"/>
    <w:rsid w:val="580A29D8"/>
    <w:rsid w:val="58266221"/>
    <w:rsid w:val="58E27BEC"/>
    <w:rsid w:val="59BB5339"/>
    <w:rsid w:val="59C553D4"/>
    <w:rsid w:val="59D25817"/>
    <w:rsid w:val="5A721786"/>
    <w:rsid w:val="5B0F5168"/>
    <w:rsid w:val="5C6F1AF2"/>
    <w:rsid w:val="5D0B1ACB"/>
    <w:rsid w:val="5F263445"/>
    <w:rsid w:val="60D41C1D"/>
    <w:rsid w:val="61AF798C"/>
    <w:rsid w:val="623F3E30"/>
    <w:rsid w:val="62D637DB"/>
    <w:rsid w:val="631C460C"/>
    <w:rsid w:val="63DB45BE"/>
    <w:rsid w:val="63F50A4F"/>
    <w:rsid w:val="65BC6383"/>
    <w:rsid w:val="669B59E7"/>
    <w:rsid w:val="67A91325"/>
    <w:rsid w:val="685936B8"/>
    <w:rsid w:val="69057392"/>
    <w:rsid w:val="6AA52327"/>
    <w:rsid w:val="6B3B2C71"/>
    <w:rsid w:val="6B5B46E4"/>
    <w:rsid w:val="6BEE766C"/>
    <w:rsid w:val="6C7E0522"/>
    <w:rsid w:val="6D490EB5"/>
    <w:rsid w:val="6DC2291F"/>
    <w:rsid w:val="6DE029CA"/>
    <w:rsid w:val="6DF6415D"/>
    <w:rsid w:val="70681F34"/>
    <w:rsid w:val="71204A9C"/>
    <w:rsid w:val="725916F6"/>
    <w:rsid w:val="72C64894"/>
    <w:rsid w:val="744676DC"/>
    <w:rsid w:val="744E1347"/>
    <w:rsid w:val="752E7623"/>
    <w:rsid w:val="76E45562"/>
    <w:rsid w:val="77D53699"/>
    <w:rsid w:val="78B10710"/>
    <w:rsid w:val="79944E61"/>
    <w:rsid w:val="7A54014C"/>
    <w:rsid w:val="7ADA7D76"/>
    <w:rsid w:val="7AE52BBB"/>
    <w:rsid w:val="7AFB73C0"/>
    <w:rsid w:val="7B403C14"/>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numPr>
        <w:ilvl w:val="2"/>
        <w:numId w:val="1"/>
      </w:numPr>
      <w:spacing w:before="240" w:after="60"/>
      <w:outlineLvl w:val="2"/>
    </w:pPr>
    <w:rPr>
      <w:rFonts w:ascii="Arial" w:hAnsi="Arial" w:cs="Arial"/>
      <w:b/>
      <w:bCs/>
      <w:sz w:val="26"/>
      <w:szCs w:val="2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82"/>
      <w:textAlignment w:val="baseline"/>
    </w:pPr>
    <w:rPr>
      <w:kern w:val="0"/>
      <w:sz w:val="24"/>
      <w:szCs w:val="20"/>
    </w:rPr>
  </w:style>
  <w:style w:type="paragraph" w:styleId="4">
    <w:name w:val="Body Text"/>
    <w:basedOn w:val="1"/>
    <w:next w:val="5"/>
    <w:qFormat/>
    <w:uiPriority w:val="99"/>
    <w:pPr>
      <w:spacing w:before="120" w:after="120" w:line="360" w:lineRule="auto"/>
      <w:ind w:firstLine="800" w:firstLineChars="200"/>
    </w:pPr>
    <w:rPr>
      <w:rFonts w:ascii="宋体" w:hAnsi="宋体"/>
      <w:lang w:val="zh-CN"/>
    </w:rPr>
  </w:style>
  <w:style w:type="paragraph" w:customStyle="1" w:styleId="5">
    <w:name w:val="_Style 2"/>
    <w:basedOn w:val="1"/>
    <w:qFormat/>
    <w:uiPriority w:val="34"/>
    <w:pPr>
      <w:ind w:firstLine="420" w:firstLineChars="200"/>
    </w:pPr>
    <w:rPr>
      <w:rFonts w:ascii="Calibri" w:hAnsi="Calibri"/>
      <w:szCs w:val="22"/>
    </w:rPr>
  </w:style>
  <w:style w:type="paragraph" w:styleId="6">
    <w:name w:val="Body Text Indent"/>
    <w:basedOn w:val="1"/>
    <w:qFormat/>
    <w:uiPriority w:val="0"/>
    <w:pPr>
      <w:spacing w:after="120"/>
      <w:ind w:left="420" w:leftChars="200"/>
    </w:p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0">
    <w:name w:val="Body Text First Indent"/>
    <w:basedOn w:val="4"/>
    <w:next w:val="1"/>
    <w:qFormat/>
    <w:uiPriority w:val="99"/>
    <w:pPr>
      <w:ind w:firstLine="420" w:firstLineChars="100"/>
    </w:pPr>
  </w:style>
  <w:style w:type="paragraph" w:styleId="11">
    <w:name w:val="Body Text First Indent 2"/>
    <w:basedOn w:val="6"/>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4">
    <w:name w:val="NormalIndent"/>
    <w:basedOn w:val="1"/>
    <w:qFormat/>
    <w:uiPriority w:val="0"/>
    <w:pPr>
      <w:ind w:firstLine="420"/>
    </w:pPr>
    <w:rPr>
      <w:rFonts w:ascii="Calibri" w:hAnsi="Calibri"/>
      <w:szCs w:val="22"/>
    </w:rPr>
  </w:style>
  <w:style w:type="character" w:customStyle="1" w:styleId="15">
    <w:name w:val="页眉 Char"/>
    <w:basedOn w:val="13"/>
    <w:link w:val="8"/>
    <w:semiHidden/>
    <w:qFormat/>
    <w:uiPriority w:val="99"/>
    <w:rPr>
      <w:rFonts w:ascii="Times New Roman" w:hAnsi="Times New Roman" w:eastAsia="宋体" w:cs="Times New Roman"/>
      <w:sz w:val="18"/>
      <w:szCs w:val="18"/>
    </w:rPr>
  </w:style>
  <w:style w:type="character" w:customStyle="1" w:styleId="16">
    <w:name w:val="页脚 Char"/>
    <w:basedOn w:val="13"/>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paragraph" w:customStyle="1" w:styleId="18">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9</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2026-05-19T03:29:53Z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