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bookmarkStart w:id="0" w:name="_GoBack"/>
      <w:bookmarkEnd w:id="0"/>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spacing w:val="-3"/>
          <w:sz w:val="22"/>
          <w:szCs w:val="28"/>
          <w:u w:val="single"/>
          <w:lang w:eastAsia="zh-CN"/>
        </w:rPr>
        <w:t>产权单位名称</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室</w:t>
      </w:r>
      <w:permEnd w:id="4"/>
      <w:r>
        <w:rPr>
          <w:rFonts w:hint="eastAsia" w:asciiTheme="minorEastAsia" w:hAnsiTheme="minorEastAsia" w:eastAsiaTheme="minorEastAsia" w:cstheme="minorEastAsia"/>
          <w:sz w:val="24"/>
          <w:szCs w:val="24"/>
        </w:rPr>
        <w:t>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室</w:t>
      </w:r>
      <w:permEnd w:id="7"/>
      <w:r>
        <w:rPr>
          <w:rFonts w:hint="eastAsia" w:asciiTheme="minorEastAsia" w:hAnsiTheme="minorEastAsia" w:eastAsiaTheme="minorEastAsia" w:cstheme="minorEastAsia"/>
          <w:sz w:val="24"/>
          <w:szCs w:val="24"/>
        </w:rPr>
        <w:t>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w:t>
      </w:r>
      <w:permStart w:id="23"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23"/>
      <w:r>
        <w:rPr>
          <w:rFonts w:hint="eastAsia" w:asciiTheme="minorEastAsia" w:hAnsiTheme="minorEastAsia" w:eastAsiaTheme="minorEastAsia" w:cstheme="minorEastAsia"/>
          <w:sz w:val="24"/>
          <w:szCs w:val="24"/>
        </w:rPr>
        <w:t>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（1）租赁物业为空置物业的，本合同生效</w:t>
      </w:r>
      <w:r>
        <w:rPr>
          <w:rFonts w:hint="eastAsia" w:asciiTheme="minorEastAsia" w:hAnsiTheme="minorEastAsia" w:cstheme="minorEastAsia"/>
          <w:sz w:val="24"/>
          <w:szCs w:val="24"/>
          <w:lang w:val="en-US" w:eastAsia="zh-CN"/>
        </w:rPr>
        <w:t>之</w:t>
      </w:r>
      <w:r>
        <w:rPr>
          <w:rFonts w:hint="eastAsia" w:asciiTheme="minorEastAsia" w:hAnsiTheme="minorEastAsia" w:eastAsiaTheme="minorEastAsia" w:cstheme="minorEastAsia"/>
          <w:sz w:val="24"/>
          <w:szCs w:val="24"/>
        </w:rPr>
        <w:t>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w:t>
      </w:r>
      <w:r>
        <w:rPr>
          <w:rFonts w:hint="eastAsia" w:asciiTheme="minorEastAsia" w:hAnsiTheme="minorEastAsia" w:cstheme="minorEastAsia"/>
          <w:sz w:val="24"/>
          <w:szCs w:val="24"/>
          <w:lang w:val="en-US" w:eastAsia="zh-CN"/>
        </w:rPr>
        <w:t>本合同生效</w:t>
      </w:r>
      <w:r>
        <w:rPr>
          <w:rFonts w:hint="eastAsia" w:asciiTheme="minorEastAsia" w:hAnsiTheme="minorEastAsia" w:eastAsiaTheme="minorEastAsia" w:cstheme="minorEastAsia"/>
          <w:sz w:val="24"/>
          <w:szCs w:val="24"/>
        </w:rPr>
        <w:t>即视作甲方已完成交易标的的交付。</w:t>
      </w:r>
    </w:p>
    <w:p w14:paraId="1E89ED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②乙方为非原承租人的，乙方确认已知晓本合同所涉房屋存在原承租人和实际占有人的情况，并同意按现状接收房屋。乙方签订《成交通知书》（仅适用于进场招租标的）、《房屋租赁合同》、《房屋管理合同》，付清首期租金、履约保证金、装修保证金和交易服务费（交易服务费仅适用于进场招租标的），即视为甲方已经履行交付义务。乙方签订合同后，自行负责与原承租人或实际占有人之间签订转租协议或腾退的工作。同时，乙方承诺不提出任何附加条件或修改已签订的《房屋租赁合同》、《房屋管理合同》</w:t>
      </w:r>
      <w:r>
        <w:rPr>
          <w:rFonts w:hint="eastAsia" w:asciiTheme="minorEastAsia" w:hAnsiTheme="minorEastAsia" w:cstheme="minorEastAsia"/>
          <w:sz w:val="24"/>
          <w:szCs w:val="24"/>
          <w:lang w:eastAsia="zh-CN"/>
        </w:rPr>
        <w:t>。</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(身份证号</w:t>
      </w:r>
      <w:permStart w:id="25" w:edGrp="everyone"/>
      <w:r>
        <w:rPr>
          <w:rFonts w:hint="eastAsia" w:asciiTheme="minorEastAsia" w:hAnsiTheme="minorEastAsia" w:cstheme="minorEastAsia"/>
          <w:sz w:val="24"/>
          <w:szCs w:val="24"/>
          <w:u w:val="single"/>
          <w:lang w:val="en-US" w:eastAsia="zh-CN"/>
        </w:rPr>
        <w:t xml:space="preserve">                    </w:t>
      </w:r>
      <w:permEnd w:id="25"/>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6"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6"/>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7"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7"/>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8"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rPr>
          <w:trHeight w:val="939"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8"/>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备注：年租金</w:t>
      </w:r>
      <w:r>
        <w:rPr>
          <w:rFonts w:hint="eastAsia" w:asciiTheme="minorEastAsia" w:hAnsiTheme="minorEastAsia" w:cstheme="minorEastAsia"/>
          <w:sz w:val="24"/>
          <w:szCs w:val="24"/>
          <w:lang w:val="en-US" w:eastAsia="zh-CN"/>
        </w:rPr>
        <w:t>按365天计</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w:t>
      </w:r>
      <w:permStart w:id="29"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29"/>
      <w:r>
        <w:rPr>
          <w:rFonts w:hint="eastAsia" w:asciiTheme="minorEastAsia" w:hAnsiTheme="minorEastAsia" w:eastAsiaTheme="minorEastAsia" w:cstheme="minorEastAsia"/>
          <w:sz w:val="24"/>
          <w:szCs w:val="24"/>
        </w:rPr>
        <w:t>期租金支付时折抵免除。</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30"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30"/>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31" w:edGrp="everyone"/>
      <w:r>
        <w:rPr>
          <w:rFonts w:hint="eastAsia" w:asciiTheme="minorEastAsia" w:hAnsiTheme="minorEastAsia" w:cstheme="minorEastAsia"/>
          <w:sz w:val="24"/>
          <w:szCs w:val="24"/>
          <w:u w:val="single"/>
          <w:lang w:val="en-US" w:eastAsia="zh-CN"/>
        </w:rPr>
        <w:t xml:space="preserve">   </w:t>
      </w:r>
      <w:permEnd w:id="31"/>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产权单位开户行</w:t>
      </w:r>
      <w:permEnd w:id="32"/>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产权单位名称</w:t>
      </w:r>
      <w:r>
        <w:rPr>
          <w:rFonts w:hint="eastAsia" w:asciiTheme="minorEastAsia" w:hAnsiTheme="minorEastAsia" w:cstheme="minorEastAsia"/>
          <w:sz w:val="24"/>
          <w:szCs w:val="24"/>
          <w:u w:val="single"/>
          <w:lang w:val="en-US" w:eastAsia="zh-CN"/>
        </w:rPr>
        <w:t xml:space="preserve"> </w:t>
      </w:r>
      <w:permEnd w:id="33"/>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4" w:edGrp="everyone"/>
      <w:r>
        <w:rPr>
          <w:rFonts w:hint="eastAsia" w:asciiTheme="minorEastAsia" w:hAnsiTheme="minorEastAsia" w:cstheme="minorEastAsia"/>
          <w:sz w:val="24"/>
          <w:szCs w:val="24"/>
          <w:u w:val="single"/>
          <w:lang w:val="en-US" w:eastAsia="zh-CN"/>
        </w:rPr>
        <w:t xml:space="preserve"> 产权单位账号 </w:t>
      </w:r>
      <w:permEnd w:id="34"/>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 xml:space="preserve">普票 </w:t>
      </w: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7" w:edGrp="everyone"/>
      <w:r>
        <w:rPr>
          <w:rFonts w:hint="eastAsia" w:asciiTheme="minorEastAsia" w:hAnsiTheme="minorEastAsia" w:cstheme="minorEastAsia"/>
          <w:sz w:val="24"/>
          <w:szCs w:val="24"/>
          <w:u w:val="single"/>
          <w:lang w:val="en-US" w:eastAsia="zh-CN"/>
        </w:rPr>
        <w:t xml:space="preserve">                           </w:t>
      </w:r>
      <w:permEnd w:id="37"/>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9"/>
          <w:kern w:val="0"/>
          <w:sz w:val="24"/>
          <w:szCs w:val="24"/>
          <w:fitText w:val="1440" w:id="953889145"/>
        </w:rPr>
        <w:t>地址</w:t>
      </w:r>
      <w:r>
        <w:rPr>
          <w:rFonts w:hint="eastAsia" w:asciiTheme="minorEastAsia" w:hAnsiTheme="minorEastAsia" w:cstheme="minorEastAsia"/>
          <w:spacing w:val="59"/>
          <w:kern w:val="0"/>
          <w:sz w:val="24"/>
          <w:szCs w:val="24"/>
          <w:fitText w:val="1440" w:id="953889145"/>
          <w:lang w:val="en-US" w:eastAsia="zh-CN"/>
        </w:rPr>
        <w:t>\</w:t>
      </w:r>
      <w:r>
        <w:rPr>
          <w:rFonts w:hint="eastAsia" w:asciiTheme="minorEastAsia" w:hAnsiTheme="minorEastAsia" w:eastAsiaTheme="minorEastAsia" w:cstheme="minorEastAsia"/>
          <w:spacing w:val="59"/>
          <w:kern w:val="0"/>
          <w:sz w:val="24"/>
          <w:szCs w:val="24"/>
          <w:fitText w:val="1440" w:id="953889145"/>
        </w:rPr>
        <w:t>电</w:t>
      </w:r>
      <w:r>
        <w:rPr>
          <w:rFonts w:hint="eastAsia" w:asciiTheme="minorEastAsia" w:hAnsiTheme="minorEastAsia" w:eastAsiaTheme="minorEastAsia" w:cstheme="minorEastAsia"/>
          <w:spacing w:val="0"/>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8" w:edGrp="everyone"/>
      <w:r>
        <w:rPr>
          <w:rFonts w:hint="eastAsia" w:asciiTheme="minorEastAsia" w:hAnsiTheme="minorEastAsia" w:cstheme="minorEastAsia"/>
          <w:sz w:val="24"/>
          <w:szCs w:val="24"/>
          <w:u w:val="single"/>
          <w:lang w:val="en-US" w:eastAsia="zh-CN"/>
        </w:rPr>
        <w:t xml:space="preserve">                           </w:t>
      </w:r>
      <w:permEnd w:id="38"/>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9" w:edGrp="everyone"/>
      <w:r>
        <w:rPr>
          <w:rFonts w:hint="eastAsia" w:asciiTheme="minorEastAsia" w:hAnsiTheme="minorEastAsia" w:cstheme="minorEastAsia"/>
          <w:sz w:val="24"/>
          <w:szCs w:val="24"/>
          <w:u w:val="single"/>
          <w:lang w:val="en-US" w:eastAsia="zh-CN"/>
        </w:rPr>
        <w:t xml:space="preserve">                           </w:t>
      </w:r>
      <w:permEnd w:id="39"/>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40" w:edGrp="everyone"/>
      <w:r>
        <w:rPr>
          <w:rFonts w:hint="eastAsia" w:asciiTheme="minorEastAsia" w:hAnsiTheme="minorEastAsia" w:cstheme="minorEastAsia"/>
          <w:sz w:val="24"/>
          <w:szCs w:val="24"/>
          <w:u w:val="single"/>
          <w:lang w:val="en-US" w:eastAsia="zh-CN"/>
        </w:rPr>
        <w:t xml:space="preserve">                           </w:t>
      </w:r>
      <w:permEnd w:id="40"/>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41"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1"/>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2"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2"/>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3"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3"/>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4"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4"/>
      <w:r>
        <w:rPr>
          <w:rFonts w:hint="eastAsia" w:asciiTheme="minorEastAsia" w:hAnsiTheme="minorEastAsia" w:eastAsiaTheme="minorEastAsia" w:cstheme="minorEastAsia"/>
          <w:color w:val="auto"/>
          <w:sz w:val="24"/>
          <w:szCs w:val="24"/>
        </w:rPr>
        <w:t>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5"/>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6"/>
    </w:p>
    <w:p w14:paraId="68DC1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7" w:edGrp="everyone"/>
      <w:r>
        <w:rPr>
          <w:rFonts w:hint="eastAsia" w:asciiTheme="minorEastAsia" w:hAnsiTheme="minorEastAsia" w:eastAsiaTheme="minorEastAsia" w:cstheme="minorEastAsia"/>
          <w:sz w:val="24"/>
          <w:szCs w:val="24"/>
          <w:u w:val="single"/>
        </w:rPr>
        <w:t xml:space="preserve">      </w:t>
      </w:r>
      <w:permEnd w:id="47"/>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8" w:edGrp="everyone"/>
      <w:r>
        <w:rPr>
          <w:rFonts w:hint="eastAsia" w:asciiTheme="minorEastAsia" w:hAnsiTheme="minorEastAsia" w:cstheme="minorEastAsia"/>
          <w:sz w:val="24"/>
          <w:szCs w:val="24"/>
          <w:u w:val="single"/>
          <w:lang w:val="en-US" w:eastAsia="zh-CN"/>
        </w:rPr>
        <w:t xml:space="preserve">                     </w:t>
      </w:r>
      <w:permEnd w:id="48"/>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9" w:edGrp="everyone"/>
      <w:r>
        <w:rPr>
          <w:rFonts w:hint="eastAsia" w:asciiTheme="minorEastAsia" w:hAnsiTheme="minorEastAsia" w:cstheme="minorEastAsia"/>
          <w:sz w:val="24"/>
          <w:szCs w:val="24"/>
          <w:u w:val="single"/>
          <w:lang w:val="en-US" w:eastAsia="zh-CN"/>
        </w:rPr>
        <w:t xml:space="preserve">                     </w:t>
      </w:r>
      <w:permEnd w:id="49"/>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50" w:edGrp="everyone"/>
      <w:r>
        <w:rPr>
          <w:rFonts w:hint="eastAsia" w:asciiTheme="minorEastAsia" w:hAnsiTheme="minorEastAsia" w:cstheme="minorEastAsia"/>
          <w:sz w:val="24"/>
          <w:szCs w:val="24"/>
          <w:u w:val="single"/>
          <w:lang w:val="en-US" w:eastAsia="zh-CN"/>
        </w:rPr>
        <w:t xml:space="preserve">                 </w:t>
      </w:r>
      <w:permEnd w:id="50"/>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51" w:edGrp="everyone"/>
      <w:r>
        <w:rPr>
          <w:rFonts w:hint="eastAsia" w:asciiTheme="minorEastAsia" w:hAnsiTheme="minorEastAsia" w:cstheme="minorEastAsia"/>
          <w:sz w:val="24"/>
          <w:szCs w:val="24"/>
          <w:u w:val="single"/>
          <w:lang w:val="en-US" w:eastAsia="zh-CN"/>
        </w:rPr>
        <w:t xml:space="preserve">                 </w:t>
      </w:r>
      <w:permEnd w:id="51"/>
    </w:p>
    <w:p w14:paraId="27DD65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2" w:edGrp="everyone"/>
      <w:r>
        <w:rPr>
          <w:rFonts w:hint="eastAsia" w:asciiTheme="minorEastAsia" w:hAnsiTheme="minorEastAsia" w:cstheme="minorEastAsia"/>
          <w:sz w:val="24"/>
          <w:szCs w:val="24"/>
          <w:u w:val="single"/>
          <w:lang w:val="en-US" w:eastAsia="zh-CN"/>
        </w:rPr>
        <w:t xml:space="preserve">                       </w:t>
      </w:r>
    </w:p>
    <w:permEnd w:id="52"/>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CDDFE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xml:space="preserve"> 乙方付清首期租金、履约保证金、装修保证金和交易服务费（交易服务费仅适用于进场招租标的），且</w:t>
      </w:r>
      <w:r>
        <w:rPr>
          <w:rFonts w:hint="eastAsia" w:asciiTheme="minorEastAsia" w:hAnsiTheme="minorEastAsia" w:cstheme="minorEastAsia"/>
          <w:sz w:val="24"/>
          <w:szCs w:val="24"/>
          <w:highlight w:val="none"/>
          <w:lang w:val="en-US" w:eastAsia="zh-CN"/>
        </w:rPr>
        <w:t>甲方就</w:t>
      </w:r>
      <w:r>
        <w:rPr>
          <w:rFonts w:hint="eastAsia" w:asciiTheme="minorEastAsia" w:hAnsiTheme="minorEastAsia" w:eastAsiaTheme="minorEastAsia" w:cstheme="minorEastAsia"/>
          <w:sz w:val="24"/>
          <w:szCs w:val="24"/>
          <w:highlight w:val="none"/>
        </w:rPr>
        <w:t>本合同与《房屋管理合同》完成盖章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乙方就</w:t>
      </w:r>
      <w:r>
        <w:rPr>
          <w:rFonts w:hint="eastAsia" w:asciiTheme="minorEastAsia" w:hAnsiTheme="minorEastAsia" w:eastAsiaTheme="minorEastAsia" w:cstheme="minorEastAsia"/>
          <w:sz w:val="24"/>
          <w:szCs w:val="24"/>
          <w:highlight w:val="none"/>
        </w:rPr>
        <w:t>本合同与《房屋管理合同》完成</w:t>
      </w:r>
      <w:r>
        <w:rPr>
          <w:rFonts w:hint="eastAsia" w:asciiTheme="minorEastAsia" w:hAnsi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rPr>
        <w:t>盖章后，本合同即生效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乙方应在本合同及成交文件规定的期限前足额支付前述款项，逾期未支付或未足额支付导致本合同无法生效的，甲方有权不予返还乙方已支付的交易价款。</w:t>
      </w:r>
    </w:p>
    <w:p w14:paraId="62B2C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2BE7F5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9A17A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第九条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本合同一式</w:t>
      </w:r>
      <w:permStart w:id="53"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3"/>
      <w:r>
        <w:rPr>
          <w:rFonts w:hint="eastAsia" w:asciiTheme="minorEastAsia" w:hAnsiTheme="minorEastAsia" w:eastAsiaTheme="minorEastAsia" w:cstheme="minorEastAsia"/>
          <w:sz w:val="24"/>
          <w:szCs w:val="24"/>
        </w:rPr>
        <w:t>份，其中甲方执</w:t>
      </w:r>
      <w:permStart w:id="54" w:edGrp="everyone"/>
      <w:r>
        <w:rPr>
          <w:rFonts w:hint="eastAsia" w:asciiTheme="minorEastAsia" w:hAnsiTheme="minorEastAsia" w:eastAsiaTheme="minorEastAsia" w:cstheme="minorEastAsia"/>
          <w:sz w:val="24"/>
          <w:szCs w:val="24"/>
          <w:u w:val="single"/>
        </w:rPr>
        <w:t xml:space="preserve">     </w:t>
      </w:r>
      <w:permEnd w:id="54"/>
      <w:r>
        <w:rPr>
          <w:rFonts w:hint="eastAsia" w:asciiTheme="minorEastAsia" w:hAnsiTheme="minorEastAsia" w:eastAsiaTheme="minorEastAsia" w:cstheme="minorEastAsia"/>
          <w:sz w:val="24"/>
          <w:szCs w:val="24"/>
        </w:rPr>
        <w:t>份，乙方执</w:t>
      </w:r>
      <w:permStart w:id="55" w:edGrp="everyone"/>
      <w:r>
        <w:rPr>
          <w:rFonts w:hint="eastAsia" w:asciiTheme="minorEastAsia" w:hAnsiTheme="minorEastAsia" w:eastAsiaTheme="minorEastAsia" w:cstheme="minorEastAsia"/>
          <w:sz w:val="24"/>
          <w:szCs w:val="24"/>
          <w:u w:val="single"/>
        </w:rPr>
        <w:t xml:space="preserve">      </w:t>
      </w:r>
      <w:permEnd w:id="55"/>
      <w:r>
        <w:rPr>
          <w:rFonts w:hint="eastAsia" w:asciiTheme="minorEastAsia" w:hAnsiTheme="minorEastAsia" w:eastAsiaTheme="minorEastAsia" w:cstheme="minorEastAsia"/>
          <w:sz w:val="24"/>
          <w:szCs w:val="24"/>
        </w:rPr>
        <w:t>份，产交所执</w:t>
      </w:r>
      <w:permStart w:id="5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6"/>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7A1A9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2C0C6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C0DB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7" w:edGrp="everyone"/>
      <w:r>
        <w:rPr>
          <w:rFonts w:hint="eastAsia" w:asciiTheme="minorEastAsia" w:hAnsiTheme="minorEastAsia" w:cstheme="minorEastAsia"/>
          <w:sz w:val="24"/>
          <w:szCs w:val="24"/>
          <w:lang w:val="en-US" w:eastAsia="zh-CN"/>
        </w:rPr>
        <w:t xml:space="preserve">                           </w:t>
      </w:r>
      <w:permEnd w:id="57"/>
      <w:r>
        <w:rPr>
          <w:rFonts w:hint="eastAsia" w:asciiTheme="minorEastAsia" w:hAnsiTheme="minorEastAsia" w:eastAsiaTheme="minorEastAsia" w:cstheme="minorEastAsia"/>
          <w:sz w:val="24"/>
          <w:szCs w:val="24"/>
        </w:rPr>
        <w:t>（盖章）</w:t>
      </w:r>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8" w:edGrp="everyone"/>
      <w:r>
        <w:rPr>
          <w:rFonts w:hint="eastAsia" w:asciiTheme="minorEastAsia" w:hAnsiTheme="minorEastAsia" w:cstheme="minorEastAsia"/>
          <w:sz w:val="24"/>
          <w:szCs w:val="24"/>
          <w:lang w:val="en-US" w:eastAsia="zh-CN"/>
        </w:rPr>
        <w:t xml:space="preserve">                           </w:t>
      </w:r>
      <w:permEnd w:id="58"/>
    </w:p>
    <w:p w14:paraId="732D13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9" w:edGrp="everyone"/>
      <w:r>
        <w:rPr>
          <w:rFonts w:hint="eastAsia" w:asciiTheme="minorEastAsia" w:hAnsiTheme="minorEastAsia" w:cstheme="minorEastAsia"/>
          <w:sz w:val="24"/>
          <w:szCs w:val="24"/>
          <w:lang w:val="en-US" w:eastAsia="zh-CN"/>
        </w:rPr>
        <w:t xml:space="preserve">                           </w:t>
      </w:r>
    </w:p>
    <w:permEnd w:id="59"/>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60" w:edGrp="everyone"/>
      <w:r>
        <w:rPr>
          <w:rFonts w:hint="eastAsia" w:asciiTheme="minorEastAsia" w:hAnsiTheme="minorEastAsia" w:cstheme="minorEastAsia"/>
          <w:sz w:val="24"/>
          <w:szCs w:val="24"/>
          <w:lang w:val="en-US" w:eastAsia="zh-CN"/>
        </w:rPr>
        <w:t xml:space="preserve">                           </w:t>
      </w:r>
    </w:p>
    <w:permEnd w:id="60"/>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61" w:edGrp="everyone"/>
      <w:r>
        <w:rPr>
          <w:rFonts w:hint="eastAsia" w:asciiTheme="minorEastAsia" w:hAnsiTheme="minorEastAsia" w:cstheme="minorEastAsia"/>
          <w:sz w:val="24"/>
          <w:szCs w:val="24"/>
          <w:lang w:val="en-US" w:eastAsia="zh-CN"/>
        </w:rPr>
        <w:t xml:space="preserve">                           </w:t>
      </w:r>
      <w:permEnd w:id="61"/>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62" w:edGrp="everyone"/>
      <w:r>
        <w:rPr>
          <w:rFonts w:hint="eastAsia" w:asciiTheme="minorEastAsia" w:hAnsiTheme="minorEastAsia" w:cstheme="minorEastAsia"/>
          <w:sz w:val="24"/>
          <w:szCs w:val="24"/>
          <w:lang w:val="en-US" w:eastAsia="zh-CN"/>
        </w:rPr>
        <w:t xml:space="preserve">          </w:t>
      </w:r>
    </w:p>
    <w:permEnd w:id="62"/>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3"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3"/>
      <w:r>
        <w:rPr>
          <w:rFonts w:hint="eastAsia" w:asciiTheme="minorEastAsia" w:hAnsiTheme="minorEastAsia" w:eastAsiaTheme="minorEastAsia" w:cstheme="minorEastAsia"/>
          <w:sz w:val="24"/>
          <w:szCs w:val="24"/>
        </w:rPr>
        <w:t>年</w:t>
      </w:r>
      <w:permStart w:id="64" w:edGrp="everyone"/>
      <w:r>
        <w:rPr>
          <w:rFonts w:hint="eastAsia" w:asciiTheme="minorEastAsia" w:hAnsiTheme="minorEastAsia" w:eastAsiaTheme="minorEastAsia" w:cstheme="minorEastAsia"/>
          <w:sz w:val="24"/>
          <w:szCs w:val="24"/>
        </w:rPr>
        <w:t xml:space="preserve">    </w:t>
      </w:r>
      <w:permEnd w:id="64"/>
      <w:r>
        <w:rPr>
          <w:rFonts w:hint="eastAsia" w:asciiTheme="minorEastAsia" w:hAnsiTheme="minorEastAsia" w:eastAsiaTheme="minorEastAsia" w:cstheme="minorEastAsia"/>
          <w:sz w:val="24"/>
          <w:szCs w:val="24"/>
        </w:rPr>
        <w:t>月</w:t>
      </w:r>
      <w:permStart w:id="65" w:edGrp="everyone"/>
      <w:r>
        <w:rPr>
          <w:rFonts w:hint="eastAsia" w:asciiTheme="minorEastAsia" w:hAnsiTheme="minorEastAsia" w:eastAsiaTheme="minorEastAsia" w:cstheme="minorEastAsia"/>
          <w:sz w:val="24"/>
          <w:szCs w:val="24"/>
        </w:rPr>
        <w:t xml:space="preserve">    </w:t>
      </w:r>
      <w:permEnd w:id="65"/>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helvetica">
    <w:panose1 w:val="00000000000000000000"/>
    <w:charset w:val="00"/>
    <w:family w:val="auto"/>
    <w:pitch w:val="default"/>
    <w:sig w:usb0="E00002FF" w:usb1="5000785B" w:usb2="00000000" w:usb3="00000000" w:csb0="2000019F" w:csb1="4F010000"/>
  </w:font>
  <w:font w:name="Wingdings 2">
    <w:panose1 w:val="05020102010507070707"/>
    <w:charset w:val="00"/>
    <w:family w:val="auto"/>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comments" w:enforcement="1" w:cryptProviderType="rsaFull" w:cryptAlgorithmClass="hash" w:cryptAlgorithmType="typeAny" w:cryptAlgorithmSid="4" w:cryptSpinCount="0" w:hash="K+4PTtefJr2SwE4GvTLH16nwQBA=" w:salt="Z1AdQw+o+muVsYYynsczh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BC6C0F"/>
    <w:rsid w:val="0FF05AF9"/>
    <w:rsid w:val="0FF95C4E"/>
    <w:rsid w:val="112A6783"/>
    <w:rsid w:val="15C54CCC"/>
    <w:rsid w:val="168626AD"/>
    <w:rsid w:val="16A42B33"/>
    <w:rsid w:val="17A44854"/>
    <w:rsid w:val="17C0574B"/>
    <w:rsid w:val="19AC4783"/>
    <w:rsid w:val="1B799EDA"/>
    <w:rsid w:val="1DF5031E"/>
    <w:rsid w:val="1E25455A"/>
    <w:rsid w:val="1EE26321"/>
    <w:rsid w:val="1F9000F9"/>
    <w:rsid w:val="1F9B918A"/>
    <w:rsid w:val="20BC4845"/>
    <w:rsid w:val="215C70DA"/>
    <w:rsid w:val="21C978F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3FFB01F3"/>
    <w:rsid w:val="404B190D"/>
    <w:rsid w:val="40896772"/>
    <w:rsid w:val="422C3859"/>
    <w:rsid w:val="43827BD5"/>
    <w:rsid w:val="44254A04"/>
    <w:rsid w:val="455B7DBA"/>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3035AB9"/>
    <w:rsid w:val="64412D3D"/>
    <w:rsid w:val="647F4E32"/>
    <w:rsid w:val="65442AE4"/>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A16158F"/>
    <w:rsid w:val="7A4F1DD1"/>
    <w:rsid w:val="7A97325F"/>
    <w:rsid w:val="7AD87AFF"/>
    <w:rsid w:val="7BED2FC8"/>
    <w:rsid w:val="7D27B41D"/>
    <w:rsid w:val="7E25CC5A"/>
    <w:rsid w:val="7E6FC35D"/>
    <w:rsid w:val="7EE788A8"/>
    <w:rsid w:val="96FFC6FB"/>
    <w:rsid w:val="AEB79FD6"/>
    <w:rsid w:val="B7D34FB7"/>
    <w:rsid w:val="DF5CE36C"/>
    <w:rsid w:val="DF778280"/>
    <w:rsid w:val="DFCD06A6"/>
    <w:rsid w:val="DFFA565B"/>
    <w:rsid w:val="EFA603C5"/>
    <w:rsid w:val="EFBF0CD2"/>
    <w:rsid w:val="EFDF87D0"/>
    <w:rsid w:val="EFEE121F"/>
    <w:rsid w:val="F57ED5F8"/>
    <w:rsid w:val="FDEF81BC"/>
    <w:rsid w:val="FEBF323F"/>
    <w:rsid w:val="FEF79841"/>
    <w:rsid w:val="FFDD20E0"/>
    <w:rsid w:val="FF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3477</Words>
  <Characters>3499</Characters>
  <Lines>0</Lines>
  <Paragraphs>0</Paragraphs>
  <TotalTime>6</TotalTime>
  <ScaleCrop>false</ScaleCrop>
  <LinksUpToDate>false</LinksUpToDate>
  <CharactersWithSpaces>4284</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2024-12-16T09:19:00Z</dcterms:created>
  <dc:creator>小明爱喝水</dc:creator>
  <cp:lastModifiedBy>estherwong</cp:lastModifiedBy>
  <dcterms:modified xsi:type="dcterms:W3CDTF">2026-05-14T14:31:40Z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42A73053CE524ADB8F70E04C1EF8C831_11</vt:lpwstr>
  </property>
  <property fmtid="{D5CDD505-2E9C-101B-9397-08002B2CF9AE}" pid="4" name="KSOTemplateDocerSaveRecord">
    <vt:lpwstr>eyJoZGlkIjoiNmIzNjdjMTE1NmRjZGM2YTUyYzA5MzVkMDZmZTY5MTMiLCJ1c2VySWQiOiIxMzY1ODA2OTc0In0=</vt:lpwstr>
  </property>
</Properties>
</file>