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新塘岚轩1幢底商4房屋4年2个月租赁权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307FDB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杭州市市本级公共租赁住房配套用房租赁合同》、《市本级公共租赁房配套用房管理规定》等相关合同文件；并在《成交通知书》、《杭州市市本级公共租赁住房配套用房租赁合同》签署之日起5个工作日内向杭交所指定账户一次性支付首期租金（免租期届满次日起的6个月租金）、履约保证金及交易服务费等交易资金（以到账时间为准）。 </w:t>
      </w:r>
    </w:p>
    <w:p w14:paraId="4EF62DD0">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27DC7FB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杭州市市本级公共租赁住房配套用房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14:paraId="1EC656F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026C513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1B9F23C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1789B056">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（8）出租方与承租方的权利义务详见《杭州市市本级公共租赁住房配套用房租赁合同》样本。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4、标的的交付：标的交付按移交时的现状进行，具体以出租方提供的《杭州市市本级公共租赁住房配套用房租赁合同》样本为准。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w:t>
      </w:r>
      <w:r>
        <w:rPr>
          <w:rFonts w:hint="eastAsia" w:asciiTheme="minorEastAsia" w:hAnsiTheme="minorEastAsia" w:eastAsiaTheme="minorEastAsia"/>
          <w:sz w:val="20"/>
          <w:szCs w:val="20"/>
          <w:highlight w:val="none"/>
          <w:lang w:eastAsia="zh-CN"/>
        </w:rPr>
        <w:t>《杭州市市本级公共租赁住房配套用房租赁合同》</w:t>
      </w:r>
      <w:r>
        <w:rPr>
          <w:rFonts w:hint="eastAsia" w:asciiTheme="minorEastAsia" w:hAnsiTheme="minorEastAsia" w:eastAsiaTheme="minorEastAsia"/>
          <w:sz w:val="20"/>
          <w:szCs w:val="20"/>
          <w:highlight w:val="none"/>
        </w:rPr>
        <w:t>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FB72E77"/>
    <w:rsid w:val="7FBDD061"/>
    <w:rsid w:val="7FFE13C5"/>
    <w:rsid w:val="95FFF3FC"/>
    <w:rsid w:val="A7AC8918"/>
    <w:rsid w:val="B7BFCC69"/>
    <w:rsid w:val="BBFF7D8A"/>
    <w:rsid w:val="BDF7692C"/>
    <w:rsid w:val="DFB7DE4A"/>
    <w:rsid w:val="DFFB05E1"/>
    <w:rsid w:val="F4EF488A"/>
    <w:rsid w:val="F7FD6DEF"/>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2</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2020-04-15T09:14:00Z</dcterms:created>
  <dc:creator>zxy</dc:creator>
  <cp:lastModifiedBy>xuanjn</cp:lastModifiedBy>
  <dcterms:modified xsi:type="dcterms:W3CDTF">2026-05-14T10:34:37Z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