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EA736">
      <w:pPr>
        <w:pStyle w:val="8"/>
        <w:tabs>
          <w:tab w:val="right" w:leader="dot" w:pos="9128"/>
        </w:tabs>
        <w:ind w:left="0" w:firstLine="0" w:firstLineChars="0"/>
        <w:jc w:val="center"/>
        <w:rPr>
          <w:rFonts w:ascii="宋体" w:hAnsi="宋体" w:eastAsia="宋体" w:cs="宋体"/>
          <w:color w:val="auto"/>
          <w:sz w:val="24"/>
          <w:szCs w:val="24"/>
          <w:highlight w:val="none"/>
        </w:rPr>
      </w:pPr>
      <w:r>
        <w:rPr>
          <w:rFonts w:hint="eastAsia" w:ascii="黑体" w:hAnsi="黑体" w:eastAsia="黑体"/>
          <w:color w:val="auto"/>
          <w:sz w:val="32"/>
          <w:szCs w:val="32"/>
          <w:highlight w:val="none"/>
        </w:rPr>
        <w:t>消防泵、喷淋泵操作细则</w:t>
      </w:r>
      <w:bookmarkStart w:id="0" w:name="_Toc6511"/>
    </w:p>
    <w:p w14:paraId="10EB88A8">
      <w:pPr>
        <w:pStyle w:val="2"/>
        <w:numPr>
          <w:ilvl w:val="0"/>
          <w:numId w:val="0"/>
        </w:numPr>
        <w:rPr>
          <w:color w:val="auto"/>
          <w:highlight w:val="none"/>
        </w:rPr>
      </w:pPr>
      <w:bookmarkStart w:id="1" w:name="_Toc4099"/>
      <w:r>
        <w:rPr>
          <w:rFonts w:hint="eastAsia" w:cs="黑体"/>
          <w:color w:val="auto"/>
          <w:highlight w:val="none"/>
        </w:rPr>
        <w:t xml:space="preserve">1 </w:t>
      </w:r>
      <w:r>
        <w:rPr>
          <w:rFonts w:hint="eastAsia"/>
          <w:color w:val="auto"/>
          <w:highlight w:val="none"/>
        </w:rPr>
        <w:t>目的</w:t>
      </w:r>
      <w:bookmarkEnd w:id="0"/>
      <w:bookmarkEnd w:id="1"/>
    </w:p>
    <w:p w14:paraId="4C07FCC6">
      <w:pPr>
        <w:pStyle w:val="4"/>
        <w:ind w:firstLine="489"/>
        <w:rPr>
          <w:color w:val="auto"/>
          <w:highlight w:val="none"/>
        </w:rPr>
      </w:pPr>
      <w:bookmarkStart w:id="2" w:name="_Toc16092"/>
      <w:r>
        <w:rPr>
          <w:rFonts w:hint="eastAsia"/>
          <w:color w:val="auto"/>
          <w:highlight w:val="none"/>
        </w:rPr>
        <w:t>规范公司服务辖区内消防泵、喷淋泵的运行管理，确保消防系统设施设备各项性能良好。</w:t>
      </w:r>
    </w:p>
    <w:p w14:paraId="3F9351E9">
      <w:pPr>
        <w:pStyle w:val="2"/>
        <w:numPr>
          <w:ilvl w:val="0"/>
          <w:numId w:val="0"/>
        </w:numPr>
        <w:rPr>
          <w:color w:val="auto"/>
          <w:highlight w:val="none"/>
        </w:rPr>
      </w:pPr>
      <w:bookmarkStart w:id="3" w:name="_Toc1289"/>
      <w:r>
        <w:rPr>
          <w:rFonts w:hint="eastAsia" w:cs="黑体"/>
          <w:color w:val="auto"/>
          <w:highlight w:val="none"/>
        </w:rPr>
        <w:t xml:space="preserve">2 </w:t>
      </w:r>
      <w:r>
        <w:rPr>
          <w:rFonts w:hint="eastAsia"/>
          <w:color w:val="auto"/>
          <w:highlight w:val="none"/>
        </w:rPr>
        <w:t>范围</w:t>
      </w:r>
      <w:bookmarkEnd w:id="2"/>
      <w:bookmarkEnd w:id="3"/>
      <w:bookmarkStart w:id="4" w:name="_Toc25443"/>
    </w:p>
    <w:p w14:paraId="47009E45">
      <w:pPr>
        <w:ind w:firstLine="489"/>
        <w:rPr>
          <w:color w:val="auto"/>
          <w:highlight w:val="none"/>
        </w:rPr>
      </w:pPr>
      <w:r>
        <w:rPr>
          <w:rFonts w:hint="eastAsia"/>
          <w:color w:val="auto"/>
          <w:highlight w:val="none"/>
        </w:rPr>
        <w:t>适用于公司服务辖区内商写业态项目消防泵、喷淋泵的操作维修保养。</w:t>
      </w:r>
    </w:p>
    <w:p w14:paraId="7BD07E35">
      <w:pPr>
        <w:pStyle w:val="2"/>
        <w:numPr>
          <w:ilvl w:val="0"/>
          <w:numId w:val="0"/>
        </w:numPr>
        <w:rPr>
          <w:color w:val="auto"/>
          <w:highlight w:val="none"/>
        </w:rPr>
      </w:pPr>
      <w:bookmarkStart w:id="5" w:name="_Toc29826"/>
      <w:r>
        <w:rPr>
          <w:rFonts w:hint="eastAsia" w:cs="黑体"/>
          <w:color w:val="auto"/>
          <w:highlight w:val="none"/>
        </w:rPr>
        <w:t xml:space="preserve">3 </w:t>
      </w:r>
      <w:r>
        <w:rPr>
          <w:rFonts w:hint="eastAsia"/>
          <w:color w:val="auto"/>
          <w:highlight w:val="none"/>
        </w:rPr>
        <w:t>规范性引用文件</w:t>
      </w:r>
      <w:bookmarkEnd w:id="4"/>
      <w:bookmarkEnd w:id="5"/>
    </w:p>
    <w:p w14:paraId="5BA1014E">
      <w:pPr>
        <w:ind w:firstLine="489"/>
        <w:rPr>
          <w:color w:val="auto"/>
          <w:highlight w:val="none"/>
        </w:rPr>
      </w:pPr>
      <w:r>
        <w:rPr>
          <w:rFonts w:hint="eastAsia"/>
          <w:color w:val="auto"/>
          <w:highlight w:val="none"/>
        </w:rPr>
        <w:t>无</w:t>
      </w:r>
    </w:p>
    <w:p w14:paraId="0D9FB1A7">
      <w:pPr>
        <w:pStyle w:val="2"/>
        <w:numPr>
          <w:ilvl w:val="0"/>
          <w:numId w:val="0"/>
        </w:numPr>
        <w:rPr>
          <w:color w:val="auto"/>
          <w:highlight w:val="none"/>
        </w:rPr>
      </w:pPr>
      <w:bookmarkStart w:id="6" w:name="_Toc21866"/>
      <w:bookmarkStart w:id="7" w:name="_Toc22486"/>
      <w:r>
        <w:rPr>
          <w:rFonts w:hint="eastAsia" w:cs="黑体"/>
          <w:color w:val="auto"/>
          <w:highlight w:val="none"/>
        </w:rPr>
        <w:t xml:space="preserve">4 </w:t>
      </w:r>
      <w:r>
        <w:rPr>
          <w:rFonts w:hint="eastAsia"/>
          <w:color w:val="auto"/>
          <w:highlight w:val="none"/>
        </w:rPr>
        <w:t>术语和定义</w:t>
      </w:r>
      <w:bookmarkEnd w:id="6"/>
      <w:bookmarkEnd w:id="7"/>
    </w:p>
    <w:p w14:paraId="61C2845D">
      <w:pPr>
        <w:ind w:firstLine="489"/>
        <w:rPr>
          <w:color w:val="auto"/>
          <w:highlight w:val="none"/>
        </w:rPr>
      </w:pPr>
      <w:r>
        <w:rPr>
          <w:rFonts w:hint="eastAsia"/>
          <w:color w:val="auto"/>
          <w:highlight w:val="none"/>
        </w:rPr>
        <w:t>无</w:t>
      </w:r>
    </w:p>
    <w:p w14:paraId="38C20F52">
      <w:pPr>
        <w:pStyle w:val="2"/>
        <w:numPr>
          <w:ilvl w:val="0"/>
          <w:numId w:val="0"/>
        </w:numPr>
        <w:rPr>
          <w:color w:val="auto"/>
          <w:highlight w:val="none"/>
        </w:rPr>
      </w:pPr>
      <w:bookmarkStart w:id="8" w:name="_Toc5100"/>
      <w:r>
        <w:rPr>
          <w:rFonts w:hint="eastAsia"/>
          <w:color w:val="auto"/>
          <w:highlight w:val="none"/>
        </w:rPr>
        <w:t>5 主要职责</w:t>
      </w:r>
      <w:bookmarkEnd w:id="8"/>
    </w:p>
    <w:p w14:paraId="48251D88">
      <w:pPr>
        <w:pStyle w:val="3"/>
        <w:numPr>
          <w:ilvl w:val="1"/>
          <w:numId w:val="0"/>
        </w:numPr>
        <w:rPr>
          <w:rFonts w:ascii="宋体" w:hAnsi="宋体" w:eastAsia="宋体"/>
          <w:color w:val="auto"/>
          <w:highlight w:val="none"/>
        </w:rPr>
      </w:pPr>
      <w:bookmarkStart w:id="9" w:name="_Toc58"/>
      <w:bookmarkStart w:id="10" w:name="_Toc8734"/>
      <w:bookmarkStart w:id="11" w:name="_Toc5352"/>
      <w:bookmarkStart w:id="12" w:name="_Toc10024"/>
      <w:bookmarkStart w:id="13" w:name="_Toc3002"/>
      <w:bookmarkStart w:id="14" w:name="_Toc17413"/>
      <w:bookmarkStart w:id="15" w:name="_Toc24811"/>
      <w:r>
        <w:rPr>
          <w:rFonts w:hint="eastAsia" w:ascii="宋体" w:hAnsi="宋体" w:eastAsia="宋体"/>
          <w:color w:val="auto"/>
          <w:highlight w:val="none"/>
        </w:rPr>
        <w:t xml:space="preserve">5.1 </w:t>
      </w:r>
      <w:bookmarkEnd w:id="9"/>
      <w:bookmarkEnd w:id="10"/>
      <w:bookmarkEnd w:id="11"/>
      <w:r>
        <w:rPr>
          <w:rFonts w:hint="eastAsia" w:ascii="宋体" w:hAnsi="宋体" w:eastAsia="宋体"/>
          <w:color w:val="auto"/>
          <w:highlight w:val="none"/>
        </w:rPr>
        <w:t>工程负责人负责检查消防泵、喷淋泵设施设备运行管理工作的实施情况。</w:t>
      </w:r>
      <w:bookmarkEnd w:id="12"/>
      <w:bookmarkEnd w:id="13"/>
      <w:bookmarkEnd w:id="14"/>
      <w:bookmarkEnd w:id="15"/>
    </w:p>
    <w:p w14:paraId="55B4F0BC">
      <w:pPr>
        <w:pStyle w:val="3"/>
        <w:numPr>
          <w:ilvl w:val="1"/>
          <w:numId w:val="0"/>
        </w:numPr>
        <w:rPr>
          <w:rFonts w:ascii="宋体" w:hAnsi="宋体" w:eastAsia="宋体"/>
          <w:color w:val="auto"/>
          <w:highlight w:val="none"/>
        </w:rPr>
      </w:pPr>
      <w:bookmarkStart w:id="16" w:name="_Toc10175"/>
      <w:bookmarkStart w:id="17" w:name="_Toc10213"/>
      <w:bookmarkStart w:id="18" w:name="_Toc3688"/>
      <w:bookmarkStart w:id="19" w:name="_Toc16715"/>
      <w:bookmarkStart w:id="20" w:name="_Toc27100"/>
      <w:bookmarkStart w:id="21" w:name="_Toc4377"/>
      <w:bookmarkStart w:id="22" w:name="_Toc24449"/>
      <w:r>
        <w:rPr>
          <w:rFonts w:hint="eastAsia" w:ascii="宋体" w:hAnsi="宋体" w:eastAsia="宋体"/>
          <w:color w:val="auto"/>
          <w:highlight w:val="none"/>
        </w:rPr>
        <w:t xml:space="preserve">5.2 </w:t>
      </w:r>
      <w:bookmarkEnd w:id="16"/>
      <w:bookmarkEnd w:id="17"/>
      <w:bookmarkEnd w:id="18"/>
      <w:bookmarkStart w:id="23" w:name="_Toc24029"/>
      <w:r>
        <w:rPr>
          <w:rFonts w:hint="eastAsia" w:ascii="宋体" w:hAnsi="宋体" w:eastAsia="宋体"/>
          <w:color w:val="auto"/>
          <w:highlight w:val="none"/>
        </w:rPr>
        <w:t>综合维修工（弱电工程）具体负责消防泵、喷淋泵设施设备的管理。</w:t>
      </w:r>
      <w:bookmarkEnd w:id="19"/>
      <w:bookmarkEnd w:id="20"/>
      <w:bookmarkEnd w:id="21"/>
      <w:bookmarkEnd w:id="22"/>
    </w:p>
    <w:bookmarkEnd w:id="23"/>
    <w:p w14:paraId="282E741C">
      <w:pPr>
        <w:pStyle w:val="2"/>
        <w:numPr>
          <w:ilvl w:val="0"/>
          <w:numId w:val="0"/>
        </w:numPr>
        <w:rPr>
          <w:color w:val="auto"/>
          <w:highlight w:val="none"/>
        </w:rPr>
      </w:pPr>
      <w:bookmarkStart w:id="24" w:name="_Toc12917"/>
      <w:r>
        <w:rPr>
          <w:rFonts w:hint="eastAsia"/>
          <w:color w:val="auto"/>
          <w:highlight w:val="none"/>
        </w:rPr>
        <w:t>6 工作程序</w:t>
      </w:r>
      <w:bookmarkEnd w:id="24"/>
    </w:p>
    <w:p w14:paraId="73C76CD8">
      <w:pPr>
        <w:pStyle w:val="2"/>
        <w:numPr>
          <w:ilvl w:val="1"/>
          <w:numId w:val="0"/>
        </w:numPr>
        <w:tabs>
          <w:tab w:val="left" w:pos="420"/>
        </w:tabs>
        <w:rPr>
          <w:color w:val="auto"/>
          <w:highlight w:val="none"/>
        </w:rPr>
      </w:pPr>
      <w:bookmarkStart w:id="25" w:name="_Toc21689"/>
      <w:r>
        <w:rPr>
          <w:rFonts w:hint="eastAsia"/>
          <w:color w:val="auto"/>
          <w:highlight w:val="none"/>
        </w:rPr>
        <w:t>6.1 定期巡检及检查标准</w:t>
      </w:r>
      <w:bookmarkEnd w:id="25"/>
    </w:p>
    <w:p w14:paraId="6B62AFDD">
      <w:pPr>
        <w:pStyle w:val="3"/>
        <w:numPr>
          <w:ilvl w:val="1"/>
          <w:numId w:val="0"/>
        </w:numPr>
        <w:rPr>
          <w:rFonts w:hint="eastAsia" w:ascii="宋体" w:hAnsi="宋体" w:eastAsia="宋体"/>
          <w:color w:val="auto"/>
          <w:highlight w:val="none"/>
        </w:rPr>
      </w:pPr>
      <w:r>
        <w:rPr>
          <w:rFonts w:hint="eastAsia" w:ascii="宋体" w:hAnsi="宋体" w:eastAsia="宋体"/>
          <w:color w:val="auto"/>
          <w:highlight w:val="none"/>
        </w:rPr>
        <w:t>6.1.1 每日应对稳压泵的停泵启泵压力和启泵次数等进行检查和记录运行情况；每周应模拟消防水泵自动控制的条件自动启动消防水泵运转一次，且应自动记录自动巡检情况，每月应检测记录；每月应手动启动消防水泵运转一次，并应检查供电电源的情况；以保持正常运转；每季度进行一次“自动、手动”操作检查；每年进行一次全面检查测试,止回阀动作灵敏可靠，反向不泄漏。水流开关、水压力开关动作准确稳定。设备巡查情况记录在《给排水设施设备运行管理细则》中的《消防泵房巡检记录表》。消火栓配置齐备，各配件功能良好，消防水泵控制柜指示正常,所有检查测运行需有维保资料记录。</w:t>
      </w:r>
      <w:bookmarkStart w:id="27" w:name="_GoBack"/>
      <w:bookmarkEnd w:id="27"/>
    </w:p>
    <w:p w14:paraId="01B9064D">
      <w:pPr>
        <w:pStyle w:val="3"/>
        <w:numPr>
          <w:ilvl w:val="1"/>
          <w:numId w:val="0"/>
        </w:numPr>
        <w:rPr>
          <w:rFonts w:ascii="宋体" w:hAnsi="宋体" w:eastAsia="宋体"/>
          <w:color w:val="auto"/>
          <w:highlight w:val="none"/>
        </w:rPr>
      </w:pPr>
      <w:r>
        <w:rPr>
          <w:rFonts w:hint="eastAsia" w:ascii="宋体" w:hAnsi="宋体" w:eastAsia="宋体"/>
          <w:color w:val="auto"/>
          <w:highlight w:val="none"/>
        </w:rPr>
        <w:t>6.1.2 高位消防水箱的设置高度应保证最不利点消火栓静水压力。当建筑高度不超过100米时，高层建筑最不利点消火栓静水压力不应低于0.07MPa；喷淋系统要保证最不利喷头的工作压力不低于0.05MPa；稳压罐无漏气漏水现象，压力显示正确。</w:t>
      </w:r>
    </w:p>
    <w:p w14:paraId="5972D0CE">
      <w:pPr>
        <w:pStyle w:val="3"/>
        <w:numPr>
          <w:ilvl w:val="1"/>
          <w:numId w:val="0"/>
        </w:numPr>
        <w:rPr>
          <w:rFonts w:ascii="宋体" w:hAnsi="宋体" w:eastAsia="宋体"/>
          <w:color w:val="auto"/>
          <w:highlight w:val="none"/>
        </w:rPr>
      </w:pPr>
      <w:r>
        <w:rPr>
          <w:rFonts w:hint="eastAsia" w:ascii="宋体" w:hAnsi="宋体" w:eastAsia="宋体"/>
          <w:color w:val="auto"/>
          <w:highlight w:val="none"/>
        </w:rPr>
        <w:t>6.1.3 消防结合器应标明是供应消火栓还是供应喷淋，明确具体的控制区域，保证系统出水官网及管道阀门常开，水泵类别、水流方向、阀门状态、配电柜标识清晰。</w:t>
      </w:r>
    </w:p>
    <w:p w14:paraId="6FCBE443">
      <w:pPr>
        <w:pStyle w:val="3"/>
        <w:numPr>
          <w:ilvl w:val="1"/>
          <w:numId w:val="0"/>
        </w:numPr>
        <w:rPr>
          <w:rFonts w:ascii="宋体" w:hAnsi="宋体" w:eastAsia="宋体"/>
          <w:color w:val="auto"/>
          <w:highlight w:val="none"/>
        </w:rPr>
      </w:pPr>
      <w:r>
        <w:rPr>
          <w:rFonts w:hint="eastAsia" w:ascii="宋体" w:hAnsi="宋体" w:eastAsia="宋体"/>
          <w:color w:val="auto"/>
          <w:highlight w:val="none"/>
        </w:rPr>
        <w:t>6.1.4 采用泳池作为消防储水池的消火栓和喷淋系统，在泳池清洗换水和维修停用期间，应有其他备用取水的应急措施。</w:t>
      </w:r>
    </w:p>
    <w:p w14:paraId="2E2428E2">
      <w:pPr>
        <w:pStyle w:val="2"/>
        <w:keepLines w:val="0"/>
        <w:numPr>
          <w:ilvl w:val="1"/>
          <w:numId w:val="0"/>
        </w:numPr>
        <w:tabs>
          <w:tab w:val="left" w:pos="420"/>
        </w:tabs>
        <w:rPr>
          <w:color w:val="auto"/>
          <w:highlight w:val="none"/>
        </w:rPr>
      </w:pPr>
      <w:bookmarkStart w:id="26" w:name="_Toc12083"/>
      <w:r>
        <w:rPr>
          <w:rFonts w:hint="eastAsia"/>
          <w:color w:val="auto"/>
          <w:highlight w:val="none"/>
        </w:rPr>
        <w:t>6.2 常见故障分析及处置方法。</w:t>
      </w:r>
      <w:bookmarkEnd w:id="26"/>
    </w:p>
    <w:tbl>
      <w:tblPr>
        <w:tblStyle w:val="9"/>
        <w:tblpPr w:leftFromText="180" w:rightFromText="180" w:vertAnchor="text" w:horzAnchor="page" w:tblpXSpec="center" w:tblpY="160"/>
        <w:tblOverlap w:val="never"/>
        <w:tblW w:w="8647" w:type="dxa"/>
        <w:jc w:val="center"/>
        <w:tblLayout w:type="fixed"/>
        <w:tblCellMar>
          <w:top w:w="0" w:type="dxa"/>
          <w:left w:w="10" w:type="dxa"/>
          <w:bottom w:w="0" w:type="dxa"/>
          <w:right w:w="10" w:type="dxa"/>
        </w:tblCellMar>
      </w:tblPr>
      <w:tblGrid>
        <w:gridCol w:w="808"/>
        <w:gridCol w:w="1460"/>
        <w:gridCol w:w="1560"/>
        <w:gridCol w:w="2409"/>
        <w:gridCol w:w="2410"/>
      </w:tblGrid>
      <w:tr w14:paraId="2828A7E5">
        <w:trPr>
          <w:trHeight w:val="454" w:hRule="atLeast"/>
          <w:jc w:val="center"/>
        </w:trPr>
        <w:tc>
          <w:tcPr>
            <w:tcW w:w="808" w:type="dxa"/>
            <w:tcBorders>
              <w:top w:val="single" w:color="auto" w:sz="2" w:space="0"/>
              <w:left w:val="single" w:color="auto" w:sz="2" w:space="0"/>
              <w:bottom w:val="single" w:color="auto" w:sz="2" w:space="0"/>
              <w:right w:val="single" w:color="auto" w:sz="2" w:space="0"/>
            </w:tcBorders>
            <w:vAlign w:val="center"/>
          </w:tcPr>
          <w:p w14:paraId="1B45717E">
            <w:pPr>
              <w:ind w:firstLine="0" w:firstLineChars="0"/>
              <w:jc w:val="center"/>
              <w:rPr>
                <w:color w:val="auto"/>
                <w:sz w:val="21"/>
                <w:szCs w:val="21"/>
                <w:highlight w:val="none"/>
              </w:rPr>
            </w:pPr>
            <w:r>
              <w:rPr>
                <w:rFonts w:hint="eastAsia"/>
                <w:color w:val="auto"/>
                <w:sz w:val="21"/>
                <w:szCs w:val="21"/>
                <w:highlight w:val="none"/>
              </w:rPr>
              <w:t>序号</w:t>
            </w:r>
          </w:p>
        </w:tc>
        <w:tc>
          <w:tcPr>
            <w:tcW w:w="1460" w:type="dxa"/>
            <w:tcBorders>
              <w:top w:val="single" w:color="auto" w:sz="2" w:space="0"/>
              <w:left w:val="single" w:color="auto" w:sz="2" w:space="0"/>
              <w:bottom w:val="single" w:color="auto" w:sz="2" w:space="0"/>
              <w:right w:val="single" w:color="auto" w:sz="2" w:space="0"/>
            </w:tcBorders>
            <w:vAlign w:val="center"/>
          </w:tcPr>
          <w:p w14:paraId="5CBB00D4">
            <w:pPr>
              <w:ind w:firstLine="0" w:firstLineChars="0"/>
              <w:jc w:val="center"/>
              <w:rPr>
                <w:color w:val="auto"/>
                <w:sz w:val="21"/>
                <w:szCs w:val="21"/>
                <w:highlight w:val="none"/>
              </w:rPr>
            </w:pPr>
            <w:r>
              <w:rPr>
                <w:rFonts w:hint="eastAsia"/>
                <w:color w:val="auto"/>
                <w:sz w:val="21"/>
                <w:szCs w:val="21"/>
                <w:highlight w:val="none"/>
              </w:rPr>
              <w:t>故障系统</w:t>
            </w:r>
          </w:p>
        </w:tc>
        <w:tc>
          <w:tcPr>
            <w:tcW w:w="1560" w:type="dxa"/>
            <w:tcBorders>
              <w:top w:val="single" w:color="auto" w:sz="2" w:space="0"/>
              <w:left w:val="single" w:color="auto" w:sz="2" w:space="0"/>
              <w:bottom w:val="single" w:color="auto" w:sz="2" w:space="0"/>
              <w:right w:val="single" w:color="auto" w:sz="2" w:space="0"/>
            </w:tcBorders>
            <w:vAlign w:val="center"/>
          </w:tcPr>
          <w:p w14:paraId="1415BA83">
            <w:pPr>
              <w:ind w:firstLine="0" w:firstLineChars="0"/>
              <w:jc w:val="center"/>
              <w:rPr>
                <w:color w:val="auto"/>
                <w:sz w:val="21"/>
                <w:szCs w:val="21"/>
                <w:highlight w:val="none"/>
              </w:rPr>
            </w:pPr>
            <w:r>
              <w:rPr>
                <w:rFonts w:hint="eastAsia"/>
                <w:color w:val="auto"/>
                <w:sz w:val="21"/>
                <w:szCs w:val="21"/>
                <w:highlight w:val="none"/>
              </w:rPr>
              <w:t>故障名称</w:t>
            </w:r>
          </w:p>
        </w:tc>
        <w:tc>
          <w:tcPr>
            <w:tcW w:w="2409" w:type="dxa"/>
            <w:tcBorders>
              <w:top w:val="single" w:color="auto" w:sz="2" w:space="0"/>
              <w:left w:val="single" w:color="auto" w:sz="2" w:space="0"/>
              <w:bottom w:val="single" w:color="auto" w:sz="2" w:space="0"/>
              <w:right w:val="single" w:color="auto" w:sz="2" w:space="0"/>
            </w:tcBorders>
            <w:vAlign w:val="center"/>
          </w:tcPr>
          <w:p w14:paraId="6F694F43">
            <w:pPr>
              <w:ind w:firstLine="0" w:firstLineChars="0"/>
              <w:jc w:val="center"/>
              <w:rPr>
                <w:color w:val="auto"/>
                <w:sz w:val="21"/>
                <w:szCs w:val="21"/>
                <w:highlight w:val="none"/>
              </w:rPr>
            </w:pPr>
            <w:r>
              <w:rPr>
                <w:rFonts w:hint="eastAsia"/>
                <w:color w:val="auto"/>
                <w:sz w:val="21"/>
                <w:szCs w:val="21"/>
                <w:highlight w:val="none"/>
              </w:rPr>
              <w:t>常见原因</w:t>
            </w:r>
          </w:p>
        </w:tc>
        <w:tc>
          <w:tcPr>
            <w:tcW w:w="2410" w:type="dxa"/>
            <w:tcBorders>
              <w:top w:val="single" w:color="auto" w:sz="2" w:space="0"/>
              <w:left w:val="single" w:color="auto" w:sz="2" w:space="0"/>
              <w:bottom w:val="single" w:color="auto" w:sz="2" w:space="0"/>
              <w:right w:val="single" w:color="auto" w:sz="2" w:space="0"/>
            </w:tcBorders>
            <w:vAlign w:val="center"/>
          </w:tcPr>
          <w:p w14:paraId="565DDBA0">
            <w:pPr>
              <w:ind w:firstLine="0" w:firstLineChars="0"/>
              <w:jc w:val="center"/>
              <w:rPr>
                <w:color w:val="auto"/>
                <w:sz w:val="21"/>
                <w:szCs w:val="21"/>
                <w:highlight w:val="none"/>
              </w:rPr>
            </w:pPr>
            <w:r>
              <w:rPr>
                <w:rFonts w:hint="eastAsia"/>
                <w:color w:val="auto"/>
                <w:sz w:val="21"/>
                <w:szCs w:val="21"/>
                <w:highlight w:val="none"/>
              </w:rPr>
              <w:t>处置方法</w:t>
            </w:r>
          </w:p>
        </w:tc>
      </w:tr>
      <w:tr w14:paraId="2D689DFB">
        <w:tblPrEx>
          <w:tblCellMar>
            <w:top w:w="0" w:type="dxa"/>
            <w:left w:w="10" w:type="dxa"/>
            <w:bottom w:w="0" w:type="dxa"/>
            <w:right w:w="10" w:type="dxa"/>
          </w:tblCellMar>
        </w:tblPrEx>
        <w:trPr>
          <w:trHeight w:val="454" w:hRule="atLeast"/>
          <w:jc w:val="center"/>
        </w:trPr>
        <w:tc>
          <w:tcPr>
            <w:tcW w:w="808" w:type="dxa"/>
            <w:tcBorders>
              <w:top w:val="single" w:color="auto" w:sz="2" w:space="0"/>
              <w:left w:val="single" w:color="auto" w:sz="2" w:space="0"/>
              <w:bottom w:val="single" w:color="auto" w:sz="2" w:space="0"/>
              <w:right w:val="single" w:color="auto" w:sz="2" w:space="0"/>
            </w:tcBorders>
            <w:vAlign w:val="center"/>
          </w:tcPr>
          <w:p w14:paraId="6DEF112E">
            <w:pPr>
              <w:spacing w:line="260" w:lineRule="exact"/>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460" w:type="dxa"/>
            <w:vMerge w:val="restart"/>
            <w:tcBorders>
              <w:top w:val="single" w:color="auto" w:sz="2" w:space="0"/>
              <w:left w:val="single" w:color="auto" w:sz="2" w:space="0"/>
              <w:bottom w:val="single" w:color="auto" w:sz="2" w:space="0"/>
              <w:right w:val="single" w:color="auto" w:sz="2" w:space="0"/>
            </w:tcBorders>
            <w:vAlign w:val="center"/>
          </w:tcPr>
          <w:p w14:paraId="07D3D94A">
            <w:pPr>
              <w:spacing w:line="260" w:lineRule="exact"/>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消火栓</w:t>
            </w:r>
          </w:p>
        </w:tc>
        <w:tc>
          <w:tcPr>
            <w:tcW w:w="1560" w:type="dxa"/>
            <w:tcBorders>
              <w:top w:val="single" w:color="auto" w:sz="2" w:space="0"/>
              <w:left w:val="single" w:color="auto" w:sz="2" w:space="0"/>
              <w:bottom w:val="single" w:color="auto" w:sz="2" w:space="0"/>
              <w:right w:val="single" w:color="auto" w:sz="2" w:space="0"/>
            </w:tcBorders>
            <w:vAlign w:val="center"/>
          </w:tcPr>
          <w:p w14:paraId="155152AA">
            <w:pPr>
              <w:spacing w:line="260" w:lineRule="exact"/>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打开消火栓</w:t>
            </w:r>
          </w:p>
          <w:p w14:paraId="0259E8E2">
            <w:pPr>
              <w:spacing w:line="260" w:lineRule="exact"/>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阀门无水</w:t>
            </w:r>
          </w:p>
        </w:tc>
        <w:tc>
          <w:tcPr>
            <w:tcW w:w="2409" w:type="dxa"/>
            <w:tcBorders>
              <w:top w:val="single" w:color="auto" w:sz="2" w:space="0"/>
              <w:left w:val="single" w:color="auto" w:sz="2" w:space="0"/>
              <w:bottom w:val="single" w:color="auto" w:sz="2" w:space="0"/>
              <w:right w:val="single" w:color="auto" w:sz="2" w:space="0"/>
            </w:tcBorders>
            <w:vAlign w:val="center"/>
          </w:tcPr>
          <w:p w14:paraId="0392389F">
            <w:pPr>
              <w:spacing w:line="260" w:lineRule="exact"/>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可能管道中有泄漏点，使管道无水；</w:t>
            </w:r>
          </w:p>
          <w:p w14:paraId="70059D68">
            <w:pPr>
              <w:spacing w:line="260" w:lineRule="exact"/>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压力表损坏，稳压系统不起作用。</w:t>
            </w:r>
          </w:p>
        </w:tc>
        <w:tc>
          <w:tcPr>
            <w:tcW w:w="2410" w:type="dxa"/>
            <w:tcBorders>
              <w:top w:val="single" w:color="auto" w:sz="2" w:space="0"/>
              <w:left w:val="single" w:color="auto" w:sz="2" w:space="0"/>
              <w:bottom w:val="single" w:color="auto" w:sz="2" w:space="0"/>
              <w:right w:val="single" w:color="auto" w:sz="2" w:space="0"/>
            </w:tcBorders>
            <w:vAlign w:val="center"/>
          </w:tcPr>
          <w:p w14:paraId="078A2F63">
            <w:pPr>
              <w:spacing w:line="260" w:lineRule="exact"/>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检查泄漏点、压力表，修复或调整稳压装置。</w:t>
            </w:r>
          </w:p>
        </w:tc>
      </w:tr>
      <w:tr w14:paraId="6F745894">
        <w:tblPrEx>
          <w:tblCellMar>
            <w:top w:w="0" w:type="dxa"/>
            <w:left w:w="10" w:type="dxa"/>
            <w:bottom w:w="0" w:type="dxa"/>
            <w:right w:w="10" w:type="dxa"/>
          </w:tblCellMar>
        </w:tblPrEx>
        <w:trPr>
          <w:trHeight w:val="686" w:hRule="atLeast"/>
          <w:jc w:val="center"/>
        </w:trPr>
        <w:tc>
          <w:tcPr>
            <w:tcW w:w="808" w:type="dxa"/>
            <w:tcBorders>
              <w:top w:val="single" w:color="auto" w:sz="2" w:space="0"/>
              <w:left w:val="single" w:color="auto" w:sz="2" w:space="0"/>
              <w:bottom w:val="single" w:color="auto" w:sz="2" w:space="0"/>
              <w:right w:val="single" w:color="auto" w:sz="2" w:space="0"/>
            </w:tcBorders>
            <w:vAlign w:val="center"/>
          </w:tcPr>
          <w:p w14:paraId="331D05A3">
            <w:pPr>
              <w:spacing w:line="260" w:lineRule="exact"/>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460" w:type="dxa"/>
            <w:vMerge w:val="continue"/>
            <w:tcBorders>
              <w:top w:val="single" w:color="auto" w:sz="2" w:space="0"/>
              <w:left w:val="single" w:color="auto" w:sz="2" w:space="0"/>
              <w:bottom w:val="single" w:color="auto" w:sz="2" w:space="0"/>
              <w:right w:val="single" w:color="auto" w:sz="2" w:space="0"/>
            </w:tcBorders>
            <w:vAlign w:val="center"/>
          </w:tcPr>
          <w:p w14:paraId="342AB7D0">
            <w:pPr>
              <w:spacing w:line="260" w:lineRule="exact"/>
              <w:ind w:firstLine="369"/>
              <w:jc w:val="center"/>
              <w:rPr>
                <w:rFonts w:ascii="宋体" w:hAnsi="宋体" w:cs="宋体"/>
                <w:color w:val="auto"/>
                <w:sz w:val="18"/>
                <w:szCs w:val="18"/>
                <w:highlight w:val="none"/>
              </w:rPr>
            </w:pPr>
          </w:p>
        </w:tc>
        <w:tc>
          <w:tcPr>
            <w:tcW w:w="1560" w:type="dxa"/>
            <w:tcBorders>
              <w:top w:val="single" w:color="auto" w:sz="2" w:space="0"/>
              <w:left w:val="single" w:color="auto" w:sz="2" w:space="0"/>
              <w:bottom w:val="single" w:color="auto" w:sz="2" w:space="0"/>
              <w:right w:val="single" w:color="auto" w:sz="2" w:space="0"/>
            </w:tcBorders>
            <w:vAlign w:val="center"/>
          </w:tcPr>
          <w:p w14:paraId="41B58D18">
            <w:pPr>
              <w:spacing w:line="260" w:lineRule="exact"/>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按下手动按钮</w:t>
            </w:r>
          </w:p>
          <w:p w14:paraId="1DB8C325">
            <w:pPr>
              <w:spacing w:line="260" w:lineRule="exact"/>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不能联动启动消防泵</w:t>
            </w:r>
          </w:p>
        </w:tc>
        <w:tc>
          <w:tcPr>
            <w:tcW w:w="2409" w:type="dxa"/>
            <w:tcBorders>
              <w:top w:val="single" w:color="auto" w:sz="2" w:space="0"/>
              <w:left w:val="single" w:color="auto" w:sz="2" w:space="0"/>
              <w:bottom w:val="single" w:color="auto" w:sz="2" w:space="0"/>
              <w:right w:val="single" w:color="auto" w:sz="2" w:space="0"/>
            </w:tcBorders>
            <w:vAlign w:val="center"/>
          </w:tcPr>
          <w:p w14:paraId="24A8E5D5">
            <w:pPr>
              <w:spacing w:line="260" w:lineRule="exact"/>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手动按钮接线松动；按钮本身损坏；</w:t>
            </w:r>
          </w:p>
          <w:p w14:paraId="15643938">
            <w:pPr>
              <w:spacing w:line="260" w:lineRule="exact"/>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联动控制柜本身故障；消防泵启动柜故障或连接松动，消防泵本身故障。</w:t>
            </w:r>
          </w:p>
        </w:tc>
        <w:tc>
          <w:tcPr>
            <w:tcW w:w="2410" w:type="dxa"/>
            <w:tcBorders>
              <w:top w:val="single" w:color="auto" w:sz="2" w:space="0"/>
              <w:left w:val="single" w:color="auto" w:sz="2" w:space="0"/>
              <w:bottom w:val="single" w:color="auto" w:sz="2" w:space="0"/>
              <w:right w:val="single" w:color="auto" w:sz="2" w:space="0"/>
            </w:tcBorders>
            <w:vAlign w:val="center"/>
          </w:tcPr>
          <w:p w14:paraId="4626121F">
            <w:pPr>
              <w:spacing w:line="260" w:lineRule="exact"/>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检查各设备接线、设备本身器件；</w:t>
            </w:r>
          </w:p>
          <w:p w14:paraId="7B3F9CEC">
            <w:pPr>
              <w:spacing w:line="260" w:lineRule="exact"/>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检查泵本身电气、机构部分有无故障并排除。</w:t>
            </w:r>
          </w:p>
        </w:tc>
      </w:tr>
      <w:tr w14:paraId="330C342B">
        <w:tblPrEx>
          <w:tblCellMar>
            <w:top w:w="0" w:type="dxa"/>
            <w:left w:w="10" w:type="dxa"/>
            <w:bottom w:w="0" w:type="dxa"/>
            <w:right w:w="10" w:type="dxa"/>
          </w:tblCellMar>
        </w:tblPrEx>
        <w:trPr>
          <w:trHeight w:val="917" w:hRule="atLeast"/>
          <w:jc w:val="center"/>
        </w:trPr>
        <w:tc>
          <w:tcPr>
            <w:tcW w:w="808" w:type="dxa"/>
            <w:tcBorders>
              <w:top w:val="single" w:color="auto" w:sz="2" w:space="0"/>
              <w:left w:val="single" w:color="auto" w:sz="2" w:space="0"/>
              <w:bottom w:val="single" w:color="auto" w:sz="2" w:space="0"/>
              <w:right w:val="single" w:color="auto" w:sz="2" w:space="0"/>
            </w:tcBorders>
            <w:vAlign w:val="center"/>
          </w:tcPr>
          <w:p w14:paraId="44B08FFD">
            <w:pPr>
              <w:spacing w:line="260" w:lineRule="exact"/>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460" w:type="dxa"/>
            <w:vMerge w:val="restart"/>
            <w:tcBorders>
              <w:top w:val="single" w:color="auto" w:sz="2" w:space="0"/>
              <w:left w:val="single" w:color="auto" w:sz="2" w:space="0"/>
              <w:right w:val="single" w:color="auto" w:sz="2" w:space="0"/>
            </w:tcBorders>
            <w:vAlign w:val="center"/>
          </w:tcPr>
          <w:p w14:paraId="11449858">
            <w:pPr>
              <w:spacing w:line="260" w:lineRule="exact"/>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喷淋系统</w:t>
            </w:r>
          </w:p>
        </w:tc>
        <w:tc>
          <w:tcPr>
            <w:tcW w:w="1560" w:type="dxa"/>
            <w:tcBorders>
              <w:top w:val="single" w:color="auto" w:sz="2" w:space="0"/>
              <w:left w:val="single" w:color="auto" w:sz="2" w:space="0"/>
              <w:bottom w:val="single" w:color="auto" w:sz="2" w:space="0"/>
              <w:right w:val="single" w:color="auto" w:sz="2" w:space="0"/>
            </w:tcBorders>
            <w:vAlign w:val="center"/>
          </w:tcPr>
          <w:p w14:paraId="4D1B9007">
            <w:pPr>
              <w:spacing w:line="260" w:lineRule="exact"/>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稳压装置频繁启动</w:t>
            </w:r>
          </w:p>
        </w:tc>
        <w:tc>
          <w:tcPr>
            <w:tcW w:w="2409" w:type="dxa"/>
            <w:tcBorders>
              <w:top w:val="single" w:color="auto" w:sz="2" w:space="0"/>
              <w:left w:val="single" w:color="auto" w:sz="2" w:space="0"/>
              <w:bottom w:val="single" w:color="auto" w:sz="2" w:space="0"/>
              <w:right w:val="single" w:color="auto" w:sz="2" w:space="0"/>
            </w:tcBorders>
            <w:vAlign w:val="center"/>
          </w:tcPr>
          <w:p w14:paraId="63DA5748">
            <w:pPr>
              <w:spacing w:line="260" w:lineRule="exact"/>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湿式装置前端有泄漏;水暖件或连接处泄漏、闭式喷头泄漏、末端泄放装置没有关好。</w:t>
            </w:r>
          </w:p>
        </w:tc>
        <w:tc>
          <w:tcPr>
            <w:tcW w:w="2410" w:type="dxa"/>
            <w:tcBorders>
              <w:top w:val="single" w:color="auto" w:sz="2" w:space="0"/>
              <w:left w:val="single" w:color="auto" w:sz="2" w:space="0"/>
              <w:bottom w:val="single" w:color="auto" w:sz="2" w:space="0"/>
              <w:right w:val="single" w:color="auto" w:sz="2" w:space="0"/>
            </w:tcBorders>
            <w:vAlign w:val="center"/>
          </w:tcPr>
          <w:p w14:paraId="13362502">
            <w:pPr>
              <w:spacing w:line="260" w:lineRule="exact"/>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检查各水暖件、喷头和末端泄放装置，找出泄漏点进行处理.</w:t>
            </w:r>
          </w:p>
        </w:tc>
      </w:tr>
      <w:tr w14:paraId="2D26E7BE">
        <w:tblPrEx>
          <w:tblCellMar>
            <w:top w:w="0" w:type="dxa"/>
            <w:left w:w="10" w:type="dxa"/>
            <w:bottom w:w="0" w:type="dxa"/>
            <w:right w:w="10" w:type="dxa"/>
          </w:tblCellMar>
        </w:tblPrEx>
        <w:trPr>
          <w:trHeight w:val="917" w:hRule="atLeast"/>
          <w:jc w:val="center"/>
        </w:trPr>
        <w:tc>
          <w:tcPr>
            <w:tcW w:w="808" w:type="dxa"/>
            <w:tcBorders>
              <w:top w:val="single" w:color="auto" w:sz="2" w:space="0"/>
              <w:left w:val="single" w:color="auto" w:sz="2" w:space="0"/>
              <w:bottom w:val="single" w:color="auto" w:sz="2" w:space="0"/>
              <w:right w:val="single" w:color="auto" w:sz="2" w:space="0"/>
            </w:tcBorders>
            <w:vAlign w:val="center"/>
          </w:tcPr>
          <w:p w14:paraId="795B8EB7">
            <w:pPr>
              <w:spacing w:line="260" w:lineRule="exact"/>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460" w:type="dxa"/>
            <w:vMerge w:val="continue"/>
            <w:tcBorders>
              <w:left w:val="single" w:color="auto" w:sz="2" w:space="0"/>
              <w:right w:val="single" w:color="auto" w:sz="2" w:space="0"/>
            </w:tcBorders>
            <w:vAlign w:val="center"/>
          </w:tcPr>
          <w:p w14:paraId="4D770AFA">
            <w:pPr>
              <w:spacing w:line="260" w:lineRule="exact"/>
              <w:ind w:firstLine="369"/>
              <w:jc w:val="center"/>
              <w:rPr>
                <w:rFonts w:ascii="宋体" w:hAnsi="宋体" w:cs="宋体"/>
                <w:color w:val="auto"/>
                <w:sz w:val="18"/>
                <w:szCs w:val="18"/>
                <w:highlight w:val="none"/>
              </w:rPr>
            </w:pPr>
          </w:p>
        </w:tc>
        <w:tc>
          <w:tcPr>
            <w:tcW w:w="1560" w:type="dxa"/>
            <w:tcBorders>
              <w:top w:val="single" w:color="auto" w:sz="2" w:space="0"/>
              <w:left w:val="single" w:color="auto" w:sz="2" w:space="0"/>
              <w:bottom w:val="single" w:color="auto" w:sz="2" w:space="0"/>
              <w:right w:val="single" w:color="auto" w:sz="2" w:space="0"/>
            </w:tcBorders>
            <w:vAlign w:val="center"/>
          </w:tcPr>
          <w:p w14:paraId="482C8795">
            <w:pPr>
              <w:spacing w:line="260" w:lineRule="exact"/>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水流动作后</w:t>
            </w:r>
          </w:p>
          <w:p w14:paraId="5555C74F">
            <w:pPr>
              <w:spacing w:line="260" w:lineRule="exact"/>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水流指示器</w:t>
            </w:r>
          </w:p>
          <w:p w14:paraId="7A973F89">
            <w:pPr>
              <w:spacing w:line="260" w:lineRule="exact"/>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不报信号</w:t>
            </w:r>
          </w:p>
        </w:tc>
        <w:tc>
          <w:tcPr>
            <w:tcW w:w="2409" w:type="dxa"/>
            <w:tcBorders>
              <w:top w:val="single" w:color="auto" w:sz="2" w:space="0"/>
              <w:left w:val="single" w:color="auto" w:sz="2" w:space="0"/>
              <w:bottom w:val="single" w:color="auto" w:sz="2" w:space="0"/>
              <w:right w:val="single" w:color="auto" w:sz="2" w:space="0"/>
            </w:tcBorders>
            <w:vAlign w:val="center"/>
          </w:tcPr>
          <w:p w14:paraId="4BB02CF2">
            <w:pPr>
              <w:spacing w:line="260" w:lineRule="exact"/>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电气线路及端子压线故障；水流指示器本身问题，包括浆片不动、浆片损坏，微动开关损坏或干簧管触点烧毁、或永久性磁铁不起作用。</w:t>
            </w:r>
          </w:p>
        </w:tc>
        <w:tc>
          <w:tcPr>
            <w:tcW w:w="2410" w:type="dxa"/>
            <w:tcBorders>
              <w:top w:val="single" w:color="auto" w:sz="2" w:space="0"/>
              <w:left w:val="single" w:color="auto" w:sz="2" w:space="0"/>
              <w:bottom w:val="single" w:color="auto" w:sz="2" w:space="0"/>
              <w:right w:val="single" w:color="auto" w:sz="2" w:space="0"/>
            </w:tcBorders>
            <w:vAlign w:val="center"/>
          </w:tcPr>
          <w:p w14:paraId="22593853">
            <w:pPr>
              <w:spacing w:line="260" w:lineRule="exact"/>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检查浆片是否损坏或塞死不动；检查永久性磁铁、干簧管等器件。</w:t>
            </w:r>
          </w:p>
        </w:tc>
      </w:tr>
      <w:tr w14:paraId="2744D23E">
        <w:tblPrEx>
          <w:tblCellMar>
            <w:top w:w="0" w:type="dxa"/>
            <w:left w:w="10" w:type="dxa"/>
            <w:bottom w:w="0" w:type="dxa"/>
            <w:right w:w="10" w:type="dxa"/>
          </w:tblCellMar>
        </w:tblPrEx>
        <w:trPr>
          <w:trHeight w:val="917" w:hRule="atLeast"/>
          <w:jc w:val="center"/>
        </w:trPr>
        <w:tc>
          <w:tcPr>
            <w:tcW w:w="808" w:type="dxa"/>
            <w:tcBorders>
              <w:top w:val="single" w:color="auto" w:sz="2" w:space="0"/>
              <w:left w:val="single" w:color="auto" w:sz="2" w:space="0"/>
              <w:bottom w:val="single" w:color="auto" w:sz="2" w:space="0"/>
              <w:right w:val="single" w:color="auto" w:sz="2" w:space="0"/>
            </w:tcBorders>
            <w:vAlign w:val="center"/>
          </w:tcPr>
          <w:p w14:paraId="4702C700">
            <w:pPr>
              <w:spacing w:line="260" w:lineRule="exact"/>
              <w:ind w:firstLine="369"/>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460" w:type="dxa"/>
            <w:vMerge w:val="continue"/>
            <w:tcBorders>
              <w:left w:val="single" w:color="auto" w:sz="2" w:space="0"/>
              <w:right w:val="single" w:color="auto" w:sz="2" w:space="0"/>
            </w:tcBorders>
            <w:vAlign w:val="center"/>
          </w:tcPr>
          <w:p w14:paraId="52FD2976">
            <w:pPr>
              <w:spacing w:line="260" w:lineRule="exact"/>
              <w:ind w:firstLine="369"/>
              <w:jc w:val="center"/>
              <w:rPr>
                <w:rFonts w:ascii="宋体" w:hAnsi="宋体" w:cs="宋体"/>
                <w:color w:val="auto"/>
                <w:sz w:val="18"/>
                <w:szCs w:val="18"/>
                <w:highlight w:val="none"/>
              </w:rPr>
            </w:pPr>
          </w:p>
        </w:tc>
        <w:tc>
          <w:tcPr>
            <w:tcW w:w="1560" w:type="dxa"/>
            <w:tcBorders>
              <w:top w:val="single" w:color="auto" w:sz="2" w:space="0"/>
              <w:left w:val="single" w:color="auto" w:sz="2" w:space="0"/>
              <w:bottom w:val="single" w:color="auto" w:sz="2" w:space="0"/>
              <w:right w:val="single" w:color="auto" w:sz="2" w:space="0"/>
            </w:tcBorders>
            <w:vAlign w:val="center"/>
          </w:tcPr>
          <w:p w14:paraId="4832BDFD">
            <w:pPr>
              <w:spacing w:line="260" w:lineRule="exact"/>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喷头动作后或末端泄放装置打开，联动泵后管道前端无水</w:t>
            </w:r>
          </w:p>
        </w:tc>
        <w:tc>
          <w:tcPr>
            <w:tcW w:w="2409" w:type="dxa"/>
            <w:tcBorders>
              <w:top w:val="single" w:color="auto" w:sz="2" w:space="0"/>
              <w:left w:val="single" w:color="auto" w:sz="2" w:space="0"/>
              <w:bottom w:val="single" w:color="auto" w:sz="2" w:space="0"/>
              <w:right w:val="single" w:color="auto" w:sz="2" w:space="0"/>
            </w:tcBorders>
            <w:vAlign w:val="center"/>
          </w:tcPr>
          <w:p w14:paraId="729D1198">
            <w:pPr>
              <w:spacing w:line="260" w:lineRule="exact"/>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主要为湿式报警装置的蝶阀不动作，湿式报警装置不能将水送到前端管道。</w:t>
            </w:r>
          </w:p>
        </w:tc>
        <w:tc>
          <w:tcPr>
            <w:tcW w:w="2410" w:type="dxa"/>
            <w:tcBorders>
              <w:top w:val="single" w:color="auto" w:sz="2" w:space="0"/>
              <w:left w:val="single" w:color="auto" w:sz="2" w:space="0"/>
              <w:bottom w:val="single" w:color="auto" w:sz="2" w:space="0"/>
              <w:right w:val="single" w:color="auto" w:sz="2" w:space="0"/>
            </w:tcBorders>
            <w:vAlign w:val="center"/>
          </w:tcPr>
          <w:p w14:paraId="2790DA87">
            <w:pPr>
              <w:spacing w:line="260" w:lineRule="exact"/>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检查湿式报警装置，主要是蝶阀，直到灵活翻转，再检查湿式装置的其它部件。</w:t>
            </w:r>
          </w:p>
        </w:tc>
      </w:tr>
      <w:tr w14:paraId="45D2B695">
        <w:tblPrEx>
          <w:tblCellMar>
            <w:top w:w="0" w:type="dxa"/>
            <w:left w:w="10" w:type="dxa"/>
            <w:bottom w:w="0" w:type="dxa"/>
            <w:right w:w="10" w:type="dxa"/>
          </w:tblCellMar>
        </w:tblPrEx>
        <w:trPr>
          <w:trHeight w:val="917" w:hRule="atLeast"/>
          <w:jc w:val="center"/>
        </w:trPr>
        <w:tc>
          <w:tcPr>
            <w:tcW w:w="808" w:type="dxa"/>
            <w:tcBorders>
              <w:top w:val="single" w:color="auto" w:sz="2" w:space="0"/>
              <w:left w:val="single" w:color="auto" w:sz="2" w:space="0"/>
              <w:bottom w:val="single" w:color="auto" w:sz="2" w:space="0"/>
              <w:right w:val="single" w:color="auto" w:sz="2" w:space="0"/>
            </w:tcBorders>
            <w:vAlign w:val="center"/>
          </w:tcPr>
          <w:p w14:paraId="247B4817">
            <w:pPr>
              <w:spacing w:line="260" w:lineRule="exact"/>
              <w:ind w:firstLine="369"/>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460" w:type="dxa"/>
            <w:vMerge w:val="continue"/>
            <w:tcBorders>
              <w:left w:val="single" w:color="auto" w:sz="2" w:space="0"/>
              <w:bottom w:val="single" w:color="auto" w:sz="2" w:space="0"/>
              <w:right w:val="single" w:color="auto" w:sz="2" w:space="0"/>
            </w:tcBorders>
            <w:vAlign w:val="center"/>
          </w:tcPr>
          <w:p w14:paraId="2C9DBCC7">
            <w:pPr>
              <w:spacing w:line="260" w:lineRule="exact"/>
              <w:ind w:firstLine="369"/>
              <w:jc w:val="center"/>
              <w:rPr>
                <w:rFonts w:ascii="宋体" w:hAnsi="宋体" w:cs="宋体"/>
                <w:color w:val="auto"/>
                <w:sz w:val="18"/>
                <w:szCs w:val="18"/>
                <w:highlight w:val="none"/>
              </w:rPr>
            </w:pPr>
          </w:p>
        </w:tc>
        <w:tc>
          <w:tcPr>
            <w:tcW w:w="1560" w:type="dxa"/>
            <w:tcBorders>
              <w:top w:val="single" w:color="auto" w:sz="2" w:space="0"/>
              <w:left w:val="single" w:color="auto" w:sz="2" w:space="0"/>
              <w:bottom w:val="single" w:color="auto" w:sz="2" w:space="0"/>
              <w:right w:val="single" w:color="auto" w:sz="2" w:space="0"/>
            </w:tcBorders>
            <w:vAlign w:val="center"/>
          </w:tcPr>
          <w:p w14:paraId="5B7475EF">
            <w:pPr>
              <w:spacing w:line="260" w:lineRule="exact"/>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联动信号发出</w:t>
            </w:r>
          </w:p>
          <w:p w14:paraId="5D5AD221">
            <w:pPr>
              <w:spacing w:line="260" w:lineRule="exact"/>
              <w:ind w:firstLine="0" w:firstLineChars="0"/>
              <w:jc w:val="center"/>
              <w:rPr>
                <w:rFonts w:ascii="宋体" w:hAnsi="宋体" w:cs="宋体"/>
                <w:color w:val="auto"/>
                <w:sz w:val="18"/>
                <w:szCs w:val="18"/>
                <w:highlight w:val="none"/>
              </w:rPr>
            </w:pPr>
            <w:r>
              <w:rPr>
                <w:rFonts w:hint="eastAsia" w:ascii="宋体" w:hAnsi="宋体" w:cs="宋体"/>
                <w:color w:val="auto"/>
                <w:sz w:val="18"/>
                <w:szCs w:val="18"/>
                <w:highlight w:val="none"/>
              </w:rPr>
              <w:t>喷淋泵不作</w:t>
            </w:r>
          </w:p>
        </w:tc>
        <w:tc>
          <w:tcPr>
            <w:tcW w:w="2409" w:type="dxa"/>
            <w:tcBorders>
              <w:top w:val="single" w:color="auto" w:sz="2" w:space="0"/>
              <w:left w:val="single" w:color="auto" w:sz="2" w:space="0"/>
              <w:bottom w:val="single" w:color="auto" w:sz="2" w:space="0"/>
              <w:right w:val="single" w:color="auto" w:sz="2" w:space="0"/>
            </w:tcBorders>
            <w:vAlign w:val="center"/>
          </w:tcPr>
          <w:p w14:paraId="0CFECC91">
            <w:pPr>
              <w:spacing w:line="260" w:lineRule="exact"/>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控制装置及消防泵启动柜连线松动或器件失灵；喷淋泵本身机械故障。</w:t>
            </w:r>
          </w:p>
        </w:tc>
        <w:tc>
          <w:tcPr>
            <w:tcW w:w="2410" w:type="dxa"/>
            <w:tcBorders>
              <w:top w:val="single" w:color="auto" w:sz="2" w:space="0"/>
              <w:left w:val="single" w:color="auto" w:sz="2" w:space="0"/>
              <w:bottom w:val="single" w:color="auto" w:sz="2" w:space="0"/>
              <w:right w:val="single" w:color="auto" w:sz="2" w:space="0"/>
            </w:tcBorders>
            <w:vAlign w:val="center"/>
          </w:tcPr>
          <w:p w14:paraId="5D18361D">
            <w:pPr>
              <w:spacing w:line="260" w:lineRule="exact"/>
              <w:ind w:firstLine="0" w:firstLineChars="0"/>
              <w:rPr>
                <w:rFonts w:ascii="宋体" w:hAnsi="宋体" w:cs="宋体"/>
                <w:color w:val="auto"/>
                <w:sz w:val="18"/>
                <w:szCs w:val="18"/>
                <w:highlight w:val="none"/>
              </w:rPr>
            </w:pPr>
            <w:r>
              <w:rPr>
                <w:rFonts w:hint="eastAsia" w:ascii="宋体" w:hAnsi="宋体" w:cs="宋体"/>
                <w:color w:val="auto"/>
                <w:sz w:val="18"/>
                <w:szCs w:val="18"/>
                <w:highlight w:val="none"/>
              </w:rPr>
              <w:t>检查各连线及水泵本身。</w:t>
            </w:r>
          </w:p>
        </w:tc>
      </w:tr>
    </w:tbl>
    <w:p w14:paraId="6B9B5023">
      <w:pPr>
        <w:ind w:firstLine="0" w:firstLineChars="0"/>
        <w:jc w:val="left"/>
        <w:rPr>
          <w:rFonts w:cs="黑体" w:asciiTheme="minorEastAsia" w:hAnsiTheme="minorEastAsia" w:eastAsiaTheme="minorEastAsia"/>
          <w:color w:val="auto"/>
          <w:szCs w:val="24"/>
          <w:highlight w:val="none"/>
        </w:rPr>
      </w:pPr>
    </w:p>
    <w:p w14:paraId="255CE4CD"/>
    <w:sectPr>
      <w:footerReference r:id="rId8" w:type="first"/>
      <w:headerReference r:id="rId5" w:type="default"/>
      <w:footerReference r:id="rId6" w:type="default"/>
      <w:footerReference r:id="rId7" w:type="even"/>
      <w:pgSz w:w="11906" w:h="16838"/>
      <w:pgMar w:top="1440" w:right="1797" w:bottom="1440" w:left="1797" w:header="850" w:footer="992" w:gutter="0"/>
      <w:pgBorders>
        <w:bottom w:val="single" w:color="auto" w:sz="4" w:space="1"/>
      </w:pgBorders>
      <w:cols w:space="0" w:num="1"/>
      <w:titlePg/>
      <w:docGrid w:type="linesAndChars" w:linePitch="332" w:charSpace="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8"/>
      </w:pPr>
      <w:r>
        <w:separator/>
      </w:r>
    </w:p>
  </w:endnote>
  <w:endnote w:type="continuationSeparator" w:id="1">
    <w:p>
      <w:pPr>
        <w:spacing w:line="240" w:lineRule="auto"/>
        <w:ind w:firstLine="4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46CF">
    <w:pPr>
      <w:ind w:firstLine="480"/>
    </w:pPr>
    <w:r>
      <mc:AlternateContent>
        <mc:Choice Requires="wps">
          <w:drawing>
            <wp:anchor distT="0" distB="0" distL="114300" distR="114300" simplePos="0" relativeHeight="251660288" behindDoc="0" locked="0" layoutInCell="1" allowOverlap="1">
              <wp:simplePos x="0" y="0"/>
              <wp:positionH relativeFrom="margin">
                <wp:posOffset>4160520</wp:posOffset>
              </wp:positionH>
              <wp:positionV relativeFrom="paragraph">
                <wp:posOffset>16510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367C7">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27.6pt;margin-top:1.3pt;height:144pt;width:144pt;mso-position-horizontal-relative:margin;mso-wrap-style:none;z-index:251660288;mso-width-relative:page;mso-height-relative:page;" filled="f" stroked="f" coordsize="21600,21600" o:gfxdata="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GncKNYAAAAJAQAADwAAAAAAAAABACAAAAAiAAAAZHJzL2Rvd25yZXYueG1sUEsBAhQA&#10;FAAAAAgAh07iQBl4K5AtAgAAVwQAAA4AAAAAAAAAAQAgAAAAJQEAAGRycy9lMm9Eb2MueG1sUEsF&#10;BgAAAAAGAAYAWQEAAMQFAAAAAA==&#10;">
              <v:fill on="f" focussize="0,0"/>
              <v:stroke on="f" weight="0.5pt"/>
              <v:imagedata o:title=""/>
              <o:lock v:ext="edit" aspectratio="f"/>
              <v:textbox inset="0mm,0mm,0mm,0mm" style="mso-fit-shape-to-text:t;">
                <w:txbxContent>
                  <w:p w14:paraId="7D8367C7">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C153C">
    <w:pPr>
      <w:pStyle w:val="5"/>
      <w:ind w:firstLine="0" w:firstLineChars="0"/>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E7229">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13</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2A8E7229">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13</w:t>
                    </w:r>
                    <w:r>
                      <w:rPr>
                        <w:rFonts w:hint="eastAsia"/>
                        <w:sz w:val="18"/>
                      </w:rPr>
                      <w:fldChar w:fldCharType="end"/>
                    </w:r>
                    <w:r>
                      <w:rPr>
                        <w:rFonts w:hint="eastAsia"/>
                        <w:sz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CF37">
    <w:pPr>
      <w:pStyle w:val="5"/>
      <w:ind w:firstLine="0" w:firstLineChars="0"/>
    </w:pP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-19050</wp:posOffset>
              </wp:positionV>
              <wp:extent cx="1215390" cy="19939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215390" cy="199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BCB59">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4</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5</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5pt;height:15.7pt;width:95.7pt;mso-position-horizontal:left;mso-position-horizontal-relative:margin;z-index:251661312;mso-width-relative:page;mso-height-relative:page;" filled="f" stroked="f" coordsize="21600,21600" o:gfxdata="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au5dXWAAAABgEAAA8AAAAAAAAAAQAgAAAAIgAAAGRycy9kb3ducmV2LnhtbFBL&#10;AQIUABQAAAAIAIdO4kBQVB5ZMQIAAFgEAAAOAAAAAAAAAAEAIAAAACUBAABkcnMvZTJvRG9jLnht&#10;bFBLBQYAAAAABgAGAFkBAADIBQAAAAA=&#10;">
              <v:fill on="f" focussize="0,0"/>
              <v:stroke on="f" weight="0.5pt"/>
              <v:imagedata o:title=""/>
              <o:lock v:ext="edit" aspectratio="f"/>
              <v:textbox inset="0mm,0mm,0mm,0mm">
                <w:txbxContent>
                  <w:p w14:paraId="37FBCB59">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4</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5</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C5E3B">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794C5E3B">
                    <w:pPr>
                      <w:ind w:firstLine="48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8"/>
      </w:pPr>
      <w:r>
        <w:separator/>
      </w:r>
    </w:p>
  </w:footnote>
  <w:footnote w:type="continuationSeparator" w:id="1">
    <w:p>
      <w:pPr>
        <w:spacing w:line="360" w:lineRule="auto"/>
        <w:ind w:firstLine="48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07335">
    <w:pPr>
      <w:pStyle w:val="6"/>
      <w:pBdr>
        <w:bottom w:val="single" w:color="auto" w:sz="4" w:space="1"/>
      </w:pBdr>
      <w:ind w:firstLine="0" w:firstLineChars="0"/>
      <w:jc w:val="right"/>
      <w:rPr>
        <w:highlight w:val="none"/>
      </w:rPr>
    </w:pPr>
    <w:r>
      <w:rPr>
        <w:rFonts w:hint="eastAsia" w:ascii="宋体" w:hAnsi="宋体" w:cs="宋体"/>
        <w:sz w:val="21"/>
        <w:szCs w:val="21"/>
        <w:highlight w:val="none"/>
      </w:rPr>
      <w:t>Q/HTWY-B-GC-12-2023•B0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2F2847"/>
    <w:multiLevelType w:val="multilevel"/>
    <w:tmpl w:val="602F2847"/>
    <w:lvl w:ilvl="0" w:tentative="0">
      <w:start w:val="1"/>
      <w:numFmt w:val="decimal"/>
      <w:pStyle w:val="2"/>
      <w:lvlText w:val="%1."/>
      <w:lvlJc w:val="left"/>
      <w:pPr>
        <w:ind w:left="432" w:hanging="432"/>
      </w:pPr>
      <w:rPr>
        <w:rFonts w:hint="default" w:ascii="黑体" w:hAnsi="黑体" w:eastAsia="黑体" w:cs="黑体"/>
        <w:sz w:val="24"/>
        <w:szCs w:val="24"/>
      </w:rPr>
    </w:lvl>
    <w:lvl w:ilvl="1" w:tentative="0">
      <w:start w:val="1"/>
      <w:numFmt w:val="decimal"/>
      <w:lvlText w:val="%1.%2."/>
      <w:lvlJc w:val="left"/>
      <w:pPr>
        <w:ind w:left="575" w:hanging="575"/>
      </w:pPr>
      <w:rPr>
        <w:rFonts w:hint="default" w:ascii="黑体" w:hAnsi="黑体" w:eastAsia="黑体" w:cs="黑体"/>
        <w:sz w:val="24"/>
        <w:szCs w:val="24"/>
      </w:rPr>
    </w:lvl>
    <w:lvl w:ilvl="2" w:tentative="0">
      <w:start w:val="1"/>
      <w:numFmt w:val="decimal"/>
      <w:lvlText w:val="%1.%2.%3."/>
      <w:lvlJc w:val="left"/>
      <w:pPr>
        <w:ind w:left="2160" w:hanging="720"/>
      </w:pPr>
      <w:rPr>
        <w:rFonts w:hint="default" w:ascii="宋体" w:hAnsi="宋体" w:cs="宋体"/>
        <w:sz w:val="24"/>
        <w:szCs w:val="24"/>
      </w:rPr>
    </w:lvl>
    <w:lvl w:ilvl="3" w:tentative="0">
      <w:start w:val="1"/>
      <w:numFmt w:val="decimal"/>
      <w:suff w:val="space"/>
      <w:lvlText w:val="%1.%2.%3.%4."/>
      <w:lvlJc w:val="left"/>
      <w:pPr>
        <w:tabs>
          <w:tab w:val="left" w:pos="-9"/>
        </w:tabs>
        <w:ind w:left="6" w:hanging="6"/>
      </w:pPr>
      <w:rPr>
        <w:rFonts w:hint="default" w:ascii="宋体" w:hAnsi="宋体" w:cs="宋体"/>
        <w:sz w:val="24"/>
        <w:szCs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60593F2A"/>
    <w:multiLevelType w:val="multilevel"/>
    <w:tmpl w:val="60593F2A"/>
    <w:lvl w:ilvl="0" w:tentative="0">
      <w:start w:val="1"/>
      <w:numFmt w:val="decimal"/>
      <w:lvlText w:val="%1."/>
      <w:lvlJc w:val="left"/>
      <w:pPr>
        <w:ind w:left="432" w:hanging="432"/>
      </w:pPr>
      <w:rPr>
        <w:rFonts w:hint="default" w:ascii="黑体" w:hAnsi="黑体" w:eastAsia="黑体" w:cs="黑体"/>
        <w:sz w:val="24"/>
        <w:szCs w:val="24"/>
      </w:rPr>
    </w:lvl>
    <w:lvl w:ilvl="1" w:tentative="0">
      <w:start w:val="1"/>
      <w:numFmt w:val="decimal"/>
      <w:pStyle w:val="3"/>
      <w:lvlText w:val="%1.%2."/>
      <w:lvlJc w:val="left"/>
      <w:pPr>
        <w:ind w:left="575" w:hanging="575"/>
      </w:pPr>
      <w:rPr>
        <w:rFonts w:hint="default" w:ascii="黑体" w:hAnsi="黑体" w:eastAsia="黑体" w:cs="黑体"/>
        <w:sz w:val="24"/>
        <w:szCs w:val="24"/>
      </w:rPr>
    </w:lvl>
    <w:lvl w:ilvl="2" w:tentative="0">
      <w:start w:val="1"/>
      <w:numFmt w:val="decimal"/>
      <w:lvlText w:val="%1.%2.%3."/>
      <w:lvlJc w:val="left"/>
      <w:pPr>
        <w:ind w:left="2160" w:hanging="720"/>
      </w:pPr>
      <w:rPr>
        <w:rFonts w:hint="default" w:ascii="宋体" w:hAnsi="宋体" w:cs="宋体"/>
        <w:sz w:val="24"/>
        <w:szCs w:val="24"/>
      </w:rPr>
    </w:lvl>
    <w:lvl w:ilvl="3" w:tentative="0">
      <w:start w:val="1"/>
      <w:numFmt w:val="decimal"/>
      <w:suff w:val="space"/>
      <w:lvlText w:val="%1.%2.%3.%4."/>
      <w:lvlJc w:val="left"/>
      <w:pPr>
        <w:tabs>
          <w:tab w:val="left" w:pos="-9"/>
        </w:tabs>
        <w:ind w:left="6" w:hanging="6"/>
      </w:pPr>
      <w:rPr>
        <w:rFonts w:hint="default" w:ascii="宋体" w:hAnsi="宋体" w:cs="宋体"/>
        <w:sz w:val="24"/>
        <w:szCs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14189"/>
    <w:rsid w:val="3A914189"/>
    <w:rsid w:val="68CE657A"/>
    <w:rsid w:val="70CC7F81"/>
    <w:rsid w:val="71074010"/>
    <w:rsid w:val="7FB23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680" w:firstLineChars="20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0"/>
    <w:pPr>
      <w:keepLines/>
      <w:numPr>
        <w:ilvl w:val="0"/>
        <w:numId w:val="1"/>
      </w:numPr>
      <w:ind w:left="431" w:hanging="431" w:firstLineChars="0"/>
      <w:outlineLvl w:val="0"/>
    </w:pPr>
    <w:rPr>
      <w:rFonts w:ascii="黑体" w:hAnsi="黑体" w:eastAsia="黑体" w:cstheme="minorBidi"/>
      <w:kern w:val="44"/>
    </w:rPr>
  </w:style>
  <w:style w:type="paragraph" w:styleId="3">
    <w:name w:val="heading 2"/>
    <w:basedOn w:val="2"/>
    <w:next w:val="1"/>
    <w:unhideWhenUsed/>
    <w:qFormat/>
    <w:uiPriority w:val="0"/>
    <w:pPr>
      <w:numPr>
        <w:ilvl w:val="1"/>
        <w:numId w:val="2"/>
      </w:numPr>
      <w:tabs>
        <w:tab w:val="left" w:pos="420"/>
      </w:tabs>
      <w:outlineLvl w:val="1"/>
    </w:p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ind w:firstLine="480"/>
    </w:p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toc 1"/>
    <w:basedOn w:val="1"/>
    <w:next w:val="1"/>
    <w:qFormat/>
    <w:uiPriority w:val="0"/>
    <w:pPr>
      <w:widowControl/>
      <w:spacing w:after="100" w:line="259" w:lineRule="auto"/>
      <w:jc w:val="left"/>
    </w:pPr>
    <w:rPr>
      <w:rFonts w:ascii="等线" w:hAnsi="等线" w:eastAsia="等线"/>
      <w:kern w:val="0"/>
      <w:sz w:val="22"/>
    </w:rPr>
  </w:style>
  <w:style w:type="paragraph" w:styleId="8">
    <w:name w:val="toc 2"/>
    <w:basedOn w:val="1"/>
    <w:next w:val="1"/>
    <w:qFormat/>
    <w:uiPriority w:val="0"/>
    <w:pPr>
      <w:widowControl/>
      <w:spacing w:after="100" w:line="259" w:lineRule="auto"/>
      <w:ind w:left="220"/>
      <w:jc w:val="left"/>
    </w:pPr>
    <w:rPr>
      <w:rFonts w:ascii="等线" w:hAnsi="等线" w:eastAsia="等线"/>
      <w:kern w:val="0"/>
      <w:sz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1107</Words>
  <Characters>1145</Characters>
  <Lines>0</Lines>
  <Paragraphs>0</Paragraphs>
  <TotalTime>36</TotalTime>
  <ScaleCrop>false</ScaleCrop>
  <LinksUpToDate>false</LinksUpToDate>
  <CharactersWithSpaces>1159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2023-08-07T08:27:00Z</dcterms:created>
  <dc:creator>何碧莹</dc:creator>
  <cp:lastModifiedBy>孙静</cp:lastModifiedBy>
  <dcterms:modified xsi:type="dcterms:W3CDTF">2026-04-22T02:08:53Z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FD8D2ED115E849A88D587B9A7FA76273_13</vt:lpwstr>
  </property>
  <property fmtid="{D5CDD505-2E9C-101B-9397-08002B2CF9AE}" pid="4" name="KSOTemplateDocerSaveRecord">
    <vt:lpwstr>eyJoZGlkIjoiNWNhMmVjNGE2MmQxOTI5YzQzZmY4NTY5MTRjYzgyMjIiLCJ1c2VySWQiOiI2NTMwNjQ5MzEifQ==</vt:lpwstr>
  </property>
</Properties>
</file>