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9D5DA9">
      <w:pPr>
        <w:spacing w:line="360" w:lineRule="auto"/>
        <w:ind w:firstLine="562" w:firstLineChars="200"/>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ascii="宋体" w:hAnsi="宋体" w:cs="宋体"/>
          <w:b/>
          <w:color w:val="000000" w:themeColor="text1"/>
          <w:sz w:val="28"/>
          <w:szCs w:val="28"/>
          <w:highlight w:val="none"/>
          <w14:textFill>
            <w14:solidFill>
              <w14:schemeClr w14:val="tx1"/>
            </w14:solidFill>
          </w14:textFill>
        </w:rPr>
        <w:t xml:space="preserve">                          </w:t>
      </w:r>
      <w:r>
        <w:rPr>
          <w:rFonts w:hint="eastAsia" w:ascii="仿宋_GB2312" w:hAnsi="仿宋_GB2312" w:eastAsia="仿宋_GB2312" w:cs="仿宋_GB2312"/>
          <w:b/>
          <w:color w:val="000000" w:themeColor="text1"/>
          <w:sz w:val="28"/>
          <w:szCs w:val="28"/>
          <w:highlight w:val="none"/>
          <w14:textFill>
            <w14:solidFill>
              <w14:schemeClr w14:val="tx1"/>
            </w14:solidFill>
          </w14:textFill>
        </w:rPr>
        <w:t xml:space="preserve"> 合同编号：</w:t>
      </w:r>
    </w:p>
    <w:p w14:paraId="7EA54B74">
      <w:pPr>
        <w:spacing w:line="240" w:lineRule="auto"/>
        <w:rPr>
          <w:color w:val="000000" w:themeColor="text1"/>
          <w:sz w:val="52"/>
          <w:szCs w:val="72"/>
          <w:highlight w:val="none"/>
          <w14:textFill>
            <w14:solidFill>
              <w14:schemeClr w14:val="tx1"/>
            </w14:solidFill>
          </w14:textFill>
        </w:rPr>
      </w:pPr>
    </w:p>
    <w:p w14:paraId="357F3F12">
      <w:pPr>
        <w:spacing w:after="0" w:line="240" w:lineRule="auto"/>
        <w:jc w:val="center"/>
        <w:rPr>
          <w:rFonts w:hint="eastAsia" w:ascii="方正小标宋简体" w:hAnsi="方正小标宋简体" w:eastAsia="方正小标宋简体" w:cs="方正小标宋简体"/>
          <w:color w:val="000000" w:themeColor="text1"/>
          <w:sz w:val="56"/>
          <w:szCs w:val="96"/>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56"/>
          <w:szCs w:val="96"/>
          <w:highlight w:val="none"/>
          <w14:textFill>
            <w14:solidFill>
              <w14:schemeClr w14:val="tx1"/>
            </w14:solidFill>
          </w14:textFill>
        </w:rPr>
        <w:t>杭州南泰置业有限公司</w:t>
      </w:r>
    </w:p>
    <w:p w14:paraId="752B0284">
      <w:pPr>
        <w:spacing w:after="0" w:line="240" w:lineRule="auto"/>
        <w:jc w:val="center"/>
        <w:rPr>
          <w:rFonts w:hint="eastAsia" w:ascii="方正小标宋简体" w:hAnsi="方正小标宋简体" w:eastAsia="方正小标宋简体" w:cs="方正小标宋简体"/>
          <w:color w:val="000000" w:themeColor="text1"/>
          <w:sz w:val="56"/>
          <w:szCs w:val="96"/>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56"/>
          <w:szCs w:val="96"/>
          <w:highlight w:val="none"/>
          <w14:textFill>
            <w14:solidFill>
              <w14:schemeClr w14:val="tx1"/>
            </w14:solidFill>
          </w14:textFill>
        </w:rPr>
        <w:t>杭州地铁东城购物中心项目</w:t>
      </w:r>
    </w:p>
    <w:p w14:paraId="7C8E50BE">
      <w:pPr>
        <w:spacing w:after="0" w:line="240" w:lineRule="auto"/>
        <w:jc w:val="center"/>
        <w:rPr>
          <w:rFonts w:hint="eastAsia" w:ascii="方正小标宋简体" w:hAnsi="方正小标宋简体" w:eastAsia="方正小标宋简体" w:cs="方正小标宋简体"/>
          <w:color w:val="000000" w:themeColor="text1"/>
          <w:sz w:val="56"/>
          <w:szCs w:val="96"/>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56"/>
          <w:szCs w:val="96"/>
          <w:highlight w:val="none"/>
          <w14:textFill>
            <w14:solidFill>
              <w14:schemeClr w14:val="tx1"/>
            </w14:solidFill>
          </w14:textFill>
        </w:rPr>
        <w:t>房屋整体租赁合同</w:t>
      </w:r>
    </w:p>
    <w:p w14:paraId="3A8CE970">
      <w:pPr>
        <w:spacing w:line="360" w:lineRule="auto"/>
        <w:ind w:firstLine="422" w:firstLineChars="200"/>
        <w:rPr>
          <w:rFonts w:ascii="宋体" w:cs="宋体"/>
          <w:b/>
          <w:color w:val="000000" w:themeColor="text1"/>
          <w:highlight w:val="none"/>
          <w14:textFill>
            <w14:solidFill>
              <w14:schemeClr w14:val="tx1"/>
            </w14:solidFill>
          </w14:textFill>
        </w:rPr>
      </w:pPr>
    </w:p>
    <w:p w14:paraId="54CD6F7F">
      <w:pPr>
        <w:spacing w:line="360" w:lineRule="auto"/>
        <w:ind w:firstLine="1124" w:firstLineChars="200"/>
        <w:rPr>
          <w:rFonts w:ascii="宋体" w:cs="宋体"/>
          <w:b/>
          <w:color w:val="000000" w:themeColor="text1"/>
          <w:sz w:val="56"/>
          <w:highlight w:val="none"/>
          <w14:textFill>
            <w14:solidFill>
              <w14:schemeClr w14:val="tx1"/>
            </w14:solidFill>
          </w14:textFill>
        </w:rPr>
      </w:pPr>
    </w:p>
    <w:p w14:paraId="3F232A30">
      <w:pPr>
        <w:spacing w:line="360" w:lineRule="auto"/>
        <w:ind w:firstLine="1124" w:firstLineChars="200"/>
        <w:rPr>
          <w:rFonts w:ascii="宋体" w:cs="宋体"/>
          <w:b/>
          <w:color w:val="000000" w:themeColor="text1"/>
          <w:sz w:val="56"/>
          <w:highlight w:val="none"/>
          <w14:textFill>
            <w14:solidFill>
              <w14:schemeClr w14:val="tx1"/>
            </w14:solidFill>
          </w14:textFill>
        </w:rPr>
      </w:pPr>
    </w:p>
    <w:p w14:paraId="2540227B">
      <w:pPr>
        <w:spacing w:line="360" w:lineRule="auto"/>
        <w:ind w:firstLine="1124" w:firstLineChars="200"/>
        <w:rPr>
          <w:rFonts w:ascii="宋体" w:cs="宋体"/>
          <w:b/>
          <w:color w:val="000000" w:themeColor="text1"/>
          <w:sz w:val="56"/>
          <w:highlight w:val="none"/>
          <w14:textFill>
            <w14:solidFill>
              <w14:schemeClr w14:val="tx1"/>
            </w14:solidFill>
          </w14:textFill>
        </w:rPr>
      </w:pPr>
    </w:p>
    <w:p w14:paraId="74F527E6">
      <w:pPr>
        <w:spacing w:line="360" w:lineRule="auto"/>
        <w:rPr>
          <w:rFonts w:ascii="宋体" w:cs="宋体"/>
          <w:b/>
          <w:color w:val="000000" w:themeColor="text1"/>
          <w:sz w:val="32"/>
          <w:szCs w:val="15"/>
          <w:highlight w:val="none"/>
          <w14:textFill>
            <w14:solidFill>
              <w14:schemeClr w14:val="tx1"/>
            </w14:solidFill>
          </w14:textFill>
        </w:rPr>
      </w:pPr>
    </w:p>
    <w:p w14:paraId="532BA65A">
      <w:pPr>
        <w:spacing w:line="360" w:lineRule="auto"/>
        <w:ind w:firstLine="723" w:firstLineChars="200"/>
        <w:rPr>
          <w:rFonts w:ascii="宋体" w:cs="宋体"/>
          <w:b/>
          <w:color w:val="000000" w:themeColor="text1"/>
          <w:sz w:val="36"/>
          <w:szCs w:val="36"/>
          <w:highlight w:val="none"/>
          <w14:textFill>
            <w14:solidFill>
              <w14:schemeClr w14:val="tx1"/>
            </w14:solidFill>
          </w14:textFill>
        </w:rPr>
      </w:pPr>
    </w:p>
    <w:p w14:paraId="5DFA86A3">
      <w:pPr>
        <w:spacing w:line="360" w:lineRule="auto"/>
        <w:ind w:firstLine="1124" w:firstLineChars="200"/>
        <w:rPr>
          <w:rFonts w:ascii="宋体" w:cs="宋体"/>
          <w:b/>
          <w:color w:val="000000" w:themeColor="text1"/>
          <w:sz w:val="56"/>
          <w:highlight w:val="none"/>
          <w14:textFill>
            <w14:solidFill>
              <w14:schemeClr w14:val="tx1"/>
            </w14:solidFill>
          </w14:textFill>
        </w:rPr>
      </w:pPr>
    </w:p>
    <w:p w14:paraId="38C134E6">
      <w:pPr>
        <w:adjustRightInd w:val="0"/>
        <w:snapToGrid w:val="0"/>
        <w:spacing w:line="360" w:lineRule="auto"/>
        <w:jc w:val="center"/>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签约日期：</w:t>
      </w:r>
      <w:r>
        <w:rPr>
          <w:rFonts w:hint="eastAsia" w:ascii="仿宋_GB2312" w:hAnsi="仿宋_GB2312" w:eastAsia="仿宋_GB2312" w:cs="仿宋_GB2312"/>
          <w:b/>
          <w:color w:val="000000" w:themeColor="text1"/>
          <w:sz w:val="32"/>
          <w:szCs w:val="32"/>
          <w:highlight w:val="none"/>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 xml:space="preserve">   年     月     日</w:t>
      </w:r>
    </w:p>
    <w:p w14:paraId="1991EB09">
      <w:pPr>
        <w:adjustRightInd w:val="0"/>
        <w:snapToGrid w:val="0"/>
        <w:spacing w:line="360" w:lineRule="auto"/>
        <w:jc w:val="center"/>
        <w:rPr>
          <w:rFonts w:ascii="宋体" w:cs="宋体"/>
          <w:b/>
          <w:color w:val="000000" w:themeColor="text1"/>
          <w:sz w:val="52"/>
          <w:szCs w:val="52"/>
          <w:highlight w:val="none"/>
          <w14:textFill>
            <w14:solidFill>
              <w14:schemeClr w14:val="tx1"/>
            </w14:solidFill>
          </w14:textFill>
        </w:rPr>
      </w:pPr>
      <w:r>
        <w:rPr>
          <w:rFonts w:ascii="宋体" w:cs="宋体"/>
          <w:b/>
          <w:color w:val="000000" w:themeColor="text1"/>
          <w:sz w:val="52"/>
          <w:szCs w:val="52"/>
          <w:highlight w:val="none"/>
          <w14:textFill>
            <w14:solidFill>
              <w14:schemeClr w14:val="tx1"/>
            </w14:solidFill>
          </w14:textFill>
        </w:rPr>
        <w:br w:type="page"/>
      </w:r>
      <w:r>
        <w:rPr>
          <w:rFonts w:hint="eastAsia" w:ascii="仿宋_GB2312" w:hAnsi="仿宋_GB2312" w:eastAsia="仿宋_GB2312" w:cs="仿宋_GB2312"/>
          <w:b/>
          <w:color w:val="000000" w:themeColor="text1"/>
          <w:sz w:val="52"/>
          <w:szCs w:val="52"/>
          <w:highlight w:val="none"/>
          <w14:textFill>
            <w14:solidFill>
              <w14:schemeClr w14:val="tx1"/>
            </w14:solidFill>
          </w14:textFill>
        </w:rPr>
        <w:t>房屋租赁合同</w:t>
      </w:r>
    </w:p>
    <w:p w14:paraId="066A2ADD">
      <w:pPr>
        <w:adjustRightInd w:val="0"/>
        <w:snapToGrid w:val="0"/>
        <w:spacing w:line="360" w:lineRule="auto"/>
        <w:ind w:firstLine="420" w:firstLineChars="200"/>
        <w:rPr>
          <w:rFonts w:ascii="宋体" w:cs="宋体"/>
          <w:color w:val="000000" w:themeColor="text1"/>
          <w:szCs w:val="21"/>
          <w:highlight w:val="none"/>
          <w14:textFill>
            <w14:solidFill>
              <w14:schemeClr w14:val="tx1"/>
            </w14:solidFill>
          </w14:textFill>
        </w:rPr>
      </w:pPr>
    </w:p>
    <w:p w14:paraId="129EB639">
      <w:pPr>
        <w:adjustRightInd w:val="0"/>
        <w:snapToGrid w:val="0"/>
        <w:spacing w:line="360" w:lineRule="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甲方（出租人）：杭州南泰置业有限公司</w:t>
      </w:r>
    </w:p>
    <w:p w14:paraId="45631581">
      <w:pPr>
        <w:adjustRightInd w:val="0"/>
        <w:snapToGrid w:val="0"/>
        <w:spacing w:line="360" w:lineRule="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乙方（承租人）： </w:t>
      </w:r>
    </w:p>
    <w:p w14:paraId="538F6D5E">
      <w:pPr>
        <w:adjustRightInd w:val="0"/>
        <w:snapToGrid w:val="0"/>
        <w:spacing w:line="360" w:lineRule="auto"/>
        <w:rPr>
          <w:rFonts w:hint="eastAsia"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签约地点：</w:t>
      </w:r>
      <w:r>
        <w:rPr>
          <w:rFonts w:hint="eastAsia" w:ascii="仿宋_GB2312" w:hAnsi="仿宋_GB2312" w:eastAsia="仿宋_GB2312" w:cs="仿宋_GB2312"/>
          <w:color w:val="000000" w:themeColor="text1"/>
          <w:sz w:val="24"/>
          <w:highlight w:val="none"/>
          <w:u w:val="single"/>
          <w14:textFill>
            <w14:solidFill>
              <w14:schemeClr w14:val="tx1"/>
            </w14:solidFill>
          </w14:textFill>
        </w:rPr>
        <w:t>杭州</w:t>
      </w:r>
    </w:p>
    <w:p w14:paraId="03EBE0A4">
      <w:pPr>
        <w:pStyle w:val="6"/>
        <w:adjustRightInd w:val="0"/>
        <w:snapToGrid w:val="0"/>
        <w:spacing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甲方受【杭州地铁开发集团有限公司】（以下简称“</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产权方</w:t>
      </w:r>
      <w:r>
        <w:rPr>
          <w:rFonts w:hint="eastAsia" w:ascii="仿宋_GB2312" w:hAnsi="仿宋_GB2312" w:eastAsia="仿宋_GB2312" w:cs="仿宋_GB2312"/>
          <w:color w:val="000000" w:themeColor="text1"/>
          <w:sz w:val="24"/>
          <w:highlight w:val="none"/>
          <w14:textFill>
            <w14:solidFill>
              <w14:schemeClr w14:val="tx1"/>
            </w14:solidFill>
          </w14:textFill>
        </w:rPr>
        <w:t>”）的委托对</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租赁</w:t>
      </w:r>
      <w:r>
        <w:rPr>
          <w:rFonts w:hint="eastAsia" w:ascii="仿宋_GB2312" w:hAnsi="仿宋_GB2312" w:eastAsia="仿宋_GB2312" w:cs="仿宋_GB2312"/>
          <w:color w:val="000000" w:themeColor="text1"/>
          <w:sz w:val="24"/>
          <w:highlight w:val="none"/>
          <w14:textFill>
            <w14:solidFill>
              <w14:schemeClr w14:val="tx1"/>
            </w14:solidFill>
          </w14:textFill>
        </w:rPr>
        <w:t>房屋进行经营管理，有权签署本协议并履行出租人义务，根据《中华人民共和国民法典》、《中华人民共和国城市房地产管理法》及其他有关法律、法规及本市的有关规定，乙方已实地查看本协议项下房屋现场情况，甲、乙双方在自愿、公平、诚实信用、平等互利原则的基础上，经充分协商，同意就下列房屋租赁事项订立本合同，并共同遵守执行。</w:t>
      </w:r>
    </w:p>
    <w:p w14:paraId="1BCB88B3">
      <w:pPr>
        <w:pStyle w:val="6"/>
        <w:adjustRightInd w:val="0"/>
        <w:snapToGrid w:val="0"/>
        <w:spacing w:line="360" w:lineRule="auto"/>
        <w:ind w:firstLine="482"/>
        <w:outlineLvl w:val="0"/>
        <w:rPr>
          <w:rFonts w:hint="eastAsia"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第一条  租赁房屋情况及用途</w:t>
      </w:r>
    </w:p>
    <w:p w14:paraId="69230143">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1.1、乙方自愿承租甲方位于中华人民共和国浙江省杭州市上城区九堡街道地铁东城广场的编号为103室、104室、106室、107室、108室、201室</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房屋</w:t>
      </w:r>
      <w:r>
        <w:rPr>
          <w:rFonts w:hint="eastAsia" w:ascii="仿宋_GB2312" w:hAnsi="仿宋_GB2312" w:eastAsia="仿宋_GB2312" w:cs="仿宋_GB2312"/>
          <w:color w:val="000000" w:themeColor="text1"/>
          <w:sz w:val="24"/>
          <w:highlight w:val="none"/>
          <w14:textFill>
            <w14:solidFill>
              <w14:schemeClr w14:val="tx1"/>
            </w14:solidFill>
          </w14:textFill>
        </w:rPr>
        <w:t>(以下简称“租赁</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房屋</w:t>
      </w:r>
      <w:r>
        <w:rPr>
          <w:rFonts w:hint="eastAsia" w:ascii="仿宋_GB2312" w:hAnsi="仿宋_GB2312" w:eastAsia="仿宋_GB2312" w:cs="仿宋_GB2312"/>
          <w:color w:val="000000" w:themeColor="text1"/>
          <w:sz w:val="24"/>
          <w:highlight w:val="none"/>
          <w14:textFill>
            <w14:solidFill>
              <w14:schemeClr w14:val="tx1"/>
            </w14:solidFill>
          </w14:textFill>
        </w:rPr>
        <w:t>”)作为乙方经营场所，甲方同意上述租赁</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房屋</w:t>
      </w:r>
      <w:r>
        <w:rPr>
          <w:rFonts w:hint="eastAsia" w:ascii="仿宋_GB2312" w:hAnsi="仿宋_GB2312" w:eastAsia="仿宋_GB2312" w:cs="仿宋_GB2312"/>
          <w:color w:val="000000" w:themeColor="text1"/>
          <w:sz w:val="24"/>
          <w:highlight w:val="none"/>
          <w14:textFill>
            <w14:solidFill>
              <w14:schemeClr w14:val="tx1"/>
            </w14:solidFill>
          </w14:textFill>
        </w:rPr>
        <w:t>按本合同约定出租给乙方使用，该</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房屋</w:t>
      </w:r>
      <w:r>
        <w:rPr>
          <w:rFonts w:hint="eastAsia" w:ascii="仿宋_GB2312" w:hAnsi="仿宋_GB2312" w:eastAsia="仿宋_GB2312" w:cs="仿宋_GB2312"/>
          <w:color w:val="000000" w:themeColor="text1"/>
          <w:sz w:val="24"/>
          <w:highlight w:val="none"/>
          <w14:textFill>
            <w14:solidFill>
              <w14:schemeClr w14:val="tx1"/>
            </w14:solidFill>
          </w14:textFill>
        </w:rPr>
        <w:t>的具体位置详见本合同附件</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五</w:t>
      </w:r>
      <w:r>
        <w:rPr>
          <w:rFonts w:hint="eastAsia" w:ascii="仿宋_GB2312" w:hAnsi="仿宋_GB2312" w:eastAsia="仿宋_GB2312" w:cs="仿宋_GB2312"/>
          <w:color w:val="000000" w:themeColor="text1"/>
          <w:sz w:val="24"/>
          <w:highlight w:val="none"/>
          <w14:textFill>
            <w14:solidFill>
              <w14:schemeClr w14:val="tx1"/>
            </w14:solidFill>
          </w14:textFill>
        </w:rPr>
        <w:t>（该</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房屋</w:t>
      </w:r>
      <w:r>
        <w:rPr>
          <w:rFonts w:hint="eastAsia" w:ascii="仿宋_GB2312" w:hAnsi="仿宋_GB2312" w:eastAsia="仿宋_GB2312" w:cs="仿宋_GB2312"/>
          <w:color w:val="000000" w:themeColor="text1"/>
          <w:sz w:val="24"/>
          <w:highlight w:val="none"/>
          <w14:textFill>
            <w14:solidFill>
              <w14:schemeClr w14:val="tx1"/>
            </w14:solidFill>
          </w14:textFill>
        </w:rPr>
        <w:t>位置示意图）。</w:t>
      </w:r>
    </w:p>
    <w:p w14:paraId="398EE2AA">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乙方承租的租赁</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房屋</w:t>
      </w:r>
      <w:r>
        <w:rPr>
          <w:rFonts w:hint="eastAsia" w:ascii="仿宋_GB2312" w:hAnsi="仿宋_GB2312" w:eastAsia="仿宋_GB2312" w:cs="仿宋_GB2312"/>
          <w:color w:val="000000" w:themeColor="text1"/>
          <w:sz w:val="24"/>
          <w:highlight w:val="none"/>
          <w14:textFill>
            <w14:solidFill>
              <w14:schemeClr w14:val="tx1"/>
            </w14:solidFill>
          </w14:textFill>
        </w:rPr>
        <w:t>为</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4"/>
          <w:highlight w:val="none"/>
          <w14:textFill>
            <w14:solidFill>
              <w14:schemeClr w14:val="tx1"/>
            </w14:solidFill>
          </w14:textFill>
        </w:rPr>
        <w:t>层至5层，</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不动产权证证载建筑</w:t>
      </w:r>
      <w:r>
        <w:rPr>
          <w:rFonts w:hint="eastAsia" w:ascii="仿宋_GB2312" w:hAnsi="仿宋_GB2312" w:eastAsia="仿宋_GB2312" w:cs="仿宋_GB2312"/>
          <w:color w:val="000000" w:themeColor="text1"/>
          <w:sz w:val="24"/>
          <w:highlight w:val="none"/>
          <w14:textFill>
            <w14:solidFill>
              <w14:schemeClr w14:val="tx1"/>
            </w14:solidFill>
          </w14:textFill>
        </w:rPr>
        <w:t>面积为86131.75平方米</w:t>
      </w:r>
      <w:r>
        <w:rPr>
          <w:rFonts w:hint="eastAsia"/>
          <w:color w:val="000000" w:themeColor="text1"/>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土地使用权面积</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16644.4平方米</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地下</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4"/>
          <w:highlight w:val="none"/>
          <w14:textFill>
            <w14:solidFill>
              <w14:schemeClr w14:val="tx1"/>
            </w14:solidFill>
          </w14:textFill>
        </w:rPr>
        <w:t>2层车位合计约337个。建筑面积以产权证书登记为准，具体位置、范围以现场实际交割为准。该房屋权属范围内、外部如有装修及设施设备，在交房时由双方清点并在附件二《租赁</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房屋</w:t>
      </w:r>
      <w:r>
        <w:rPr>
          <w:rFonts w:hint="eastAsia" w:ascii="仿宋_GB2312" w:hAnsi="仿宋_GB2312" w:eastAsia="仿宋_GB2312" w:cs="仿宋_GB2312"/>
          <w:color w:val="000000" w:themeColor="text1"/>
          <w:sz w:val="24"/>
          <w:highlight w:val="none"/>
          <w14:textFill>
            <w14:solidFill>
              <w14:schemeClr w14:val="tx1"/>
            </w14:solidFill>
          </w14:textFill>
        </w:rPr>
        <w:t>交付条件》</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及附件六《</w:t>
      </w:r>
      <w:r>
        <w:rPr>
          <w:rFonts w:hint="eastAsia" w:ascii="仿宋_GB2312" w:hAnsi="仿宋_GB2312" w:eastAsia="仿宋_GB2312" w:cs="仿宋_GB2312"/>
          <w:color w:val="000000" w:themeColor="text1"/>
          <w:sz w:val="24"/>
          <w:highlight w:val="none"/>
          <w14:textFill>
            <w14:solidFill>
              <w14:schemeClr w14:val="tx1"/>
            </w14:solidFill>
          </w14:textFill>
        </w:rPr>
        <w:t>设施设备清单及日常管养安全制度</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中予以列明，该附件作为甲方交付乙方使用和乙方交还该房屋时的依据。</w:t>
      </w:r>
    </w:p>
    <w:p w14:paraId="3C029D91">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default" w:ascii="仿宋_GB2312" w:hAnsi="仿宋_GB2312" w:eastAsia="仿宋_GB2312" w:cs="仿宋_GB2312"/>
          <w:color w:val="000000" w:themeColor="text1"/>
          <w:sz w:val="24"/>
          <w:highlight w:val="none"/>
          <w:lang w:val="en-US"/>
          <w14:textFill>
            <w14:solidFill>
              <w14:schemeClr w14:val="tx1"/>
            </w14:solidFill>
          </w14:textFill>
        </w:rPr>
        <w:t>2</w:t>
      </w:r>
      <w:r>
        <w:rPr>
          <w:rFonts w:hint="eastAsia" w:ascii="仿宋_GB2312" w:hAnsi="仿宋_GB2312" w:eastAsia="仿宋_GB2312" w:cs="仿宋_GB2312"/>
          <w:color w:val="000000" w:themeColor="text1"/>
          <w:sz w:val="24"/>
          <w:highlight w:val="none"/>
          <w14:textFill>
            <w14:solidFill>
              <w14:schemeClr w14:val="tx1"/>
            </w14:solidFill>
          </w14:textFill>
        </w:rPr>
        <w:t>、乙方租赁该房屋用于商业经营使用。未经甲方书面同意，乙方不得将租赁房屋抵押、</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整体</w:t>
      </w:r>
      <w:r>
        <w:rPr>
          <w:rFonts w:hint="eastAsia" w:ascii="仿宋_GB2312" w:hAnsi="仿宋_GB2312" w:eastAsia="仿宋_GB2312" w:cs="仿宋_GB2312"/>
          <w:color w:val="000000" w:themeColor="text1"/>
          <w:sz w:val="24"/>
          <w:highlight w:val="none"/>
          <w14:textFill>
            <w14:solidFill>
              <w14:schemeClr w14:val="tx1"/>
            </w14:solidFill>
          </w14:textFill>
        </w:rPr>
        <w:t>转租、转让、出借该房屋或其任何权益予任何第三人；乙方</w:t>
      </w:r>
      <w:r>
        <w:rPr>
          <w:rFonts w:hint="eastAsia" w:ascii="仿宋_GB2312" w:hAnsi="仿宋_GB2312" w:eastAsia="仿宋_GB2312" w:cs="仿宋_GB2312"/>
          <w:bCs/>
          <w:color w:val="000000" w:themeColor="text1"/>
          <w:sz w:val="24"/>
          <w:highlight w:val="none"/>
          <w14:textFill>
            <w14:solidFill>
              <w14:schemeClr w14:val="tx1"/>
            </w14:solidFill>
          </w14:textFill>
        </w:rPr>
        <w:t>承诺未经甲方书面同意不得擅自改变土地和房屋用途；乙方租赁房屋用以经营活动的，应依法办理经营所需手续，保证合法经营，不得从事各类违法活动或损害社会公共利益的行为。</w:t>
      </w:r>
      <w:r>
        <w:rPr>
          <w:rFonts w:hint="eastAsia" w:ascii="仿宋_GB2312" w:hAnsi="仿宋_GB2312" w:eastAsia="仿宋_GB2312" w:cs="仿宋_GB2312"/>
          <w:b/>
          <w:color w:val="000000" w:themeColor="text1"/>
          <w:sz w:val="24"/>
          <w:highlight w:val="none"/>
          <w14:textFill>
            <w14:solidFill>
              <w14:schemeClr w14:val="tx1"/>
            </w14:solidFill>
          </w14:textFill>
        </w:rPr>
        <w:t>不得有人员居住、生活。</w:t>
      </w:r>
      <w:r>
        <w:rPr>
          <w:rFonts w:hint="eastAsia" w:ascii="仿宋_GB2312" w:hAnsi="仿宋_GB2312" w:eastAsia="仿宋_GB2312" w:cs="仿宋_GB2312"/>
          <w:bCs/>
          <w:color w:val="000000" w:themeColor="text1"/>
          <w:sz w:val="24"/>
          <w:highlight w:val="none"/>
          <w14:textFill>
            <w14:solidFill>
              <w14:schemeClr w14:val="tx1"/>
            </w14:solidFill>
          </w14:textFill>
        </w:rPr>
        <w:t>乙方的经营业态必须符合国家环境保护规定、杭州市有关消防安全条例等相关法律法规。生产经营场所经营业态不得有违社会公序良俗，不得产生声、光、水、电、气等环境污染，不得经营其他有关消防安全隐患的项目，不得经营殡葬、化工（油漆、易燃易爆等）危险品等影响周边日常生活及杭州市消防、卫生、环境等职能部门限制或禁止的业态，其余业态经行政部门审批后可经营。乙方所经营业态或房屋装修现场不得出现违反公序良俗、低俗下流、</w:t>
      </w:r>
      <w:r>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t>伤害民族感情</w:t>
      </w:r>
      <w:r>
        <w:rPr>
          <w:rFonts w:hint="eastAsia" w:ascii="仿宋_GB2312" w:hAnsi="仿宋_GB2312" w:eastAsia="仿宋_GB2312" w:cs="仿宋_GB2312"/>
          <w:bCs/>
          <w:color w:val="000000" w:themeColor="text1"/>
          <w:sz w:val="24"/>
          <w:highlight w:val="none"/>
          <w14:textFill>
            <w14:solidFill>
              <w14:schemeClr w14:val="tx1"/>
            </w14:solidFill>
          </w14:textFill>
        </w:rPr>
        <w:t>、不符合社会主义核心价值观等元素或内容。</w:t>
      </w:r>
      <w:r>
        <w:rPr>
          <w:rFonts w:hint="eastAsia" w:ascii="仿宋_GB2312" w:hAnsi="仿宋_GB2312" w:eastAsia="仿宋_GB2312" w:cs="仿宋_GB2312"/>
          <w:color w:val="000000" w:themeColor="text1"/>
          <w:sz w:val="24"/>
          <w:highlight w:val="none"/>
          <w14:textFill>
            <w14:solidFill>
              <w14:schemeClr w14:val="tx1"/>
            </w14:solidFill>
          </w14:textFill>
        </w:rPr>
        <w:t>乙方应遵守当地政府有关物业使用和物业管理的规定。违反本条的视为乙方严重违约。</w:t>
      </w:r>
    </w:p>
    <w:p w14:paraId="43BEFD5E">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default" w:ascii="仿宋_GB2312" w:hAnsi="仿宋_GB2312" w:eastAsia="仿宋_GB2312" w:cs="仿宋_GB2312"/>
          <w:color w:val="000000" w:themeColor="text1"/>
          <w:sz w:val="24"/>
          <w:highlight w:val="none"/>
          <w:lang w:val="en-US"/>
          <w14:textFill>
            <w14:solidFill>
              <w14:schemeClr w14:val="tx1"/>
            </w14:solidFill>
          </w14:textFill>
        </w:rPr>
        <w:t>3</w:t>
      </w:r>
      <w:r>
        <w:rPr>
          <w:rFonts w:hint="eastAsia" w:ascii="仿宋_GB2312" w:hAnsi="仿宋_GB2312" w:eastAsia="仿宋_GB2312" w:cs="仿宋_GB2312"/>
          <w:color w:val="000000" w:themeColor="text1"/>
          <w:sz w:val="24"/>
          <w:highlight w:val="none"/>
          <w14:textFill>
            <w14:solidFill>
              <w14:schemeClr w14:val="tx1"/>
            </w14:solidFill>
          </w14:textFill>
        </w:rPr>
        <w:t>、本次租赁房屋为</w:t>
      </w:r>
      <w:r>
        <w:rPr>
          <w:rFonts w:hint="eastAsia" w:ascii="仿宋_GB2312" w:hAnsi="仿宋_GB2312" w:eastAsia="仿宋_GB2312" w:cs="仿宋_GB2312"/>
          <w:color w:val="000000" w:themeColor="text1"/>
          <w:sz w:val="24"/>
          <w:highlight w:val="none"/>
          <w:u w:val="single"/>
          <w14:textFill>
            <w14:solidFill>
              <w14:schemeClr w14:val="tx1"/>
            </w14:solidFill>
          </w14:textFill>
        </w:rPr>
        <w:t xml:space="preserve"> 商服用地/</w:t>
      </w:r>
      <w:r>
        <w:rPr>
          <w:rFonts w:hint="eastAsia" w:ascii="仿宋_GB2312" w:hAnsi="仿宋_GB2312" w:eastAsia="仿宋_GB2312" w:cs="仿宋_GB2312"/>
          <w:color w:val="000000" w:themeColor="text1"/>
          <w:sz w:val="24"/>
          <w:highlight w:val="none"/>
          <w:u w:val="single"/>
          <w:lang w:val="en-US" w:eastAsia="zh-CN"/>
          <w14:textFill>
            <w14:solidFill>
              <w14:schemeClr w14:val="tx1"/>
            </w14:solidFill>
          </w14:textFill>
        </w:rPr>
        <w:t>商业用房</w:t>
      </w:r>
      <w:r>
        <w:rPr>
          <w:rFonts w:hint="eastAsia" w:ascii="仿宋_GB2312" w:hAnsi="仿宋_GB2312" w:eastAsia="仿宋_GB2312" w:cs="仿宋_GB2312"/>
          <w:color w:val="000000" w:themeColor="text1"/>
          <w:sz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14:textFill>
            <w14:solidFill>
              <w14:schemeClr w14:val="tx1"/>
            </w14:solidFill>
          </w14:textFill>
        </w:rPr>
        <w:t>，乙方</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在本项目报名</w:t>
      </w:r>
      <w:r>
        <w:rPr>
          <w:rFonts w:hint="eastAsia" w:ascii="仿宋_GB2312" w:hAnsi="仿宋_GB2312" w:eastAsia="仿宋_GB2312" w:cs="仿宋_GB2312"/>
          <w:color w:val="000000" w:themeColor="text1"/>
          <w:sz w:val="24"/>
          <w:highlight w:val="none"/>
          <w14:textFill>
            <w14:solidFill>
              <w14:schemeClr w14:val="tx1"/>
            </w14:solidFill>
          </w14:textFill>
        </w:rPr>
        <w:t>前已向住建部门、消防安全部门、市场监督管理局等相关部门核实了解该房屋及房屋所在土地的土地使用权的性质和用途合法，已确认该房屋质量合格、主体结构安全，已确认租赁房屋或房屋所在土地权可合法用于乙方约定的租赁使用用途，租赁标的物完全符合乙方的租赁用途且不影响乙方租赁合同目的之实现。乙方已实地踏勘了该处房屋，对该处土地房屋的规划用途、位置等现状均已作了充分的了解，租赁场地内现有的、由上一任租赁客户所遗留下来的全部装修工程（如有），乙方确认满足乙方经营需要予以保留，乙方愿意以现场现状承租该房屋，包括但不限于乙方同意接受租赁场地内现有的、由上一任租赁客户所遗留下来的全部装修工程（如有），并放弃因该装修已经存在的或潜在的任何瑕疵、质量问题、维修维护费用等向甲方进行索赔的权利。乙方已明确知悉并接受租赁房屋的规划用途、产权情况、性质等限制条件，乙方承诺不因此提出索赔。乙方在进行经营活动前，应自行前往政府有关部门（工商、住建、消防、规划等）办理相关的各种审批、手续等，并取得相应批准的执照、批复、许可等，费用由乙方承担。甲方对乙方因使用租赁房屋合法经营任何有关业态须办理政府有关部门（工商、住建、消防、规划等）的各种审批、手续等不作任何保证、不承担任何责任，乙方承诺不因此提出索赔</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或要求减免租金</w:t>
      </w:r>
      <w:r>
        <w:rPr>
          <w:rFonts w:hint="eastAsia" w:ascii="仿宋_GB2312" w:hAnsi="仿宋_GB2312" w:eastAsia="仿宋_GB2312" w:cs="仿宋_GB2312"/>
          <w:color w:val="000000" w:themeColor="text1"/>
          <w:sz w:val="24"/>
          <w:highlight w:val="none"/>
          <w14:textFill>
            <w14:solidFill>
              <w14:schemeClr w14:val="tx1"/>
            </w14:solidFill>
          </w14:textFill>
        </w:rPr>
        <w:t>。</w:t>
      </w:r>
    </w:p>
    <w:p w14:paraId="3DE9E549">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1.4、地铁运营优先</w:t>
      </w:r>
    </w:p>
    <w:p w14:paraId="25E9EEE0">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1.4.1 鉴于本次租赁房屋在地铁线路、车站范围内或相关联区域内，即地铁</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4"/>
          <w:highlight w:val="none"/>
          <w14:textFill>
            <w14:solidFill>
              <w14:schemeClr w14:val="tx1"/>
            </w14:solidFill>
          </w14:textFill>
        </w:rPr>
        <w:t>号线与9号线双铁上盖，乙方承诺并同意在理解和实施本合同项下的任何条款时优先考虑地铁线路、车站、车辆场段的安全高效运行。甲方保留因地铁建设及运营需要永久或临时（视需要而定）终止、调整或删减全部或部分已移交乙方使用房屋的权利，乙方应无条件服从并按甲方书面指定的时间内提供相应的场地给甲方使用，如乙方因此产生直接经济损失，由双方协商解决。</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但</w:t>
      </w:r>
      <w:r>
        <w:rPr>
          <w:rFonts w:hint="eastAsia" w:ascii="仿宋_GB2312" w:hAnsi="仿宋_GB2312" w:eastAsia="仿宋_GB2312" w:cs="仿宋_GB2312"/>
          <w:color w:val="000000" w:themeColor="text1"/>
          <w:sz w:val="24"/>
          <w:highlight w:val="none"/>
          <w14:textFill>
            <w14:solidFill>
              <w14:schemeClr w14:val="tx1"/>
            </w14:solidFill>
          </w14:textFill>
        </w:rPr>
        <w:t>甲方</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对</w:t>
      </w:r>
      <w:r>
        <w:rPr>
          <w:rFonts w:hint="eastAsia" w:ascii="仿宋_GB2312" w:hAnsi="仿宋_GB2312" w:eastAsia="仿宋_GB2312" w:cs="仿宋_GB2312"/>
          <w:color w:val="000000" w:themeColor="text1"/>
          <w:sz w:val="24"/>
          <w:highlight w:val="none"/>
          <w14:textFill>
            <w14:solidFill>
              <w14:schemeClr w14:val="tx1"/>
            </w14:solidFill>
          </w14:textFill>
        </w:rPr>
        <w:t>乙方的补偿总额不应超过受影响部分房屋在受影响期间的对应租金。</w:t>
      </w:r>
    </w:p>
    <w:p w14:paraId="70E3B48A">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1.4.2 乙方承诺并同意该房屋的生产经营须配合地铁线路、车站、车辆场段的客运服务及运行，避免与任何其他系统造成冲突或干扰或对乘客造成滋扰或其他消极影响。乙方应就甲方提出的对该房屋的生产经营、维护进行变更的合理要求，按甲方书面通知的规定时间内提出方案并解决，否则视为乙方违约。</w:t>
      </w:r>
    </w:p>
    <w:p w14:paraId="388B1B69">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1.4.3 鉴于地铁的特殊性和公益性，甲方有权根据实际情况或政府部门要求，为检查、维护和修复地铁线路、车站、车辆场段的任何部分或为保证经营线路的安全高效而进行的安全检查、检修及应急疏散、演习等，包括不限于中断地铁线路的运营及关闭地铁车站、车辆场段，乙方应无条件配合甲方</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。若因政府部门要求或突发紧急事件导致的上述行为，无论是否对乙方经营造成影响，甲方均不承担任何责任。</w:t>
      </w:r>
    </w:p>
    <w:p w14:paraId="081B906F">
      <w:pPr>
        <w:adjustRightInd w:val="0"/>
        <w:snapToGrid w:val="0"/>
        <w:spacing w:line="360" w:lineRule="auto"/>
        <w:ind w:firstLine="482" w:firstLineChars="200"/>
        <w:rPr>
          <w:rFonts w:hint="eastAsia"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第二条  租赁期限</w:t>
      </w:r>
    </w:p>
    <w:p w14:paraId="3F19FEE3">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lang w:eastAsia="zh"/>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2.1、该处房屋租赁期限自</w:t>
      </w:r>
      <w:r>
        <w:rPr>
          <w:rFonts w:hint="eastAsia" w:ascii="仿宋_GB2312" w:hAnsi="仿宋_GB2312" w:eastAsia="仿宋_GB2312" w:cs="仿宋_GB2312"/>
          <w:color w:val="000000" w:themeColor="text1"/>
          <w:sz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14:textFill>
            <w14:solidFill>
              <w14:schemeClr w14:val="tx1"/>
            </w14:solidFill>
          </w14:textFill>
        </w:rPr>
        <w:t>年</w:t>
      </w:r>
      <w:r>
        <w:rPr>
          <w:rFonts w:hint="eastAsia" w:ascii="仿宋_GB2312" w:hAnsi="仿宋_GB2312" w:eastAsia="仿宋_GB2312" w:cs="仿宋_GB2312"/>
          <w:color w:val="000000" w:themeColor="text1"/>
          <w:sz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14:textFill>
            <w14:solidFill>
              <w14:schemeClr w14:val="tx1"/>
            </w14:solidFill>
          </w14:textFill>
        </w:rPr>
        <w:t>月</w:t>
      </w:r>
      <w:r>
        <w:rPr>
          <w:rFonts w:hint="eastAsia" w:ascii="仿宋_GB2312" w:hAnsi="仿宋_GB2312" w:eastAsia="仿宋_GB2312" w:cs="仿宋_GB2312"/>
          <w:color w:val="000000" w:themeColor="text1"/>
          <w:sz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14:textFill>
            <w14:solidFill>
              <w14:schemeClr w14:val="tx1"/>
            </w14:solidFill>
          </w14:textFill>
        </w:rPr>
        <w:t>日至</w:t>
      </w:r>
      <w:r>
        <w:rPr>
          <w:rFonts w:hint="eastAsia" w:ascii="仿宋_GB2312" w:hAnsi="仿宋_GB2312" w:eastAsia="仿宋_GB2312" w:cs="仿宋_GB2312"/>
          <w:color w:val="000000" w:themeColor="text1"/>
          <w:sz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14:textFill>
            <w14:solidFill>
              <w14:schemeClr w14:val="tx1"/>
            </w14:solidFill>
          </w14:textFill>
        </w:rPr>
        <w:t>年</w:t>
      </w:r>
      <w:r>
        <w:rPr>
          <w:rFonts w:hint="eastAsia" w:ascii="仿宋_GB2312" w:hAnsi="仿宋_GB2312" w:eastAsia="仿宋_GB2312" w:cs="仿宋_GB2312"/>
          <w:color w:val="000000" w:themeColor="text1"/>
          <w:sz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14:textFill>
            <w14:solidFill>
              <w14:schemeClr w14:val="tx1"/>
            </w14:solidFill>
          </w14:textFill>
        </w:rPr>
        <w:t>月</w:t>
      </w:r>
      <w:r>
        <w:rPr>
          <w:rFonts w:hint="eastAsia" w:ascii="仿宋_GB2312" w:hAnsi="仿宋_GB2312" w:eastAsia="仿宋_GB2312" w:cs="仿宋_GB2312"/>
          <w:color w:val="000000" w:themeColor="text1"/>
          <w:sz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14:textFill>
            <w14:solidFill>
              <w14:schemeClr w14:val="tx1"/>
            </w14:solidFill>
          </w14:textFill>
        </w:rPr>
        <w:t>日止，共10年。本合同所称“</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租赁</w:t>
      </w:r>
      <w:r>
        <w:rPr>
          <w:rFonts w:hint="eastAsia" w:ascii="仿宋_GB2312" w:hAnsi="仿宋_GB2312" w:eastAsia="仿宋_GB2312" w:cs="仿宋_GB2312"/>
          <w:color w:val="000000" w:themeColor="text1"/>
          <w:sz w:val="24"/>
          <w:highlight w:val="none"/>
          <w14:textFill>
            <w14:solidFill>
              <w14:schemeClr w14:val="tx1"/>
            </w14:solidFill>
          </w14:textFill>
        </w:rPr>
        <w:t>年度”，均系指自起租日起向后推算，每满十二个月为一个</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租赁</w:t>
      </w:r>
      <w:r>
        <w:rPr>
          <w:rFonts w:hint="eastAsia" w:ascii="仿宋_GB2312" w:hAnsi="仿宋_GB2312" w:eastAsia="仿宋_GB2312" w:cs="仿宋_GB2312"/>
          <w:color w:val="000000" w:themeColor="text1"/>
          <w:sz w:val="24"/>
          <w:highlight w:val="none"/>
          <w14:textFill>
            <w14:solidFill>
              <w14:schemeClr w14:val="tx1"/>
            </w14:solidFill>
          </w14:textFill>
        </w:rPr>
        <w:t>年度。本合同所称“租赁季度”，均系指自起租日起向后推算，每满三个月为一个租赁季度</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w:t>
      </w:r>
    </w:p>
    <w:p w14:paraId="6A0A60CB">
      <w:pPr>
        <w:adjustRightInd/>
        <w:snapToGrid/>
        <w:spacing w:line="360" w:lineRule="auto"/>
        <w:ind w:firstLine="480" w:firstLineChars="200"/>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房屋租赁期限届满，租赁合同终止。甲方应于招租程序启动前书面通知乙方。乙方需要继续租用的，应当关注并按时参加甲方的招租程序，若不参加招租程序则视作放弃续租，乙方按规定参加招租程序的，在同等条件下拥有优先承租权。</w:t>
      </w:r>
    </w:p>
    <w:p w14:paraId="38DE09F9">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4"/>
          <w:highlight w:val="none"/>
          <w14:textFill>
            <w14:solidFill>
              <w14:schemeClr w14:val="tx1"/>
            </w14:solidFill>
          </w14:textFill>
        </w:rPr>
        <w:t>、甲乙双方约定地铁东城广场项目按</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现状</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交付。</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空置房屋的</w:t>
      </w:r>
      <w:r>
        <w:rPr>
          <w:rFonts w:hint="eastAsia" w:ascii="仿宋_GB2312" w:hAnsi="仿宋_GB2312" w:eastAsia="仿宋_GB2312" w:cs="仿宋_GB2312"/>
          <w:color w:val="000000" w:themeColor="text1"/>
          <w:sz w:val="24"/>
          <w:highlight w:val="none"/>
          <w14:textFill>
            <w14:solidFill>
              <w14:schemeClr w14:val="tx1"/>
            </w14:solidFill>
          </w14:textFill>
        </w:rPr>
        <w:t>租赁起始日为乙方租赁场所实际交付之日</w:t>
      </w:r>
      <w:r>
        <w:rPr>
          <w:rFonts w:hint="eastAsia" w:ascii="仿宋_GB2312" w:hAnsi="仿宋_GB2312" w:eastAsia="仿宋_GB2312" w:cs="仿宋_GB2312"/>
          <w:color w:val="000000" w:themeColor="text1"/>
          <w:sz w:val="24"/>
          <w:highlight w:val="none"/>
          <w14:textFill>
            <w14:solidFill>
              <w14:schemeClr w14:val="tx1"/>
            </w14:solidFill>
          </w14:textFill>
        </w:rPr>
        <w:t>，乙方同意按附件1《租赁房屋交付通知书》内通知的交付日期（“交付日”）进行房屋交接，双方签署</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附件九</w:t>
      </w:r>
      <w:r>
        <w:rPr>
          <w:rFonts w:hint="eastAsia" w:ascii="仿宋_GB2312" w:hAnsi="仿宋_GB2312" w:eastAsia="仿宋_GB2312" w:cs="仿宋_GB2312"/>
          <w:color w:val="000000" w:themeColor="text1"/>
          <w:sz w:val="24"/>
          <w:highlight w:val="none"/>
          <w14:textFill>
            <w14:solidFill>
              <w14:schemeClr w14:val="tx1"/>
            </w14:solidFill>
          </w14:textFill>
        </w:rPr>
        <w:t>《租赁房屋</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交付</w:t>
      </w:r>
      <w:r>
        <w:rPr>
          <w:rFonts w:hint="eastAsia" w:ascii="仿宋_GB2312" w:hAnsi="仿宋_GB2312" w:eastAsia="仿宋_GB2312" w:cs="仿宋_GB2312"/>
          <w:color w:val="000000" w:themeColor="text1"/>
          <w:sz w:val="24"/>
          <w:highlight w:val="none"/>
          <w14:textFill>
            <w14:solidFill>
              <w14:schemeClr w14:val="tx1"/>
            </w14:solidFill>
          </w14:textFill>
        </w:rPr>
        <w:t>确认书》并以交付日起算该房屋租赁起始日及起算租金，若乙方未按本条约定进行房屋交接的，并不影响租金按甲方通知的交付日作为租赁起始日开始计算。</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具体交付事项按本合同第八、</w:t>
      </w:r>
      <w:r>
        <w:rPr>
          <w:rFonts w:hint="eastAsia" w:ascii="仿宋_GB2312" w:hAnsi="仿宋_GB2312" w:eastAsia="仿宋_GB2312" w:cs="仿宋_GB2312"/>
          <w:color w:val="000000" w:themeColor="text1"/>
          <w:sz w:val="24"/>
          <w:highlight w:val="none"/>
          <w:lang w:val="en-US" w:eastAsia="zh"/>
          <w14:textFill>
            <w14:solidFill>
              <w14:schemeClr w14:val="tx1"/>
            </w14:solidFill>
          </w14:textFill>
        </w:rPr>
        <w:t>十</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条执行。</w:t>
      </w:r>
    </w:p>
    <w:p w14:paraId="2994A69B">
      <w:pPr>
        <w:pStyle w:val="11"/>
        <w:adjustRightInd w:val="0"/>
        <w:snapToGrid w:val="0"/>
        <w:spacing w:after="0" w:line="360" w:lineRule="auto"/>
        <w:ind w:left="0" w:leftChars="0" w:firstLine="480" w:firstLineChars="20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2.</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z w:val="24"/>
          <w:szCs w:val="24"/>
          <w:highlight w:val="none"/>
          <w14:textFill>
            <w14:solidFill>
              <w14:schemeClr w14:val="tx1"/>
            </w14:solidFill>
          </w14:textFill>
        </w:rPr>
        <w:t>、如甲方迟延向乙方交付该租赁房屋，租赁起止日期及免租期按实际交付日顺延计算。</w:t>
      </w:r>
    </w:p>
    <w:p w14:paraId="2112E587">
      <w:pPr>
        <w:pStyle w:val="11"/>
        <w:adjustRightInd w:val="0"/>
        <w:snapToGrid w:val="0"/>
        <w:spacing w:after="0" w:line="360" w:lineRule="auto"/>
        <w:ind w:left="0" w:leftChars="0" w:firstLine="480" w:firstLineChars="200"/>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2.5、装修</w:t>
      </w:r>
      <w:r>
        <w:rPr>
          <w:rFonts w:hint="eastAsia" w:ascii="仿宋_GB2312" w:hAnsi="仿宋_GB2312" w:eastAsia="仿宋_GB2312" w:cs="仿宋_GB2312"/>
          <w:color w:val="000000" w:themeColor="text1"/>
          <w:sz w:val="24"/>
          <w:highlight w:val="none"/>
          <w14:textFill>
            <w14:solidFill>
              <w14:schemeClr w14:val="tx1"/>
            </w14:solidFill>
          </w14:textFill>
        </w:rPr>
        <w:t>免租期：在乙方按约正常履行本合同的前提下，乙方享有</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总计</w:t>
      </w:r>
      <w:r>
        <w:rPr>
          <w:rFonts w:hint="eastAsia" w:ascii="仿宋_GB2312" w:hAnsi="仿宋_GB2312" w:eastAsia="仿宋_GB2312" w:cs="仿宋_GB2312"/>
          <w:color w:val="000000" w:themeColor="text1"/>
          <w:sz w:val="24"/>
          <w:highlight w:val="none"/>
          <w14:textFill>
            <w14:solidFill>
              <w14:schemeClr w14:val="tx1"/>
            </w14:solidFill>
          </w14:textFill>
        </w:rPr>
        <w:t>6个月的</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装修</w:t>
      </w:r>
      <w:r>
        <w:rPr>
          <w:rFonts w:hint="eastAsia" w:ascii="仿宋_GB2312" w:hAnsi="仿宋_GB2312" w:eastAsia="仿宋_GB2312" w:cs="仿宋_GB2312"/>
          <w:color w:val="000000" w:themeColor="text1"/>
          <w:sz w:val="24"/>
          <w:highlight w:val="none"/>
          <w14:textFill>
            <w14:solidFill>
              <w14:schemeClr w14:val="tx1"/>
            </w14:solidFill>
          </w14:textFill>
        </w:rPr>
        <w:t>免租期</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ascii="仿宋_GB2312" w:hAnsi="仿宋_GB2312" w:eastAsia="仿宋_GB2312" w:cs="仿宋_GB2312"/>
          <w:i w:val="0"/>
          <w:iCs w:val="0"/>
          <w:caps w:val="0"/>
          <w:color w:val="000000" w:themeColor="text1"/>
          <w:spacing w:val="0"/>
          <w:sz w:val="24"/>
          <w:szCs w:val="24"/>
          <w:highlight w:val="none"/>
          <w:shd w:val="clear" w:fill="FCFCFC"/>
          <w14:textFill>
            <w14:solidFill>
              <w14:schemeClr w14:val="tx1"/>
            </w14:solidFill>
          </w14:textFill>
        </w:rPr>
        <w:t>该免租期分两期执行：​</w:t>
      </w:r>
      <w:r>
        <w:rPr>
          <w:rStyle w:val="18"/>
          <w:rFonts w:ascii="仿宋_GB2312" w:hAnsi="仿宋_GB2312" w:eastAsia="仿宋_GB2312" w:cs="仿宋_GB2312"/>
          <w:b/>
          <w:bCs/>
          <w:i w:val="0"/>
          <w:iCs w:val="0"/>
          <w:caps w:val="0"/>
          <w:color w:val="000000" w:themeColor="text1"/>
          <w:spacing w:val="0"/>
          <w:sz w:val="24"/>
          <w:szCs w:val="24"/>
          <w:highlight w:val="none"/>
          <w:shd w:val="clear" w:fill="FCFCFC"/>
          <w:vertAlign w:val="baseline"/>
          <w14:textFill>
            <w14:solidFill>
              <w14:schemeClr w14:val="tx1"/>
            </w14:solidFill>
          </w14:textFill>
        </w:rPr>
        <w:t>第一期</w:t>
      </w:r>
      <w:r>
        <w:rPr>
          <w:rFonts w:hint="default" w:ascii="仿宋_GB2312" w:hAnsi="仿宋_GB2312" w:eastAsia="仿宋_GB2312" w:cs="仿宋_GB2312"/>
          <w:i w:val="0"/>
          <w:iCs w:val="0"/>
          <w:caps w:val="0"/>
          <w:color w:val="000000" w:themeColor="text1"/>
          <w:spacing w:val="0"/>
          <w:sz w:val="24"/>
          <w:szCs w:val="24"/>
          <w:highlight w:val="none"/>
          <w:shd w:val="clear" w:fill="FCFCFC"/>
          <w14:textFill>
            <w14:solidFill>
              <w14:schemeClr w14:val="tx1"/>
            </w14:solidFill>
          </w14:textFill>
        </w:rPr>
        <w:t>于</w:t>
      </w:r>
      <w:r>
        <w:rPr>
          <w:rStyle w:val="18"/>
          <w:rFonts w:hint="default" w:ascii="仿宋_GB2312" w:hAnsi="仿宋_GB2312" w:eastAsia="仿宋_GB2312" w:cs="仿宋_GB2312"/>
          <w:b/>
          <w:bCs/>
          <w:i w:val="0"/>
          <w:iCs w:val="0"/>
          <w:caps w:val="0"/>
          <w:color w:val="000000" w:themeColor="text1"/>
          <w:spacing w:val="0"/>
          <w:sz w:val="24"/>
          <w:szCs w:val="24"/>
          <w:highlight w:val="none"/>
          <w:shd w:val="clear" w:fill="FCFCFC"/>
          <w:vertAlign w:val="baseline"/>
          <w14:textFill>
            <w14:solidFill>
              <w14:schemeClr w14:val="tx1"/>
            </w14:solidFill>
          </w14:textFill>
        </w:rPr>
        <w:t>第一个租赁年度的第一个租赁季度</w:t>
      </w:r>
      <w:r>
        <w:rPr>
          <w:rFonts w:hint="default" w:ascii="仿宋_GB2312" w:hAnsi="仿宋_GB2312" w:eastAsia="仿宋_GB2312" w:cs="仿宋_GB2312"/>
          <w:i w:val="0"/>
          <w:iCs w:val="0"/>
          <w:caps w:val="0"/>
          <w:color w:val="000000" w:themeColor="text1"/>
          <w:spacing w:val="0"/>
          <w:sz w:val="24"/>
          <w:szCs w:val="24"/>
          <w:highlight w:val="none"/>
          <w:shd w:val="clear" w:fill="FCFCFC"/>
          <w14:textFill>
            <w14:solidFill>
              <w14:schemeClr w14:val="tx1"/>
            </w14:solidFill>
          </w14:textFill>
        </w:rPr>
        <w:t>内执行（自____年____月____日至____年____月____日）；</w:t>
      </w:r>
      <w:r>
        <w:rPr>
          <w:rStyle w:val="18"/>
          <w:rFonts w:hint="default" w:ascii="仿宋_GB2312" w:hAnsi="仿宋_GB2312" w:eastAsia="仿宋_GB2312" w:cs="仿宋_GB2312"/>
          <w:b/>
          <w:bCs/>
          <w:i w:val="0"/>
          <w:iCs w:val="0"/>
          <w:caps w:val="0"/>
          <w:color w:val="000000" w:themeColor="text1"/>
          <w:spacing w:val="0"/>
          <w:sz w:val="24"/>
          <w:szCs w:val="24"/>
          <w:highlight w:val="none"/>
          <w:shd w:val="clear" w:fill="FCFCFC"/>
          <w:vertAlign w:val="baseline"/>
          <w14:textFill>
            <w14:solidFill>
              <w14:schemeClr w14:val="tx1"/>
            </w14:solidFill>
          </w14:textFill>
        </w:rPr>
        <w:t>第二期</w:t>
      </w:r>
      <w:r>
        <w:rPr>
          <w:rFonts w:hint="default" w:ascii="仿宋_GB2312" w:hAnsi="仿宋_GB2312" w:eastAsia="仿宋_GB2312" w:cs="仿宋_GB2312"/>
          <w:i w:val="0"/>
          <w:iCs w:val="0"/>
          <w:caps w:val="0"/>
          <w:color w:val="000000" w:themeColor="text1"/>
          <w:spacing w:val="0"/>
          <w:sz w:val="24"/>
          <w:szCs w:val="24"/>
          <w:highlight w:val="none"/>
          <w:shd w:val="clear" w:fill="FCFCFC"/>
          <w14:textFill>
            <w14:solidFill>
              <w14:schemeClr w14:val="tx1"/>
            </w14:solidFill>
          </w14:textFill>
        </w:rPr>
        <w:t>于</w:t>
      </w:r>
      <w:r>
        <w:rPr>
          <w:rStyle w:val="18"/>
          <w:rFonts w:hint="default" w:ascii="仿宋_GB2312" w:hAnsi="仿宋_GB2312" w:eastAsia="仿宋_GB2312" w:cs="仿宋_GB2312"/>
          <w:b/>
          <w:bCs/>
          <w:i w:val="0"/>
          <w:iCs w:val="0"/>
          <w:caps w:val="0"/>
          <w:color w:val="000000" w:themeColor="text1"/>
          <w:spacing w:val="0"/>
          <w:sz w:val="24"/>
          <w:szCs w:val="24"/>
          <w:highlight w:val="none"/>
          <w:shd w:val="clear" w:fill="FCFCFC"/>
          <w:vertAlign w:val="baseline"/>
          <w14:textFill>
            <w14:solidFill>
              <w14:schemeClr w14:val="tx1"/>
            </w14:solidFill>
          </w14:textFill>
        </w:rPr>
        <w:t>第二个租赁年度的第二个租赁季度</w:t>
      </w:r>
      <w:r>
        <w:rPr>
          <w:rFonts w:hint="default" w:ascii="仿宋_GB2312" w:hAnsi="仿宋_GB2312" w:eastAsia="仿宋_GB2312" w:cs="仿宋_GB2312"/>
          <w:i w:val="0"/>
          <w:iCs w:val="0"/>
          <w:caps w:val="0"/>
          <w:color w:val="000000" w:themeColor="text1"/>
          <w:spacing w:val="0"/>
          <w:sz w:val="24"/>
          <w:szCs w:val="24"/>
          <w:highlight w:val="none"/>
          <w:shd w:val="clear" w:fill="FCFCFC"/>
          <w14:textFill>
            <w14:solidFill>
              <w14:schemeClr w14:val="tx1"/>
            </w14:solidFill>
          </w14:textFill>
        </w:rPr>
        <w:t>内执行（自____年____月____日至____年____月____日）。</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装修</w:t>
      </w:r>
      <w:r>
        <w:rPr>
          <w:rFonts w:hint="eastAsia" w:ascii="仿宋_GB2312" w:hAnsi="仿宋_GB2312" w:eastAsia="仿宋_GB2312" w:cs="仿宋_GB2312"/>
          <w:color w:val="000000" w:themeColor="text1"/>
          <w:sz w:val="24"/>
          <w:highlight w:val="none"/>
          <w14:textFill>
            <w14:solidFill>
              <w14:schemeClr w14:val="tx1"/>
            </w14:solidFill>
          </w14:textFill>
        </w:rPr>
        <w:t>免租期内的租金标准均按</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第一个</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租赁</w:t>
      </w:r>
      <w:r>
        <w:rPr>
          <w:rFonts w:hint="eastAsia" w:ascii="仿宋_GB2312" w:hAnsi="仿宋_GB2312" w:eastAsia="仿宋_GB2312" w:cs="仿宋_GB2312"/>
          <w:color w:val="000000" w:themeColor="text1"/>
          <w:sz w:val="24"/>
          <w:highlight w:val="none"/>
          <w14:textFill>
            <w14:solidFill>
              <w14:schemeClr w14:val="tx1"/>
            </w14:solidFill>
          </w14:textFill>
        </w:rPr>
        <w:t>年度的租金标准计算，免除租金共计人民币</w:t>
      </w:r>
      <w:r>
        <w:rPr>
          <w:rFonts w:hint="eastAsia" w:ascii="仿宋_GB2312" w:hAnsi="仿宋_GB2312" w:eastAsia="仿宋_GB2312" w:cs="仿宋_GB2312"/>
          <w:color w:val="000000" w:themeColor="text1"/>
          <w:sz w:val="24"/>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4"/>
          <w:highlight w:val="none"/>
          <w14:textFill>
            <w14:solidFill>
              <w14:schemeClr w14:val="tx1"/>
            </w14:solidFill>
          </w14:textFill>
        </w:rPr>
        <w:t>元</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其他一切费用（包括但不限于物业费、水电费等）乙方仍需承担并按时缴纳。如因乙方原因导致本合同提前终止或解除的，甲方有权取消给乙方的装修免租期优惠，乙方需足额补缴已享受的免租期期限范围内的租金。</w:t>
      </w:r>
    </w:p>
    <w:p w14:paraId="3FEB70C9">
      <w:pPr>
        <w:adjustRightInd w:val="0"/>
        <w:snapToGrid w:val="0"/>
        <w:spacing w:line="360" w:lineRule="auto"/>
        <w:ind w:firstLine="482" w:firstLineChars="200"/>
        <w:outlineLvl w:val="0"/>
        <w:rPr>
          <w:rFonts w:hint="eastAsia"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第三条  房屋的租金及支付方式</w:t>
      </w:r>
    </w:p>
    <w:p w14:paraId="490A34FF">
      <w:pPr>
        <w:pStyle w:val="6"/>
        <w:adjustRightInd w:val="0"/>
        <w:snapToGrid w:val="0"/>
        <w:spacing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3.1、租金：本协议总含税租金为人民币（大写）</w:t>
      </w:r>
      <w:r>
        <w:rPr>
          <w:rFonts w:hint="eastAsia" w:ascii="仿宋_GB2312" w:hAnsi="仿宋_GB2312" w:eastAsia="仿宋_GB2312" w:cs="仿宋_GB2312"/>
          <w:color w:val="000000" w:themeColor="text1"/>
          <w:sz w:val="24"/>
          <w:highlight w:val="none"/>
          <w:u w:val="single"/>
          <w14:textFill>
            <w14:solidFill>
              <w14:schemeClr w14:val="tx1"/>
            </w14:solidFill>
          </w14:textFill>
        </w:rPr>
        <w:t xml:space="preserve">            ，（￥      ，税率为9%，不含税价为￥      ）。</w:t>
      </w:r>
      <w:r>
        <w:rPr>
          <w:rFonts w:hint="eastAsia" w:ascii="仿宋_GB2312" w:hAnsi="仿宋_GB2312" w:eastAsia="仿宋_GB2312" w:cs="仿宋_GB2312"/>
          <w:color w:val="000000" w:themeColor="text1"/>
          <w:sz w:val="24"/>
          <w:highlight w:val="none"/>
          <w:u w:val="none"/>
          <w14:textFill>
            <w14:solidFill>
              <w14:schemeClr w14:val="tx1"/>
            </w14:solidFill>
          </w14:textFill>
        </w:rPr>
        <w:t>首个租赁年度</w:t>
      </w:r>
      <w:r>
        <w:rPr>
          <w:rFonts w:hint="eastAsia" w:ascii="仿宋_GB2312" w:hAnsi="仿宋_GB2312" w:eastAsia="仿宋_GB2312" w:cs="仿宋_GB2312"/>
          <w:color w:val="000000" w:themeColor="text1"/>
          <w:sz w:val="24"/>
          <w:highlight w:val="none"/>
          <w:u w:val="none"/>
          <w:lang w:val="en-US" w:eastAsia="zh-CN"/>
          <w14:textFill>
            <w14:solidFill>
              <w14:schemeClr w14:val="tx1"/>
            </w14:solidFill>
          </w14:textFill>
        </w:rPr>
        <w:t>的年租金标准</w:t>
      </w:r>
      <w:r>
        <w:rPr>
          <w:rFonts w:hint="eastAsia" w:ascii="仿宋_GB2312" w:hAnsi="仿宋_GB2312" w:eastAsia="仿宋_GB2312" w:cs="仿宋_GB2312"/>
          <w:color w:val="000000" w:themeColor="text1"/>
          <w:sz w:val="24"/>
          <w:highlight w:val="none"/>
          <w14:textFill>
            <w14:solidFill>
              <w14:schemeClr w14:val="tx1"/>
            </w14:solidFill>
          </w14:textFill>
        </w:rPr>
        <w:t>为</w:t>
      </w:r>
      <w:r>
        <w:rPr>
          <w:rFonts w:hint="eastAsia" w:ascii="仿宋_GB2312" w:hAnsi="仿宋_GB2312" w:eastAsia="仿宋_GB2312" w:cs="仿宋_GB2312"/>
          <w:color w:val="000000" w:themeColor="text1"/>
          <w:sz w:val="24"/>
          <w:highlight w:val="none"/>
          <w:u w:val="single"/>
          <w14:textFill>
            <w14:solidFill>
              <w14:schemeClr w14:val="tx1"/>
            </w14:solidFill>
          </w14:textFill>
        </w:rPr>
        <w:t xml:space="preserve">   </w:t>
      </w:r>
      <w:bookmarkStart w:id="10" w:name="_GoBack"/>
      <w:bookmarkEnd w:id="10"/>
      <w:r>
        <w:rPr>
          <w:rFonts w:hint="eastAsia" w:ascii="仿宋_GB2312" w:hAnsi="仿宋_GB2312" w:eastAsia="仿宋_GB2312" w:cs="仿宋_GB2312"/>
          <w:color w:val="000000" w:themeColor="text1"/>
          <w:sz w:val="24"/>
          <w:highlight w:val="none"/>
          <w14:textFill>
            <w14:solidFill>
              <w14:schemeClr w14:val="tx1"/>
            </w14:solidFill>
          </w14:textFill>
        </w:rPr>
        <w:t>元，</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自</w:t>
      </w:r>
      <w:r>
        <w:rPr>
          <w:rFonts w:hint="eastAsia" w:ascii="仿宋_GB2312" w:hAnsi="仿宋_GB2312" w:eastAsia="仿宋_GB2312" w:cs="仿宋_GB2312"/>
          <w:color w:val="000000" w:themeColor="text1"/>
          <w:sz w:val="24"/>
          <w:highlight w:val="none"/>
          <w14:textFill>
            <w14:solidFill>
              <w14:schemeClr w14:val="tx1"/>
            </w14:solidFill>
          </w14:textFill>
        </w:rPr>
        <w:t>第二</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个租赁年度起</w:t>
      </w:r>
      <w:r>
        <w:rPr>
          <w:rFonts w:hint="eastAsia" w:ascii="仿宋_GB2312" w:hAnsi="仿宋_GB2312" w:eastAsia="仿宋_GB2312" w:cs="仿宋_GB2312"/>
          <w:color w:val="000000" w:themeColor="text1"/>
          <w:sz w:val="24"/>
          <w:highlight w:val="none"/>
          <w14:textFill>
            <w14:solidFill>
              <w14:schemeClr w14:val="tx1"/>
            </w14:solidFill>
          </w14:textFill>
        </w:rPr>
        <w:t>，每个租赁年度的年租金标准均在上一年度租金</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标准</w:t>
      </w:r>
      <w:r>
        <w:rPr>
          <w:rFonts w:hint="eastAsia" w:ascii="仿宋_GB2312" w:hAnsi="仿宋_GB2312" w:eastAsia="仿宋_GB2312" w:cs="仿宋_GB2312"/>
          <w:color w:val="000000" w:themeColor="text1"/>
          <w:sz w:val="24"/>
          <w:highlight w:val="none"/>
          <w14:textFill>
            <w14:solidFill>
              <w14:schemeClr w14:val="tx1"/>
            </w14:solidFill>
          </w14:textFill>
        </w:rPr>
        <w:t>的基础上递增1%​，</w:t>
      </w:r>
      <w:r>
        <w:rPr>
          <w:rFonts w:hint="eastAsia" w:ascii="仿宋_GB2312" w:hAnsi="仿宋_GB2312" w:eastAsia="仿宋_GB2312" w:cs="仿宋_GB2312"/>
          <w:color w:val="000000" w:themeColor="text1"/>
          <w:sz w:val="24"/>
          <w:highlight w:val="none"/>
          <w14:textFill>
            <w14:solidFill>
              <w14:schemeClr w14:val="tx1"/>
            </w14:solidFill>
          </w14:textFill>
        </w:rPr>
        <w:t>直至租赁期满。</w:t>
      </w:r>
      <w:r>
        <w:rPr>
          <w:rFonts w:hint="eastAsia" w:ascii="仿宋_GB2312" w:hAnsi="仿宋_GB2312" w:eastAsia="仿宋_GB2312" w:cs="仿宋_GB2312"/>
          <w:bCs/>
          <w:color w:val="000000" w:themeColor="text1"/>
          <w:sz w:val="24"/>
          <w:highlight w:val="none"/>
          <w14:textFill>
            <w14:solidFill>
              <w14:schemeClr w14:val="tx1"/>
            </w14:solidFill>
          </w14:textFill>
        </w:rPr>
        <w:t>上述租金不包含乙方租赁后使用该租赁房屋产生的各项能源费及公用事业费用等其他费用。</w:t>
      </w:r>
    </w:p>
    <w:p w14:paraId="398F1319">
      <w:pPr>
        <w:pStyle w:val="6"/>
        <w:adjustRightInd w:val="0"/>
        <w:snapToGrid w:val="0"/>
        <w:spacing w:line="360" w:lineRule="auto"/>
        <w:ind w:firstLine="480"/>
        <w:rPr>
          <w:rFonts w:hint="eastAsia" w:ascii="仿宋_GB2312" w:hAnsi="仿宋_GB2312" w:eastAsia="仿宋_GB2312" w:cs="仿宋_GB2312"/>
          <w:bCs/>
          <w:color w:val="000000" w:themeColor="text1"/>
          <w:sz w:val="24"/>
          <w:highlight w:val="none"/>
          <w14:textFill>
            <w14:solidFill>
              <w14:schemeClr w14:val="tx1"/>
            </w14:solidFill>
          </w14:textFill>
        </w:rPr>
      </w:pPr>
      <w:r>
        <w:rPr>
          <w:rFonts w:hint="eastAsia" w:ascii="仿宋_GB2312" w:hAnsi="仿宋_GB2312" w:eastAsia="仿宋_GB2312" w:cs="仿宋_GB2312"/>
          <w:bCs/>
          <w:color w:val="000000" w:themeColor="text1"/>
          <w:sz w:val="24"/>
          <w:highlight w:val="none"/>
          <w14:textFill>
            <w14:solidFill>
              <w14:schemeClr w14:val="tx1"/>
            </w14:solidFill>
          </w14:textFill>
        </w:rPr>
        <w:t>年租金=日租金标准*计租面积*365，月租金=年租金/12。月租金所得值小数点后保留两位四舍五入，不足一个月的按实际日历天数*日租金标准*计租面积计算。</w:t>
      </w:r>
    </w:p>
    <w:tbl>
      <w:tblPr>
        <w:tblStyle w:val="16"/>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2"/>
        <w:gridCol w:w="2103"/>
        <w:gridCol w:w="2159"/>
        <w:gridCol w:w="2159"/>
      </w:tblGrid>
      <w:tr w14:paraId="17DCB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02" w:type="dxa"/>
          </w:tcPr>
          <w:p w14:paraId="1E5F1FDC">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r>
              <w:rPr>
                <w:rFonts w:hint="eastAsia" w:ascii="仿宋_GB2312" w:hAnsi="仿宋_GB2312" w:eastAsia="仿宋_GB2312" w:cs="仿宋_GB2312"/>
                <w:bCs/>
                <w:color w:val="000000" w:themeColor="text1"/>
                <w:sz w:val="24"/>
                <w:highlight w:val="none"/>
                <w14:textFill>
                  <w14:solidFill>
                    <w14:schemeClr w14:val="tx1"/>
                  </w14:solidFill>
                </w14:textFill>
              </w:rPr>
              <w:t>租赁期</w:t>
            </w:r>
          </w:p>
        </w:tc>
        <w:tc>
          <w:tcPr>
            <w:tcW w:w="2103" w:type="dxa"/>
          </w:tcPr>
          <w:p w14:paraId="4C30F3B7">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default" w:ascii="仿宋_GB2312" w:hAnsi="仿宋_GB2312" w:eastAsia="仿宋_GB2312" w:cs="仿宋_GB2312"/>
                <w:bCs/>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t>日租金标准（元/天/平方米）</w:t>
            </w:r>
          </w:p>
        </w:tc>
        <w:tc>
          <w:tcPr>
            <w:tcW w:w="2159" w:type="dxa"/>
          </w:tcPr>
          <w:p w14:paraId="675F181F">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r>
              <w:rPr>
                <w:rFonts w:hint="eastAsia" w:ascii="仿宋_GB2312" w:hAnsi="仿宋_GB2312" w:eastAsia="仿宋_GB2312" w:cs="仿宋_GB2312"/>
                <w:bCs/>
                <w:color w:val="000000" w:themeColor="text1"/>
                <w:sz w:val="24"/>
                <w:highlight w:val="none"/>
                <w14:textFill>
                  <w14:solidFill>
                    <w14:schemeClr w14:val="tx1"/>
                  </w14:solidFill>
                </w14:textFill>
              </w:rPr>
              <w:t>递增比例（%）</w:t>
            </w:r>
          </w:p>
        </w:tc>
        <w:tc>
          <w:tcPr>
            <w:tcW w:w="2159" w:type="dxa"/>
          </w:tcPr>
          <w:p w14:paraId="371869FE">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default" w:ascii="仿宋_GB2312" w:hAnsi="仿宋_GB2312" w:eastAsia="仿宋_GB2312" w:cs="仿宋_GB2312"/>
                <w:bCs/>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t>年租金（元/年）</w:t>
            </w:r>
          </w:p>
        </w:tc>
      </w:tr>
      <w:tr w14:paraId="2E8D8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2" w:type="dxa"/>
            <w:shd w:val="clear" w:color="auto" w:fill="auto"/>
          </w:tcPr>
          <w:p w14:paraId="539AA8EE">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03" w:type="dxa"/>
            <w:shd w:val="clear" w:color="auto" w:fill="auto"/>
          </w:tcPr>
          <w:p w14:paraId="0439C9B8">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59" w:type="dxa"/>
            <w:shd w:val="clear" w:color="auto" w:fill="auto"/>
          </w:tcPr>
          <w:p w14:paraId="3F87BF45">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59" w:type="dxa"/>
            <w:shd w:val="clear" w:color="auto" w:fill="auto"/>
          </w:tcPr>
          <w:p w14:paraId="245DC1A6">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r>
      <w:tr w14:paraId="12754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02" w:type="dxa"/>
            <w:shd w:val="clear" w:color="auto" w:fill="auto"/>
          </w:tcPr>
          <w:p w14:paraId="1983C48C">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03" w:type="dxa"/>
            <w:shd w:val="clear" w:color="auto" w:fill="auto"/>
          </w:tcPr>
          <w:p w14:paraId="7D53EBD5">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59" w:type="dxa"/>
            <w:shd w:val="clear" w:color="auto" w:fill="auto"/>
          </w:tcPr>
          <w:p w14:paraId="105D2F8E">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59" w:type="dxa"/>
            <w:shd w:val="clear" w:color="auto" w:fill="auto"/>
          </w:tcPr>
          <w:p w14:paraId="75E34667">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r>
      <w:tr w14:paraId="68E40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2" w:type="dxa"/>
            <w:shd w:val="clear" w:color="auto" w:fill="auto"/>
          </w:tcPr>
          <w:p w14:paraId="403E5AB3">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03" w:type="dxa"/>
            <w:shd w:val="clear" w:color="auto" w:fill="auto"/>
          </w:tcPr>
          <w:p w14:paraId="4ED66387">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59" w:type="dxa"/>
            <w:shd w:val="clear" w:color="auto" w:fill="auto"/>
          </w:tcPr>
          <w:p w14:paraId="3E26AE1C">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59" w:type="dxa"/>
            <w:shd w:val="clear" w:color="auto" w:fill="auto"/>
          </w:tcPr>
          <w:p w14:paraId="26570C74">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r>
      <w:tr w14:paraId="09053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2" w:type="dxa"/>
            <w:shd w:val="clear" w:color="auto" w:fill="auto"/>
          </w:tcPr>
          <w:p w14:paraId="461C112A">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03" w:type="dxa"/>
            <w:shd w:val="clear" w:color="auto" w:fill="auto"/>
          </w:tcPr>
          <w:p w14:paraId="1A4DF19D">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59" w:type="dxa"/>
            <w:shd w:val="clear" w:color="auto" w:fill="auto"/>
          </w:tcPr>
          <w:p w14:paraId="6DEF69C2">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59" w:type="dxa"/>
            <w:shd w:val="clear" w:color="auto" w:fill="auto"/>
          </w:tcPr>
          <w:p w14:paraId="1714FE0F">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r>
      <w:tr w14:paraId="0A63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2" w:type="dxa"/>
            <w:shd w:val="clear" w:color="auto" w:fill="auto"/>
          </w:tcPr>
          <w:p w14:paraId="4C31CA0A">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03" w:type="dxa"/>
            <w:shd w:val="clear" w:color="auto" w:fill="auto"/>
          </w:tcPr>
          <w:p w14:paraId="040D1C37">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59" w:type="dxa"/>
            <w:shd w:val="clear" w:color="auto" w:fill="auto"/>
          </w:tcPr>
          <w:p w14:paraId="1201F998">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59" w:type="dxa"/>
            <w:shd w:val="clear" w:color="auto" w:fill="auto"/>
          </w:tcPr>
          <w:p w14:paraId="623F554C">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r>
      <w:tr w14:paraId="5177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2" w:type="dxa"/>
            <w:shd w:val="clear" w:color="auto" w:fill="auto"/>
          </w:tcPr>
          <w:p w14:paraId="27D72003">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03" w:type="dxa"/>
            <w:shd w:val="clear" w:color="auto" w:fill="auto"/>
          </w:tcPr>
          <w:p w14:paraId="26E15EFF">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59" w:type="dxa"/>
            <w:shd w:val="clear" w:color="auto" w:fill="auto"/>
          </w:tcPr>
          <w:p w14:paraId="4187495A">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59" w:type="dxa"/>
            <w:shd w:val="clear" w:color="auto" w:fill="auto"/>
          </w:tcPr>
          <w:p w14:paraId="142E233F">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r>
      <w:tr w14:paraId="31DC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2" w:type="dxa"/>
            <w:shd w:val="clear" w:color="auto" w:fill="auto"/>
          </w:tcPr>
          <w:p w14:paraId="18C16257">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03" w:type="dxa"/>
            <w:shd w:val="clear" w:color="auto" w:fill="auto"/>
          </w:tcPr>
          <w:p w14:paraId="54DFCF67">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59" w:type="dxa"/>
            <w:shd w:val="clear" w:color="auto" w:fill="auto"/>
          </w:tcPr>
          <w:p w14:paraId="4FF59A46">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59" w:type="dxa"/>
            <w:shd w:val="clear" w:color="auto" w:fill="auto"/>
          </w:tcPr>
          <w:p w14:paraId="3B445CFE">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r>
      <w:tr w14:paraId="542A0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2" w:type="dxa"/>
            <w:shd w:val="clear" w:color="auto" w:fill="auto"/>
          </w:tcPr>
          <w:p w14:paraId="361869E6">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03" w:type="dxa"/>
            <w:shd w:val="clear" w:color="auto" w:fill="auto"/>
          </w:tcPr>
          <w:p w14:paraId="44AD282C">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59" w:type="dxa"/>
            <w:shd w:val="clear" w:color="auto" w:fill="auto"/>
          </w:tcPr>
          <w:p w14:paraId="709A2FAF">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59" w:type="dxa"/>
            <w:shd w:val="clear" w:color="auto" w:fill="auto"/>
          </w:tcPr>
          <w:p w14:paraId="4F08EEFF">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r>
      <w:tr w14:paraId="37642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2" w:type="dxa"/>
            <w:shd w:val="clear" w:color="auto" w:fill="auto"/>
          </w:tcPr>
          <w:p w14:paraId="717199D7">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03" w:type="dxa"/>
            <w:shd w:val="clear" w:color="auto" w:fill="auto"/>
          </w:tcPr>
          <w:p w14:paraId="55CCE092">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59" w:type="dxa"/>
            <w:shd w:val="clear" w:color="auto" w:fill="auto"/>
          </w:tcPr>
          <w:p w14:paraId="1D20E42E">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59" w:type="dxa"/>
            <w:shd w:val="clear" w:color="auto" w:fill="auto"/>
          </w:tcPr>
          <w:p w14:paraId="1C5B5012">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r>
      <w:tr w14:paraId="18643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2" w:type="dxa"/>
            <w:shd w:val="clear" w:color="auto" w:fill="auto"/>
          </w:tcPr>
          <w:p w14:paraId="03DFA4B5">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03" w:type="dxa"/>
            <w:shd w:val="clear" w:color="auto" w:fill="auto"/>
          </w:tcPr>
          <w:p w14:paraId="625A4AA8">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59" w:type="dxa"/>
            <w:shd w:val="clear" w:color="auto" w:fill="auto"/>
          </w:tcPr>
          <w:p w14:paraId="2E25CDD2">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c>
          <w:tcPr>
            <w:tcW w:w="2159" w:type="dxa"/>
            <w:shd w:val="clear" w:color="auto" w:fill="auto"/>
          </w:tcPr>
          <w:p w14:paraId="62377BE4">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p>
        </w:tc>
      </w:tr>
      <w:tr w14:paraId="71146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5" w:type="dxa"/>
            <w:gridSpan w:val="2"/>
            <w:shd w:val="clear" w:color="auto" w:fill="auto"/>
          </w:tcPr>
          <w:p w14:paraId="4069A9AE">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bCs/>
                <w:color w:val="000000" w:themeColor="text1"/>
                <w:sz w:val="24"/>
                <w:highlight w:val="none"/>
                <w14:textFill>
                  <w14:solidFill>
                    <w14:schemeClr w14:val="tx1"/>
                  </w14:solidFill>
                </w14:textFill>
              </w:rPr>
              <w:t>合同总金额</w:t>
            </w:r>
          </w:p>
        </w:tc>
        <w:tc>
          <w:tcPr>
            <w:tcW w:w="4318" w:type="dxa"/>
            <w:gridSpan w:val="2"/>
            <w:shd w:val="clear" w:color="auto" w:fill="auto"/>
          </w:tcPr>
          <w:p w14:paraId="4A20346C">
            <w:pPr>
              <w:pStyle w:val="6"/>
              <w:keepNext w:val="0"/>
              <w:keepLines w:val="0"/>
              <w:suppressLineNumbers w:val="0"/>
              <w:adjustRightInd w:val="0"/>
              <w:snapToGrid w:val="0"/>
              <w:spacing w:before="0" w:beforeAutospacing="0" w:afterAutospacing="0" w:line="360" w:lineRule="auto"/>
              <w:ind w:left="0" w:right="0" w:firstLine="0" w:firstLineChars="0"/>
              <w:jc w:val="center"/>
              <w:rPr>
                <w:rFonts w:hint="eastAsia" w:ascii="仿宋_GB2312" w:hAnsi="仿宋_GB2312" w:eastAsia="仿宋_GB2312" w:cs="仿宋_GB2312"/>
                <w:bCs/>
                <w:color w:val="000000" w:themeColor="text1"/>
                <w:sz w:val="24"/>
                <w:highlight w:val="none"/>
                <w14:textFill>
                  <w14:solidFill>
                    <w14:schemeClr w14:val="tx1"/>
                  </w14:solidFill>
                </w14:textFill>
              </w:rPr>
            </w:pPr>
            <w:r>
              <w:rPr>
                <w:rFonts w:hint="eastAsia" w:ascii="仿宋_GB2312" w:hAnsi="仿宋_GB2312" w:eastAsia="仿宋_GB2312" w:cs="仿宋_GB2312"/>
                <w:bCs/>
                <w:color w:val="000000" w:themeColor="text1"/>
                <w:sz w:val="24"/>
                <w:highlight w:val="none"/>
                <w14:textFill>
                  <w14:solidFill>
                    <w14:schemeClr w14:val="tx1"/>
                  </w14:solidFill>
                </w14:textFill>
              </w:rPr>
              <w:t>（扣除免租期租金后为  元）</w:t>
            </w:r>
          </w:p>
        </w:tc>
      </w:tr>
    </w:tbl>
    <w:p w14:paraId="2FF57BB6">
      <w:pPr>
        <w:pStyle w:val="6"/>
        <w:adjustRightInd w:val="0"/>
        <w:snapToGrid w:val="0"/>
        <w:spacing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本合同所涉及费用均为含税价，若遇国家税率调整，</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不</w:t>
      </w:r>
      <w:r>
        <w:rPr>
          <w:rFonts w:hint="eastAsia" w:ascii="仿宋_GB2312" w:hAnsi="仿宋_GB2312" w:eastAsia="仿宋_GB2312" w:cs="仿宋_GB2312"/>
          <w:color w:val="000000" w:themeColor="text1"/>
          <w:sz w:val="24"/>
          <w:highlight w:val="none"/>
          <w14:textFill>
            <w14:solidFill>
              <w14:schemeClr w14:val="tx1"/>
            </w14:solidFill>
          </w14:textFill>
        </w:rPr>
        <w:t>含税金额不变，甲方将根据调整后的税率向乙方开具发票。</w:t>
      </w:r>
    </w:p>
    <w:p w14:paraId="69B241AD">
      <w:pPr>
        <w:pStyle w:val="6"/>
        <w:numPr>
          <w:ilvl w:val="255"/>
          <w:numId w:val="0"/>
        </w:numPr>
        <w:adjustRightInd w:val="0"/>
        <w:snapToGrid w:val="0"/>
        <w:spacing w:line="360" w:lineRule="auto"/>
        <w:ind w:firstLine="480" w:firstLineChars="200"/>
        <w:rPr>
          <w:rFonts w:hint="eastAsia" w:ascii="仿宋_GB2312" w:hAnsi="仿宋_GB2312" w:eastAsia="仿宋_GB2312" w:cs="仿宋_GB2312"/>
          <w:bCs/>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bCs/>
          <w:color w:val="000000" w:themeColor="text1"/>
          <w:sz w:val="24"/>
          <w:highlight w:val="none"/>
          <w14:textFill>
            <w14:solidFill>
              <w14:schemeClr w14:val="tx1"/>
            </w14:solidFill>
          </w14:textFill>
        </w:rPr>
        <w:t>3.2、租金支付时间及方式：</w:t>
      </w:r>
      <w:r>
        <w:rPr>
          <w:rFonts w:hint="eastAsia" w:ascii="仿宋_GB2312" w:hAnsi="仿宋_GB2312" w:eastAsia="仿宋_GB2312" w:cs="仿宋_GB2312"/>
          <w:bCs/>
          <w:color w:val="000000" w:themeColor="text1"/>
          <w:sz w:val="24"/>
          <w:highlight w:val="none"/>
          <w14:textFill>
            <w14:solidFill>
              <w14:schemeClr w14:val="tx1"/>
            </w14:solidFill>
          </w14:textFill>
        </w:rPr>
        <w:t>租金每</w:t>
      </w:r>
      <w:r>
        <w:rPr>
          <w:rFonts w:hint="eastAsia" w:ascii="仿宋_GB2312" w:hAnsi="仿宋_GB2312" w:eastAsia="仿宋_GB2312" w:cs="仿宋_GB2312"/>
          <w:bCs/>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4"/>
          <w:highlight w:val="none"/>
          <w14:textFill>
            <w14:solidFill>
              <w14:schemeClr w14:val="tx1"/>
            </w14:solidFill>
          </w14:textFill>
        </w:rPr>
        <w:t xml:space="preserve"> 3 </w:t>
      </w:r>
      <w:r>
        <w:rPr>
          <w:rFonts w:hint="eastAsia" w:ascii="仿宋_GB2312" w:hAnsi="仿宋_GB2312" w:eastAsia="仿宋_GB2312" w:cs="仿宋_GB2312"/>
          <w:bCs/>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4"/>
          <w:highlight w:val="none"/>
          <w14:textFill>
            <w14:solidFill>
              <w14:schemeClr w14:val="tx1"/>
            </w14:solidFill>
          </w14:textFill>
        </w:rPr>
        <w:t>个月支付一次，先付后用。</w:t>
      </w:r>
      <w:r>
        <w:rPr>
          <w:rFonts w:hint="eastAsia" w:ascii="仿宋_GB2312" w:hAnsi="仿宋_GB2312" w:eastAsia="仿宋_GB2312" w:cs="仿宋_GB2312"/>
          <w:bCs/>
          <w:color w:val="000000" w:themeColor="text1"/>
          <w:sz w:val="24"/>
          <w:highlight w:val="none"/>
          <w14:textFill>
            <w14:solidFill>
              <w14:schemeClr w14:val="tx1"/>
            </w14:solidFill>
          </w14:textFill>
        </w:rPr>
        <w:t>乙方应在</w:t>
      </w:r>
      <w:r>
        <w:rPr>
          <w:rFonts w:ascii="Segoe UI Symbol" w:hAnsi="Segoe UI Symbol" w:eastAsia="仿宋_GB2312" w:cs="Segoe UI Symbol"/>
          <w:bCs/>
          <w:color w:val="000000" w:themeColor="text1"/>
          <w:sz w:val="24"/>
          <w:highlight w:val="none"/>
          <w14:textFill>
            <w14:solidFill>
              <w14:schemeClr w14:val="tx1"/>
            </w14:solidFill>
          </w14:textFill>
        </w:rPr>
        <w:t>☑</w:t>
      </w:r>
      <w:r>
        <w:rPr>
          <w:rFonts w:hint="eastAsia" w:ascii="仿宋_GB2312" w:hAnsi="仿宋_GB2312" w:eastAsia="仿宋_GB2312" w:cs="仿宋_GB2312"/>
          <w:bCs/>
          <w:color w:val="000000" w:themeColor="text1"/>
          <w:sz w:val="24"/>
          <w:highlight w:val="none"/>
          <w14:textFill>
            <w14:solidFill>
              <w14:schemeClr w14:val="tx1"/>
            </w14:solidFill>
          </w14:textFill>
        </w:rPr>
        <w:t>本合同签订（或□交付确认书签订）后</w:t>
      </w:r>
      <w:r>
        <w:rPr>
          <w:rFonts w:hint="eastAsia" w:ascii="仿宋_GB2312" w:hAnsi="仿宋_GB2312" w:eastAsia="仿宋_GB2312" w:cs="仿宋_GB2312"/>
          <w:bCs/>
          <w:color w:val="000000" w:themeColor="text1"/>
          <w:sz w:val="24"/>
          <w:highlight w:val="none"/>
          <w14:textFill>
            <w14:solidFill>
              <w14:schemeClr w14:val="tx1"/>
            </w14:solidFill>
          </w14:textFill>
        </w:rPr>
        <w:t>【15】个工作日</w:t>
      </w:r>
      <w:r>
        <w:rPr>
          <w:rFonts w:hint="eastAsia" w:ascii="仿宋_GB2312" w:hAnsi="仿宋_GB2312" w:eastAsia="仿宋_GB2312" w:cs="仿宋_GB2312"/>
          <w:bCs/>
          <w:color w:val="000000" w:themeColor="text1"/>
          <w:sz w:val="24"/>
          <w:highlight w:val="none"/>
          <w14:textFill>
            <w14:solidFill>
              <w14:schemeClr w14:val="tx1"/>
            </w14:solidFill>
          </w14:textFill>
        </w:rPr>
        <w:t>内向甲方指定账户预付首期租金人民币</w:t>
      </w:r>
      <w:r>
        <w:rPr>
          <w:rFonts w:hint="eastAsia" w:ascii="仿宋_GB2312" w:hAnsi="仿宋_GB2312" w:eastAsia="仿宋_GB2312" w:cs="仿宋_GB2312"/>
          <w:bCs/>
          <w:color w:val="000000" w:themeColor="text1"/>
          <w:sz w:val="24"/>
          <w:highlight w:val="none"/>
          <w:u w:val="single"/>
          <w14:textFill>
            <w14:solidFill>
              <w14:schemeClr w14:val="tx1"/>
            </w14:solidFill>
          </w14:textFill>
        </w:rPr>
        <w:t xml:space="preserve">   </w:t>
      </w:r>
      <w:r>
        <w:rPr>
          <w:rFonts w:hint="eastAsia" w:ascii="仿宋_GB2312" w:hAnsi="仿宋_GB2312" w:eastAsia="仿宋_GB2312" w:cs="仿宋_GB2312"/>
          <w:bCs/>
          <w:color w:val="000000" w:themeColor="text1"/>
          <w:sz w:val="24"/>
          <w:highlight w:val="none"/>
          <w14:textFill>
            <w14:solidFill>
              <w14:schemeClr w14:val="tx1"/>
            </w14:solidFill>
          </w14:textFill>
        </w:rPr>
        <w:t>元</w:t>
      </w:r>
      <w:r>
        <w:rPr>
          <w:rFonts w:hint="eastAsia" w:ascii="仿宋_GB2312" w:hAnsi="仿宋_GB2312" w:eastAsia="仿宋_GB2312" w:cs="仿宋_GB2312"/>
          <w:bCs/>
          <w:color w:val="000000" w:themeColor="text1"/>
          <w:sz w:val="24"/>
          <w:highlight w:val="none"/>
          <w:lang w:eastAsia="zh-CN"/>
          <w14:textFill>
            <w14:solidFill>
              <w14:schemeClr w14:val="tx1"/>
            </w14:solidFill>
          </w14:textFill>
        </w:rPr>
        <w:t>，该金额为含税金额。该笔款项用于支付首个租赁年度中，紧随3个月免租期之后的第4、5、6个月的租金，覆盖期间自____年__月__日至____年__月__日。</w:t>
      </w:r>
    </w:p>
    <w:p w14:paraId="757EC695">
      <w:pPr>
        <w:pStyle w:val="6"/>
        <w:numPr>
          <w:ilvl w:val="255"/>
          <w:numId w:val="0"/>
        </w:numPr>
        <w:adjustRightInd w:val="0"/>
        <w:snapToGrid w:val="0"/>
        <w:spacing w:line="360" w:lineRule="auto"/>
        <w:ind w:firstLine="480" w:firstLineChars="200"/>
        <w:rPr>
          <w:rFonts w:hint="eastAsia" w:ascii="仿宋_GB2312" w:hAnsi="仿宋_GB2312" w:eastAsia="仿宋_GB2312" w:cs="仿宋_GB2312"/>
          <w:bCs/>
          <w:color w:val="000000" w:themeColor="text1"/>
          <w:sz w:val="24"/>
          <w:highlight w:val="none"/>
          <w14:textFill>
            <w14:solidFill>
              <w14:schemeClr w14:val="tx1"/>
            </w14:solidFill>
          </w14:textFill>
        </w:rPr>
      </w:pPr>
      <w:r>
        <w:rPr>
          <w:rFonts w:hint="eastAsia" w:ascii="仿宋_GB2312" w:hAnsi="仿宋_GB2312" w:eastAsia="仿宋_GB2312" w:cs="仿宋_GB2312"/>
          <w:bCs/>
          <w:color w:val="000000" w:themeColor="text1"/>
          <w:sz w:val="24"/>
          <w:highlight w:val="none"/>
          <w14:textFill>
            <w14:solidFill>
              <w14:schemeClr w14:val="tx1"/>
            </w14:solidFill>
          </w14:textFill>
        </w:rPr>
        <w:t>租金按照先付后用的原则执行，首期租金支付后，乙方应</w:t>
      </w:r>
      <w:r>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t>在每个</w:t>
      </w:r>
      <w:r>
        <w:rPr>
          <w:rFonts w:hint="eastAsia" w:ascii="仿宋_GB2312" w:hAnsi="仿宋_GB2312" w:eastAsia="仿宋_GB2312" w:cs="仿宋_GB2312"/>
          <w:bCs/>
          <w:color w:val="000000" w:themeColor="text1"/>
          <w:sz w:val="24"/>
          <w:highlight w:val="none"/>
          <w:lang w:val="en-US" w:eastAsia="zh"/>
          <w14:textFill>
            <w14:solidFill>
              <w14:schemeClr w14:val="tx1"/>
            </w14:solidFill>
          </w14:textFill>
        </w:rPr>
        <w:t>租赁</w:t>
      </w:r>
      <w:r>
        <w:rPr>
          <w:rFonts w:hint="eastAsia" w:ascii="仿宋_GB2312" w:hAnsi="仿宋_GB2312" w:eastAsia="仿宋_GB2312" w:cs="仿宋_GB2312"/>
          <w:bCs/>
          <w:color w:val="000000" w:themeColor="text1"/>
          <w:sz w:val="24"/>
          <w:highlight w:val="none"/>
          <w:lang w:val="en-US" w:eastAsia="zh-CN"/>
          <w14:textFill>
            <w14:solidFill>
              <w14:schemeClr w14:val="tx1"/>
            </w14:solidFill>
          </w14:textFill>
        </w:rPr>
        <w:t>季度开始前</w:t>
      </w:r>
      <w:r>
        <w:rPr>
          <w:rFonts w:hint="eastAsia" w:ascii="仿宋_GB2312" w:hAnsi="仿宋_GB2312" w:eastAsia="仿宋_GB2312" w:cs="仿宋_GB2312"/>
          <w:bCs/>
          <w:color w:val="000000" w:themeColor="text1"/>
          <w:sz w:val="24"/>
          <w:highlight w:val="none"/>
          <w14:textFill>
            <w14:solidFill>
              <w14:schemeClr w14:val="tx1"/>
            </w14:solidFill>
          </w14:textFill>
        </w:rPr>
        <w:t>提前1个月支付下一期租金（遇法定节假日提前至节假日前一个工作日）。</w:t>
      </w:r>
    </w:p>
    <w:p w14:paraId="6B36BC63">
      <w:pPr>
        <w:pStyle w:val="6"/>
        <w:numPr>
          <w:ilvl w:val="255"/>
          <w:numId w:val="0"/>
        </w:numPr>
        <w:adjustRightInd w:val="0"/>
        <w:snapToGrid w:val="0"/>
        <w:spacing w:line="360" w:lineRule="auto"/>
        <w:ind w:firstLine="480" w:firstLineChars="200"/>
        <w:rPr>
          <w:rFonts w:hint="eastAsia" w:ascii="仿宋_GB2312" w:hAnsi="仿宋_GB2312" w:eastAsia="宋体" w:cs="仿宋_GB2312"/>
          <w:bCs/>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bCs/>
          <w:color w:val="000000" w:themeColor="text1"/>
          <w:sz w:val="24"/>
          <w:highlight w:val="none"/>
          <w14:textFill>
            <w14:solidFill>
              <w14:schemeClr w14:val="tx1"/>
            </w14:solidFill>
          </w14:textFill>
        </w:rPr>
        <w:t>注：首期租金由乙方支付给杭州产权交易所有限责任公司（下称“杭交所”）指定账户，再由杭交所转付给甲方。后续租金均由乙方直接支付至甲方指定的银行账户</w:t>
      </w:r>
      <w:r>
        <w:rPr>
          <w:rFonts w:hint="eastAsia"/>
          <w:color w:val="000000" w:themeColor="text1"/>
          <w:highlight w:val="none"/>
          <w:lang w:eastAsia="zh-CN"/>
          <w14:textFill>
            <w14:solidFill>
              <w14:schemeClr w14:val="tx1"/>
            </w14:solidFill>
          </w14:textFill>
        </w:rPr>
        <w:t>。</w:t>
      </w:r>
    </w:p>
    <w:p w14:paraId="754EF69B">
      <w:pPr>
        <w:pStyle w:val="6"/>
        <w:numPr>
          <w:ilvl w:val="255"/>
          <w:numId w:val="0"/>
        </w:numPr>
        <w:adjustRightInd w:val="0"/>
        <w:snapToGrid w:val="0"/>
        <w:spacing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杭交所账户信息如下：</w:t>
      </w:r>
    </w:p>
    <w:p w14:paraId="1D4A803A">
      <w:pPr>
        <w:pStyle w:val="6"/>
        <w:numPr>
          <w:ilvl w:val="255"/>
          <w:numId w:val="0"/>
        </w:numPr>
        <w:adjustRightInd w:val="0"/>
        <w:snapToGrid w:val="0"/>
        <w:spacing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单位名称：杭州产权交易所有限责任公司 </w:t>
      </w:r>
    </w:p>
    <w:p w14:paraId="1937E45B">
      <w:pPr>
        <w:pStyle w:val="6"/>
        <w:numPr>
          <w:ilvl w:val="255"/>
          <w:numId w:val="0"/>
        </w:numPr>
        <w:adjustRightInd w:val="0"/>
        <w:snapToGrid w:val="0"/>
        <w:spacing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开户行：杭州银行市民中心支行</w:t>
      </w:r>
    </w:p>
    <w:p w14:paraId="6ED3D8AB">
      <w:pPr>
        <w:pStyle w:val="6"/>
        <w:numPr>
          <w:ilvl w:val="255"/>
          <w:numId w:val="0"/>
        </w:numPr>
        <w:adjustRightInd w:val="0"/>
        <w:snapToGrid w:val="0"/>
        <w:spacing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账号：3301040160002045899</w:t>
      </w:r>
    </w:p>
    <w:p w14:paraId="6172F688">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p>
    <w:p w14:paraId="4E088914">
      <w:pPr>
        <w:pStyle w:val="6"/>
        <w:adjustRightInd w:val="0"/>
        <w:snapToGrid w:val="0"/>
        <w:spacing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3.4、该处房屋租金已含相关房屋租赁产生的税费（具体费率以甲方开具相关发票税率为准），但未含物业管理服务费及其他相关水、电、通信等费用。</w:t>
      </w:r>
    </w:p>
    <w:p w14:paraId="648D67EC">
      <w:pPr>
        <w:pStyle w:val="6"/>
        <w:adjustRightInd w:val="0"/>
        <w:snapToGrid w:val="0"/>
        <w:spacing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3.5、其他费用：租赁期间涉及到的水费、电费、燃气费、通讯费、物业管理费、卫生保洁费、治安费、税费等经营或社会费用均由乙方承担，并自费办理租赁期内其应承担的各项保险。</w:t>
      </w:r>
    </w:p>
    <w:p w14:paraId="34E13EA7">
      <w:pPr>
        <w:pStyle w:val="6"/>
        <w:adjustRightInd w:val="0"/>
        <w:snapToGrid w:val="0"/>
        <w:spacing w:line="360" w:lineRule="auto"/>
        <w:ind w:firstLine="482"/>
        <w:rPr>
          <w:rFonts w:hint="eastAsia"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第四条  履约保证金</w:t>
      </w:r>
    </w:p>
    <w:p w14:paraId="4518972D">
      <w:pPr>
        <w:pStyle w:val="6"/>
        <w:adjustRightInd w:val="0"/>
        <w:snapToGrid w:val="0"/>
        <w:spacing w:line="360" w:lineRule="auto"/>
        <w:ind w:firstLine="480"/>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4.1、为了保证乙方承租房屋履行本合同约定的义务和责任，乙方应向甲方缴纳履约保证金，</w:t>
      </w:r>
      <w:r>
        <w:rPr>
          <w:rFonts w:hint="eastAsia" w:ascii="仿宋_GB2312" w:hAnsi="仿宋_GB2312" w:eastAsia="仿宋_GB2312" w:cs="仿宋_GB2312"/>
          <w:color w:val="000000" w:themeColor="text1"/>
          <w:sz w:val="24"/>
          <w:highlight w:val="none"/>
          <w14:textFill>
            <w14:solidFill>
              <w14:schemeClr w14:val="tx1"/>
            </w14:solidFill>
          </w14:textFill>
        </w:rPr>
        <w:t>履约保证金为</w:t>
      </w:r>
      <w:r>
        <w:rPr>
          <w:rFonts w:hint="default" w:ascii="仿宋_GB2312" w:hAnsi="仿宋_GB2312" w:eastAsia="仿宋_GB2312" w:cs="仿宋_GB2312"/>
          <w:color w:val="000000" w:themeColor="text1"/>
          <w:sz w:val="24"/>
          <w:highlight w:val="none"/>
          <w:lang w:val="en-US" w:eastAsia="zh-CN"/>
          <w14:textFill>
            <w14:solidFill>
              <w14:schemeClr w14:val="tx1"/>
            </w14:solidFill>
          </w14:textFill>
        </w:rPr>
        <w:t>最后</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一个租赁年度</w:t>
      </w:r>
      <w:r>
        <w:rPr>
          <w:rFonts w:hint="eastAsia" w:ascii="仿宋_GB2312" w:hAnsi="仿宋_GB2312" w:eastAsia="仿宋_GB2312" w:cs="仿宋_GB2312"/>
          <w:color w:val="000000" w:themeColor="text1"/>
          <w:sz w:val="24"/>
          <w:highlight w:val="none"/>
          <w14:textFill>
            <w14:solidFill>
              <w14:schemeClr w14:val="tx1"/>
            </w14:solidFill>
          </w14:textFill>
        </w:rPr>
        <w:t>租金</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标准</w:t>
      </w:r>
      <w:r>
        <w:rPr>
          <w:rFonts w:hint="eastAsia" w:ascii="仿宋_GB2312" w:hAnsi="仿宋_GB2312" w:eastAsia="仿宋_GB2312" w:cs="仿宋_GB2312"/>
          <w:color w:val="000000" w:themeColor="text1"/>
          <w:sz w:val="24"/>
          <w:highlight w:val="none"/>
          <w14:textFill>
            <w14:solidFill>
              <w14:schemeClr w14:val="tx1"/>
            </w14:solidFill>
          </w14:textFill>
        </w:rPr>
        <w:t>的3个月租金</w:t>
      </w:r>
      <w:r>
        <w:rPr>
          <w:rFonts w:hint="eastAsia" w:ascii="仿宋_GB2312" w:hAnsi="仿宋_GB2312" w:eastAsia="仿宋_GB2312" w:cs="仿宋_GB2312"/>
          <w:color w:val="000000" w:themeColor="text1"/>
          <w:sz w:val="24"/>
          <w:highlight w:val="none"/>
          <w14:textFill>
            <w14:solidFill>
              <w14:schemeClr w14:val="tx1"/>
            </w14:solidFill>
          </w14:textFill>
        </w:rPr>
        <w:t xml:space="preserve"> </w:t>
      </w:r>
      <w:r>
        <w:rPr>
          <w:rFonts w:hint="eastAsia" w:ascii="仿宋_GB2312" w:hAnsi="仿宋_GB2312" w:eastAsia="仿宋_GB2312" w:cs="仿宋_GB2312"/>
          <w:color w:val="000000" w:themeColor="text1"/>
          <w:kern w:val="0"/>
          <w:sz w:val="24"/>
          <w:highlight w:val="none"/>
          <w14:textFill>
            <w14:solidFill>
              <w14:schemeClr w14:val="tx1"/>
            </w14:solidFill>
          </w14:textFill>
        </w:rPr>
        <w:t>，</w:t>
      </w:r>
      <w:r>
        <w:rPr>
          <w:rFonts w:hint="eastAsia" w:ascii="仿宋_GB2312" w:hAnsi="仿宋_GB2312" w:eastAsia="仿宋_GB2312" w:cs="仿宋_GB2312"/>
          <w:color w:val="000000" w:themeColor="text1"/>
          <w:kern w:val="0"/>
          <w:sz w:val="24"/>
          <w:highlight w:val="none"/>
          <w:lang w:eastAsia="zh"/>
          <w14:textFill>
            <w14:solidFill>
              <w14:schemeClr w14:val="tx1"/>
            </w14:solidFill>
          </w14:textFill>
        </w:rPr>
        <w:t>即</w:t>
      </w:r>
      <w:r>
        <w:rPr>
          <w:rFonts w:hint="eastAsia" w:ascii="仿宋_GB2312" w:hAnsi="仿宋_GB2312" w:eastAsia="仿宋_GB2312" w:cs="仿宋_GB2312"/>
          <w:color w:val="000000" w:themeColor="text1"/>
          <w:sz w:val="24"/>
          <w:highlight w:val="none"/>
          <w14:textFill>
            <w14:solidFill>
              <w14:schemeClr w14:val="tx1"/>
            </w14:solidFill>
          </w14:textFill>
        </w:rPr>
        <w:t>人民币</w:t>
      </w:r>
      <w:r>
        <w:rPr>
          <w:rFonts w:hint="eastAsia" w:ascii="仿宋_GB2312" w:hAnsi="仿宋_GB2312" w:eastAsia="仿宋_GB2312" w:cs="仿宋_GB2312"/>
          <w:color w:val="000000" w:themeColor="text1"/>
          <w:kern w:val="0"/>
          <w:sz w:val="24"/>
          <w:highlight w:val="none"/>
          <w14:textFill>
            <w14:solidFill>
              <w14:schemeClr w14:val="tx1"/>
            </w14:solidFill>
          </w14:textFill>
        </w:rPr>
        <w:t>（大写</w:t>
      </w:r>
      <w:r>
        <w:rPr>
          <w:rFonts w:hint="eastAsia" w:ascii="仿宋_GB2312" w:hAnsi="仿宋_GB2312" w:eastAsia="仿宋_GB2312" w:cs="仿宋_GB2312"/>
          <w:color w:val="000000" w:themeColor="text1"/>
          <w:kern w:val="0"/>
          <w:sz w:val="24"/>
          <w:highlight w:val="none"/>
          <w:u w:val="single"/>
          <w14:textFill>
            <w14:solidFill>
              <w14:schemeClr w14:val="tx1"/>
            </w14:solidFill>
          </w14:textFill>
        </w:rPr>
        <w:t xml:space="preserve">      元 </w:t>
      </w:r>
      <w:r>
        <w:rPr>
          <w:rFonts w:hint="eastAsia" w:ascii="仿宋_GB2312" w:hAnsi="仿宋_GB2312" w:eastAsia="仿宋_GB2312" w:cs="仿宋_GB2312"/>
          <w:color w:val="000000" w:themeColor="text1"/>
          <w:kern w:val="0"/>
          <w:sz w:val="24"/>
          <w:highlight w:val="none"/>
          <w14:textFill>
            <w14:solidFill>
              <w14:schemeClr w14:val="tx1"/>
            </w14:solidFill>
          </w14:textFill>
        </w:rPr>
        <w:t>整，小写：    元。</w:t>
      </w:r>
      <w:r>
        <w:rPr>
          <w:rFonts w:hint="eastAsia" w:ascii="仿宋_GB2312" w:hAnsi="仿宋_GB2312" w:eastAsia="仿宋_GB2312" w:cs="仿宋_GB2312"/>
          <w:color w:val="000000" w:themeColor="text1"/>
          <w:sz w:val="24"/>
          <w:highlight w:val="none"/>
          <w14:textFill>
            <w14:solidFill>
              <w14:schemeClr w14:val="tx1"/>
            </w14:solidFill>
          </w14:textFill>
        </w:rPr>
        <w:t>乙方应在合同签订</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后</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【15】个工作日</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内</w:t>
      </w:r>
      <w:r>
        <w:rPr>
          <w:rFonts w:hint="eastAsia" w:ascii="仿宋_GB2312" w:hAnsi="仿宋_GB2312" w:eastAsia="仿宋_GB2312" w:cs="仿宋_GB2312"/>
          <w:color w:val="000000" w:themeColor="text1"/>
          <w:sz w:val="24"/>
          <w:highlight w:val="none"/>
          <w14:textFill>
            <w14:solidFill>
              <w14:schemeClr w14:val="tx1"/>
            </w14:solidFill>
          </w14:textFill>
        </w:rPr>
        <w:t>将履约保证金支付至杭交所指定账户，再由杭交所转付给甲方。</w:t>
      </w:r>
      <w:r>
        <w:rPr>
          <w:rFonts w:hint="eastAsia" w:ascii="仿宋_GB2312" w:hAnsi="仿宋_GB2312" w:eastAsia="仿宋_GB2312" w:cs="仿宋_GB2312"/>
          <w:color w:val="000000" w:themeColor="text1"/>
          <w:sz w:val="24"/>
          <w:highlight w:val="none"/>
          <w14:textFill>
            <w14:solidFill>
              <w14:schemeClr w14:val="tx1"/>
            </w14:solidFill>
          </w14:textFill>
        </w:rPr>
        <w:t>如乙方</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逾期超过</w:t>
      </w:r>
      <w:r>
        <w:rPr>
          <w:rFonts w:hint="eastAsia" w:ascii="仿宋_GB2312" w:hAnsi="仿宋_GB2312" w:eastAsia="仿宋_GB2312" w:cs="仿宋_GB2312"/>
          <w:color w:val="000000" w:themeColor="text1"/>
          <w:sz w:val="24"/>
          <w:highlight w:val="none"/>
          <w14:textFill>
            <w14:solidFill>
              <w14:schemeClr w14:val="tx1"/>
            </w14:solidFill>
          </w14:textFill>
        </w:rPr>
        <w:t>10日未足额缴纳履约保证金，经书面催告后5日内仍未缴纳的，甲方有权解除本合同并有权将租赁房屋另租他人</w:t>
      </w:r>
      <w:r>
        <w:rPr>
          <w:rFonts w:hint="eastAsia"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同时乙方应自逾期交付保证金之日起，以未足额缴纳部分履约保证金金额为基数，按照每日万分之五的标准向甲方支付违约金，直至乙方</w:t>
      </w:r>
      <w:r>
        <w:rPr>
          <w:rFonts w:hint="eastAsia" w:ascii="仿宋_GB2312" w:hAnsi="仿宋_GB2312" w:eastAsia="仿宋_GB2312" w:cs="仿宋_GB2312"/>
          <w:color w:val="000000" w:themeColor="text1"/>
          <w:sz w:val="24"/>
          <w:highlight w:val="none"/>
          <w14:textFill>
            <w14:solidFill>
              <w14:schemeClr w14:val="tx1"/>
            </w14:solidFill>
          </w14:textFill>
        </w:rPr>
        <w:t>缴</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足</w:t>
      </w:r>
      <w:r>
        <w:rPr>
          <w:rFonts w:hint="eastAsia" w:ascii="仿宋_GB2312" w:hAnsi="仿宋_GB2312" w:eastAsia="仿宋_GB2312" w:cs="仿宋_GB2312"/>
          <w:color w:val="000000" w:themeColor="text1"/>
          <w:sz w:val="24"/>
          <w:highlight w:val="none"/>
          <w14:textFill>
            <w14:solidFill>
              <w14:schemeClr w14:val="tx1"/>
            </w14:solidFill>
          </w14:textFill>
        </w:rPr>
        <w:t>履约保证金</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或甲方解除合同且甲方已收取的履约保证金不予退还。</w:t>
      </w:r>
      <w:r>
        <w:rPr>
          <w:rFonts w:hint="eastAsia" w:ascii="仿宋_GB2312" w:hAnsi="仿宋_GB2312" w:eastAsia="仿宋_GB2312" w:cs="仿宋_GB2312"/>
          <w:color w:val="000000" w:themeColor="text1"/>
          <w:sz w:val="24"/>
          <w:highlight w:val="none"/>
          <w14:textFill>
            <w14:solidFill>
              <w14:schemeClr w14:val="tx1"/>
            </w14:solidFill>
          </w14:textFill>
        </w:rPr>
        <w:t>。</w:t>
      </w:r>
    </w:p>
    <w:p w14:paraId="2A91B9C0">
      <w:pPr>
        <w:pStyle w:val="6"/>
        <w:adjustRightInd w:val="0"/>
        <w:snapToGrid w:val="0"/>
        <w:spacing w:after="0"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4.2、若乙方有下列情形的，甲方可以直接从履约保证金中扣除等额于乙方应偿付之款项（包括乙方欠缴的租金，欠缴租金引起的违约金、滞纳金，及其他因乙方引起相关损失和补偿费用等）；若乙方引起的损害无法计算的，由甲方根据实际支出费用或基于公平原则确定乙方应付的损失赔偿款及补偿款等费用，乙方对此无任何异议：</w:t>
      </w:r>
    </w:p>
    <w:p w14:paraId="668D0645">
      <w:pPr>
        <w:pStyle w:val="6"/>
        <w:adjustRightInd w:val="0"/>
        <w:snapToGrid w:val="0"/>
        <w:spacing w:after="0"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（1）不按时支付租金；</w:t>
      </w:r>
    </w:p>
    <w:p w14:paraId="3B2D2CDD">
      <w:pPr>
        <w:pStyle w:val="6"/>
        <w:adjustRightInd w:val="0"/>
        <w:snapToGrid w:val="0"/>
        <w:spacing w:after="0"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（2）不按时支付水、电、空调、通讯等各项费用</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如有）</w:t>
      </w:r>
      <w:r>
        <w:rPr>
          <w:rFonts w:hint="eastAsia" w:ascii="仿宋_GB2312" w:hAnsi="仿宋_GB2312" w:eastAsia="仿宋_GB2312" w:cs="仿宋_GB2312"/>
          <w:color w:val="000000" w:themeColor="text1"/>
          <w:sz w:val="24"/>
          <w:highlight w:val="none"/>
          <w14:textFill>
            <w14:solidFill>
              <w14:schemeClr w14:val="tx1"/>
            </w14:solidFill>
          </w14:textFill>
        </w:rPr>
        <w:t>及相关由乙方需要支付的费用；</w:t>
      </w:r>
    </w:p>
    <w:p w14:paraId="27EE441B">
      <w:pPr>
        <w:pStyle w:val="6"/>
        <w:adjustRightInd w:val="0"/>
        <w:snapToGrid w:val="0"/>
        <w:spacing w:after="0"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（3）不按时缴纳违约金；</w:t>
      </w:r>
    </w:p>
    <w:p w14:paraId="2B74EEB6">
      <w:pPr>
        <w:pStyle w:val="6"/>
        <w:adjustRightInd w:val="0"/>
        <w:snapToGrid w:val="0"/>
        <w:spacing w:after="0"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（4）造成甲方及其他第三人人身、财产损失未能及时赔偿，甲方先行垫付相关款项的；</w:t>
      </w:r>
    </w:p>
    <w:p w14:paraId="1AC4A44E">
      <w:pPr>
        <w:pStyle w:val="6"/>
        <w:adjustRightInd w:val="0"/>
        <w:snapToGrid w:val="0"/>
        <w:spacing w:after="0"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（5）在租赁期限内，未经甲方书面报批、审核或备案同意，擅自对租赁范围内实施维修、改造、装修，或未按向甲方报批、审核或备案后方案进行维修、改造、装修实施的；</w:t>
      </w:r>
    </w:p>
    <w:p w14:paraId="3FF94B2F">
      <w:pPr>
        <w:pStyle w:val="6"/>
        <w:adjustRightInd w:val="0"/>
        <w:snapToGrid w:val="0"/>
        <w:spacing w:after="0"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装修改造保证金</w:t>
      </w:r>
      <w:r>
        <w:rPr>
          <w:rFonts w:hint="eastAsia" w:ascii="仿宋_GB2312" w:hAnsi="仿宋_GB2312" w:eastAsia="仿宋_GB2312" w:cs="仿宋_GB2312"/>
          <w:color w:val="000000" w:themeColor="text1"/>
          <w:sz w:val="24"/>
          <w:highlight w:val="none"/>
          <w14:textFill>
            <w14:solidFill>
              <w14:schemeClr w14:val="tx1"/>
            </w14:solidFill>
          </w14:textFill>
        </w:rPr>
        <w:t>不足抵扣时；</w:t>
      </w:r>
    </w:p>
    <w:p w14:paraId="2C6F907B">
      <w:pPr>
        <w:pStyle w:val="6"/>
        <w:adjustRightInd w:val="0"/>
        <w:snapToGrid w:val="0"/>
        <w:spacing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（7）其他乙方应付款项。</w:t>
      </w:r>
    </w:p>
    <w:p w14:paraId="3EAB7E9B">
      <w:pPr>
        <w:pStyle w:val="6"/>
        <w:adjustRightInd w:val="0"/>
        <w:snapToGrid w:val="0"/>
        <w:spacing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4.3、在整个合同期限内，乙方应保证履约保证金保持足额。若甲方因上述原因扣除履约保证金相关费用，甲方</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应书面</w:t>
      </w:r>
      <w:r>
        <w:rPr>
          <w:rFonts w:hint="eastAsia" w:ascii="仿宋_GB2312" w:hAnsi="仿宋_GB2312" w:eastAsia="仿宋_GB2312" w:cs="仿宋_GB2312"/>
          <w:color w:val="000000" w:themeColor="text1"/>
          <w:sz w:val="24"/>
          <w:highlight w:val="none"/>
          <w14:textFill>
            <w14:solidFill>
              <w14:schemeClr w14:val="tx1"/>
            </w14:solidFill>
          </w14:textFill>
        </w:rPr>
        <w:t>通知乙方相关费用扣除情况及事实理由，乙方须在接到甲方书面通知之日起五个工作日内把甲方扣除的履约保证金部分补足，否则，视作乙方严重违约。如果履约保证金不足以抵扣相应费用的，乙方应当于五个工作日内向甲方支付不足部分的费用及履约保证金，否则视作乙方严重违约。</w:t>
      </w:r>
    </w:p>
    <w:p w14:paraId="251F49CC">
      <w:pPr>
        <w:pStyle w:val="6"/>
        <w:adjustRightInd w:val="0"/>
        <w:snapToGrid w:val="0"/>
        <w:spacing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4.4、履约保证金的退还：本合同期满或非因乙方违约而提前解除的，在乙方提交付清租金、水、电、违约金、赔偿款等各种费用的结清证明且乙方按本合同约定返还租赁房屋、注销以该租赁房屋为营业住址的相应证照，经甲方书面确认后，乙方提供履约保证金的收据，甲方在【三十】日内一次性无息退还给乙方。</w:t>
      </w:r>
    </w:p>
    <w:p w14:paraId="5CE24B5D">
      <w:pPr>
        <w:pStyle w:val="6"/>
        <w:adjustRightInd w:val="0"/>
        <w:snapToGrid w:val="0"/>
        <w:spacing w:line="360" w:lineRule="auto"/>
        <w:ind w:firstLine="482"/>
        <w:rPr>
          <w:rFonts w:hint="eastAsia"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 xml:space="preserve">第五条  </w:t>
      </w:r>
      <w:r>
        <w:rPr>
          <w:rFonts w:hint="eastAsia" w:ascii="仿宋_GB2312" w:hAnsi="仿宋_GB2312" w:eastAsia="仿宋_GB2312" w:cs="仿宋_GB2312"/>
          <w:b/>
          <w:bCs/>
          <w:color w:val="000000" w:themeColor="text1"/>
          <w:sz w:val="24"/>
          <w:highlight w:val="none"/>
          <w14:textFill>
            <w14:solidFill>
              <w14:schemeClr w14:val="tx1"/>
            </w14:solidFill>
          </w14:textFill>
        </w:rPr>
        <w:t>装修</w:t>
      </w:r>
      <w:r>
        <w:rPr>
          <w:rFonts w:hint="eastAsia" w:ascii="仿宋_GB2312" w:hAnsi="仿宋_GB2312" w:eastAsia="仿宋_GB2312" w:cs="仿宋_GB2312"/>
          <w:b/>
          <w:bCs/>
          <w:color w:val="000000" w:themeColor="text1"/>
          <w:sz w:val="24"/>
          <w:highlight w:val="none"/>
          <w:lang w:val="en-US" w:eastAsia="zh-CN"/>
          <w14:textFill>
            <w14:solidFill>
              <w14:schemeClr w14:val="tx1"/>
            </w14:solidFill>
          </w14:textFill>
        </w:rPr>
        <w:t>改造</w:t>
      </w:r>
      <w:r>
        <w:rPr>
          <w:rFonts w:hint="eastAsia" w:ascii="仿宋_GB2312" w:hAnsi="仿宋_GB2312" w:eastAsia="仿宋_GB2312" w:cs="仿宋_GB2312"/>
          <w:b/>
          <w:bCs/>
          <w:color w:val="000000" w:themeColor="text1"/>
          <w:sz w:val="24"/>
          <w:highlight w:val="none"/>
          <w14:textFill>
            <w14:solidFill>
              <w14:schemeClr w14:val="tx1"/>
            </w14:solidFill>
          </w14:textFill>
        </w:rPr>
        <w:t>保证金</w:t>
      </w:r>
    </w:p>
    <w:p w14:paraId="720709F4">
      <w:pPr>
        <w:pStyle w:val="6"/>
        <w:adjustRightInd w:val="0"/>
        <w:snapToGrid w:val="0"/>
        <w:spacing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5.1、</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租赁房屋交付前，</w:t>
      </w:r>
      <w:r>
        <w:rPr>
          <w:rFonts w:hint="eastAsia" w:ascii="仿宋_GB2312" w:hAnsi="仿宋_GB2312" w:eastAsia="仿宋_GB2312" w:cs="仿宋_GB2312"/>
          <w:color w:val="000000" w:themeColor="text1"/>
          <w:sz w:val="24"/>
          <w:highlight w:val="none"/>
          <w14:textFill>
            <w14:solidFill>
              <w14:schemeClr w14:val="tx1"/>
            </w14:solidFill>
          </w14:textFill>
        </w:rPr>
        <w:t>乙方应向甲方支付人民币</w:t>
      </w:r>
      <w:r>
        <w:rPr>
          <w:rFonts w:hint="eastAsia" w:ascii="仿宋_GB2312" w:hAnsi="仿宋_GB2312" w:eastAsia="仿宋_GB2312" w:cs="仿宋_GB2312"/>
          <w:color w:val="000000" w:themeColor="text1"/>
          <w:kern w:val="0"/>
          <w:sz w:val="24"/>
          <w:highlight w:val="none"/>
          <w14:textFill>
            <w14:solidFill>
              <w14:schemeClr w14:val="tx1"/>
            </w14:solidFill>
          </w14:textFill>
        </w:rPr>
        <w:t>（大写）</w:t>
      </w:r>
      <w:r>
        <w:rPr>
          <w:rFonts w:hint="eastAsia" w:ascii="仿宋_GB2312" w:hAnsi="仿宋_GB2312" w:eastAsia="仿宋_GB2312" w:cs="仿宋_GB2312"/>
          <w:color w:val="000000" w:themeColor="text1"/>
          <w:kern w:val="0"/>
          <w:sz w:val="24"/>
          <w:highlight w:val="none"/>
          <w:u w:val="single"/>
          <w:lang w:eastAsia="zh"/>
          <w14:textFill>
            <w14:solidFill>
              <w14:schemeClr w14:val="tx1"/>
            </w14:solidFill>
          </w14:textFill>
        </w:rPr>
        <w:t>伍万</w:t>
      </w:r>
      <w:r>
        <w:rPr>
          <w:rFonts w:hint="eastAsia" w:ascii="仿宋_GB2312" w:hAnsi="仿宋_GB2312" w:eastAsia="仿宋_GB2312" w:cs="仿宋_GB2312"/>
          <w:color w:val="000000" w:themeColor="text1"/>
          <w:kern w:val="0"/>
          <w:sz w:val="24"/>
          <w:highlight w:val="none"/>
          <w14:textFill>
            <w14:solidFill>
              <w14:schemeClr w14:val="tx1"/>
            </w14:solidFill>
          </w14:textFill>
        </w:rPr>
        <w:t>元整，小写￥</w:t>
      </w:r>
      <w:r>
        <w:rPr>
          <w:rFonts w:hint="eastAsia" w:ascii="仿宋_GB2312" w:hAnsi="仿宋_GB2312" w:eastAsia="仿宋_GB2312" w:cs="仿宋_GB2312"/>
          <w:color w:val="000000" w:themeColor="text1"/>
          <w:kern w:val="0"/>
          <w:sz w:val="24"/>
          <w:highlight w:val="none"/>
          <w:u w:val="single"/>
          <w:lang w:eastAsia="zh"/>
          <w14:textFill>
            <w14:solidFill>
              <w14:schemeClr w14:val="tx1"/>
            </w14:solidFill>
          </w14:textFill>
        </w:rPr>
        <w:t>50000</w:t>
      </w:r>
      <w:r>
        <w:rPr>
          <w:rFonts w:hint="eastAsia" w:ascii="仿宋_GB2312" w:hAnsi="仿宋_GB2312" w:eastAsia="仿宋_GB2312" w:cs="仿宋_GB2312"/>
          <w:color w:val="000000" w:themeColor="text1"/>
          <w:kern w:val="0"/>
          <w:sz w:val="24"/>
          <w:highlight w:val="none"/>
          <w14:textFill>
            <w14:solidFill>
              <w14:schemeClr w14:val="tx1"/>
            </w14:solidFill>
          </w14:textFill>
        </w:rPr>
        <w:t>元</w:t>
      </w:r>
      <w:r>
        <w:rPr>
          <w:rFonts w:hint="eastAsia" w:ascii="仿宋_GB2312" w:hAnsi="仿宋_GB2312" w:eastAsia="仿宋_GB2312" w:cs="仿宋_GB2312"/>
          <w:color w:val="000000" w:themeColor="text1"/>
          <w:sz w:val="24"/>
          <w:highlight w:val="none"/>
          <w14:textFill>
            <w14:solidFill>
              <w14:schemeClr w14:val="tx1"/>
            </w14:solidFill>
          </w14:textFill>
        </w:rPr>
        <w:t>，作为乙方首次装修</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改造</w:t>
      </w:r>
      <w:r>
        <w:rPr>
          <w:rFonts w:hint="eastAsia" w:ascii="仿宋_GB2312" w:hAnsi="仿宋_GB2312" w:eastAsia="仿宋_GB2312" w:cs="仿宋_GB2312"/>
          <w:color w:val="000000" w:themeColor="text1"/>
          <w:sz w:val="24"/>
          <w:highlight w:val="none"/>
          <w14:textFill>
            <w14:solidFill>
              <w14:schemeClr w14:val="tx1"/>
            </w14:solidFill>
          </w14:textFill>
        </w:rPr>
        <w:t>租赁房屋的保证金。乙方应在</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租赁房屋交付</w:t>
      </w:r>
      <w:r>
        <w:rPr>
          <w:rFonts w:hint="eastAsia" w:ascii="仿宋_GB2312" w:hAnsi="仿宋_GB2312" w:eastAsia="仿宋_GB2312" w:cs="仿宋_GB2312"/>
          <w:color w:val="000000" w:themeColor="text1"/>
          <w:sz w:val="24"/>
          <w:highlight w:val="none"/>
          <w14:textFill>
            <w14:solidFill>
              <w14:schemeClr w14:val="tx1"/>
            </w14:solidFill>
          </w14:textFill>
        </w:rPr>
        <w:t>前将装修</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改造</w:t>
      </w:r>
      <w:r>
        <w:rPr>
          <w:rFonts w:hint="eastAsia" w:ascii="仿宋_GB2312" w:hAnsi="仿宋_GB2312" w:eastAsia="仿宋_GB2312" w:cs="仿宋_GB2312"/>
          <w:color w:val="000000" w:themeColor="text1"/>
          <w:sz w:val="24"/>
          <w:highlight w:val="none"/>
          <w14:textFill>
            <w14:solidFill>
              <w14:schemeClr w14:val="tx1"/>
            </w14:solidFill>
          </w14:textFill>
        </w:rPr>
        <w:t>保证金支付至甲方指定账户。</w:t>
      </w:r>
    </w:p>
    <w:p w14:paraId="40714AB8">
      <w:pPr>
        <w:pStyle w:val="6"/>
        <w:adjustRightInd w:val="0"/>
        <w:snapToGrid w:val="0"/>
        <w:spacing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5.2、若乙方有下列情形的，甲方有权不退还</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装修改造保证金</w:t>
      </w:r>
      <w:r>
        <w:rPr>
          <w:rFonts w:hint="eastAsia" w:ascii="仿宋_GB2312" w:hAnsi="仿宋_GB2312" w:eastAsia="仿宋_GB2312" w:cs="仿宋_GB2312"/>
          <w:color w:val="000000" w:themeColor="text1"/>
          <w:sz w:val="24"/>
          <w:highlight w:val="none"/>
          <w14:textFill>
            <w14:solidFill>
              <w14:schemeClr w14:val="tx1"/>
            </w14:solidFill>
          </w14:textFill>
        </w:rPr>
        <w:t>或可以直接从</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装修改造保证金</w:t>
      </w:r>
      <w:r>
        <w:rPr>
          <w:rFonts w:hint="eastAsia" w:ascii="仿宋_GB2312" w:hAnsi="仿宋_GB2312" w:eastAsia="仿宋_GB2312" w:cs="仿宋_GB2312"/>
          <w:color w:val="000000" w:themeColor="text1"/>
          <w:sz w:val="24"/>
          <w:highlight w:val="none"/>
          <w14:textFill>
            <w14:solidFill>
              <w14:schemeClr w14:val="tx1"/>
            </w14:solidFill>
          </w14:textFill>
        </w:rPr>
        <w:t>中扣除，并通知乙方</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装修改造保证金</w:t>
      </w:r>
      <w:r>
        <w:rPr>
          <w:rFonts w:hint="eastAsia" w:ascii="仿宋_GB2312" w:hAnsi="仿宋_GB2312" w:eastAsia="仿宋_GB2312" w:cs="仿宋_GB2312"/>
          <w:color w:val="000000" w:themeColor="text1"/>
          <w:sz w:val="24"/>
          <w:highlight w:val="none"/>
          <w14:textFill>
            <w14:solidFill>
              <w14:schemeClr w14:val="tx1"/>
            </w14:solidFill>
          </w14:textFill>
        </w:rPr>
        <w:t>不退还或扣除情况及事实理由。</w:t>
      </w:r>
    </w:p>
    <w:p w14:paraId="663F6F2D">
      <w:pPr>
        <w:pStyle w:val="6"/>
        <w:adjustRightInd w:val="0"/>
        <w:snapToGrid w:val="0"/>
        <w:spacing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（1）未向甲方报批或未按经甲方审核后方案进行装修；</w:t>
      </w:r>
    </w:p>
    <w:p w14:paraId="623975E5">
      <w:pPr>
        <w:pStyle w:val="6"/>
        <w:adjustRightInd w:val="0"/>
        <w:snapToGrid w:val="0"/>
        <w:spacing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（2）未经过相关职能部门审批就擅自进行装修；</w:t>
      </w:r>
    </w:p>
    <w:p w14:paraId="70BDB8EE">
      <w:pPr>
        <w:pStyle w:val="6"/>
        <w:adjustRightInd w:val="0"/>
        <w:snapToGrid w:val="0"/>
        <w:spacing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（3）装修过程中造成甲方及其他第三人人身、财产损失未能及时赔偿，甲方先行垫付相关款项的；</w:t>
      </w:r>
    </w:p>
    <w:p w14:paraId="273B8FE2">
      <w:pPr>
        <w:pStyle w:val="6"/>
        <w:adjustRightInd w:val="0"/>
        <w:snapToGrid w:val="0"/>
        <w:spacing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（4）其他乙方严重违反法律法规、甲方及甲方指定物业服务管理单位规定的相关装修规定。</w:t>
      </w:r>
    </w:p>
    <w:p w14:paraId="53991CE2">
      <w:pPr>
        <w:pStyle w:val="6"/>
        <w:adjustRightInd w:val="0"/>
        <w:snapToGrid w:val="0"/>
        <w:spacing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乙方缴纳的</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装修改造保证金</w:t>
      </w:r>
      <w:r>
        <w:rPr>
          <w:rFonts w:hint="eastAsia" w:ascii="仿宋_GB2312" w:hAnsi="仿宋_GB2312" w:eastAsia="仿宋_GB2312" w:cs="仿宋_GB2312"/>
          <w:color w:val="000000" w:themeColor="text1"/>
          <w:sz w:val="24"/>
          <w:highlight w:val="none"/>
          <w14:textFill>
            <w14:solidFill>
              <w14:schemeClr w14:val="tx1"/>
            </w14:solidFill>
          </w14:textFill>
        </w:rPr>
        <w:t>若不足扣除的，甲方可继续从履约保证金中扣除。扣除时乙方</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装修改造保证金</w:t>
      </w:r>
      <w:r>
        <w:rPr>
          <w:rFonts w:hint="eastAsia" w:ascii="仿宋_GB2312" w:hAnsi="仿宋_GB2312" w:eastAsia="仿宋_GB2312" w:cs="仿宋_GB2312"/>
          <w:color w:val="000000" w:themeColor="text1"/>
          <w:sz w:val="24"/>
          <w:highlight w:val="none"/>
          <w14:textFill>
            <w14:solidFill>
              <w14:schemeClr w14:val="tx1"/>
            </w14:solidFill>
          </w14:textFill>
        </w:rPr>
        <w:t>还未到退还时间，则乙方在接到甲方书面通知之日起五个工作日内将把甲方扣除的</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装修改造保证金</w:t>
      </w:r>
      <w:r>
        <w:rPr>
          <w:rFonts w:hint="eastAsia" w:ascii="仿宋_GB2312" w:hAnsi="仿宋_GB2312" w:eastAsia="仿宋_GB2312" w:cs="仿宋_GB2312"/>
          <w:color w:val="000000" w:themeColor="text1"/>
          <w:sz w:val="24"/>
          <w:highlight w:val="none"/>
          <w14:textFill>
            <w14:solidFill>
              <w14:schemeClr w14:val="tx1"/>
            </w14:solidFill>
          </w14:textFill>
        </w:rPr>
        <w:t>部分补足，否则视作乙方严重违约。</w:t>
      </w:r>
    </w:p>
    <w:p w14:paraId="1180D7CE">
      <w:pPr>
        <w:pStyle w:val="6"/>
        <w:adjustRightInd w:val="0"/>
        <w:snapToGrid w:val="0"/>
        <w:spacing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5.3、</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装修改造保证金</w:t>
      </w:r>
      <w:r>
        <w:rPr>
          <w:rFonts w:hint="eastAsia" w:ascii="仿宋_GB2312" w:hAnsi="仿宋_GB2312" w:eastAsia="仿宋_GB2312" w:cs="仿宋_GB2312"/>
          <w:color w:val="000000" w:themeColor="text1"/>
          <w:sz w:val="24"/>
          <w:highlight w:val="none"/>
          <w14:textFill>
            <w14:solidFill>
              <w14:schemeClr w14:val="tx1"/>
            </w14:solidFill>
          </w14:textFill>
        </w:rPr>
        <w:t>的退还：该</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装修改造保证金</w:t>
      </w:r>
      <w:r>
        <w:rPr>
          <w:rFonts w:hint="eastAsia" w:ascii="仿宋_GB2312" w:hAnsi="仿宋_GB2312" w:eastAsia="仿宋_GB2312" w:cs="仿宋_GB2312"/>
          <w:color w:val="000000" w:themeColor="text1"/>
          <w:sz w:val="24"/>
          <w:highlight w:val="none"/>
          <w14:textFill>
            <w14:solidFill>
              <w14:schemeClr w14:val="tx1"/>
            </w14:solidFill>
          </w14:textFill>
        </w:rPr>
        <w:t>在乙方装修完毕且经相关部门及甲方委托的本项目的物业公司验收合格，并将相关装修图纸、证照及验收合格审批文件等资料向甲方备案后于【三十】</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个工作</w:t>
      </w:r>
      <w:r>
        <w:rPr>
          <w:rFonts w:hint="eastAsia" w:ascii="仿宋_GB2312" w:hAnsi="仿宋_GB2312" w:eastAsia="仿宋_GB2312" w:cs="仿宋_GB2312"/>
          <w:color w:val="000000" w:themeColor="text1"/>
          <w:sz w:val="24"/>
          <w:highlight w:val="none"/>
          <w14:textFill>
            <w14:solidFill>
              <w14:schemeClr w14:val="tx1"/>
            </w14:solidFill>
          </w14:textFill>
        </w:rPr>
        <w:t>日内由甲方一次性无息退还给乙方。</w:t>
      </w:r>
    </w:p>
    <w:p w14:paraId="590FA005">
      <w:pPr>
        <w:widowControl/>
        <w:adjustRightInd w:val="0"/>
        <w:snapToGrid w:val="0"/>
        <w:spacing w:line="360" w:lineRule="auto"/>
        <w:ind w:firstLine="482" w:firstLineChars="200"/>
        <w:jc w:val="left"/>
        <w:rPr>
          <w:rFonts w:hint="eastAsia"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第六条  物业管理、公共事业费及支付</w:t>
      </w:r>
      <w:bookmarkStart w:id="0" w:name="OLE_LINK83"/>
    </w:p>
    <w:p w14:paraId="757B8D58">
      <w:pPr>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6.1、</w:t>
      </w:r>
      <w:r>
        <w:rPr>
          <w:rFonts w:hint="eastAsia" w:ascii="仿宋_GB2312" w:hAnsi="仿宋_GB2312" w:eastAsia="仿宋_GB2312" w:cs="仿宋_GB2312"/>
          <w:color w:val="000000" w:themeColor="text1"/>
          <w:sz w:val="24"/>
          <w:highlight w:val="none"/>
          <w14:textFill>
            <w14:solidFill>
              <w14:schemeClr w14:val="tx1"/>
            </w14:solidFill>
          </w14:textFill>
        </w:rPr>
        <w:t>物业服务单位由乙方自行根据相关法律法规及政策筹备负责，原有物业（即杭州地铁城市服务有限公司）享有同等条件下的优先签约权。</w:t>
      </w:r>
    </w:p>
    <w:p w14:paraId="5A652CC9">
      <w:pPr>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6.2、乙方需合理使用房屋区域及内部道路、绿化、地下及地面设施、岗亭等房屋配套区域，不得进行违反法律法规及场所用途有关规定的行为，否则全部责任由乙方承担。</w:t>
      </w:r>
    </w:p>
    <w:p w14:paraId="1D158DA9">
      <w:pPr>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6.3、自房屋交付给乙方之日起，乙方应负责房屋区域内及该房屋配套区域包括地下停车场及地面区域的保洁、保安、门岗、垃圾清运等一切物业服务管理，并承担相应的费用。</w:t>
      </w:r>
    </w:p>
    <w:p w14:paraId="0F4829D4">
      <w:pPr>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6.4、自房屋交付给乙方之日起，乙方应负责房屋区域内及该房屋配套区域(含甲方配置)的设施设备</w:t>
      </w:r>
      <w:bookmarkStart w:id="1" w:name="OLE_LINK61"/>
      <w:r>
        <w:rPr>
          <w:rFonts w:hint="eastAsia" w:ascii="仿宋_GB2312" w:hAnsi="仿宋_GB2312" w:eastAsia="仿宋_GB2312" w:cs="仿宋_GB2312"/>
          <w:color w:val="000000" w:themeColor="text1"/>
          <w:sz w:val="24"/>
          <w:highlight w:val="none"/>
          <w14:textFill>
            <w14:solidFill>
              <w14:schemeClr w14:val="tx1"/>
            </w14:solidFill>
          </w14:textFill>
        </w:rPr>
        <w:t>（详见附件6</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设施设备清单及日常管养安全制度</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）的日常维护、保养、清洁、润滑、调整以及</w:t>
      </w:r>
      <w:bookmarkEnd w:id="1"/>
      <w:r>
        <w:rPr>
          <w:rFonts w:hint="eastAsia" w:ascii="仿宋_GB2312" w:hAnsi="仿宋_GB2312" w:eastAsia="仿宋_GB2312" w:cs="仿宋_GB2312"/>
          <w:color w:val="000000" w:themeColor="text1"/>
          <w:sz w:val="24"/>
          <w:highlight w:val="none"/>
          <w14:textFill>
            <w14:solidFill>
              <w14:schemeClr w14:val="tx1"/>
            </w14:solidFill>
          </w14:textFill>
        </w:rPr>
        <w:t>管道养护、化粪池清理、内部道路保洁、机械车位日常操作维护等工作，并承担因此发生的全部费用，乙方应制定消防设施、机电设备等的日常保养计划并在维保完成后保留维保记录备查，保证处于正常的可使用和安全的状态。同时乙方应合理使用设施设备，甲方有权对乙方违规使用设施设备情况提出整改意见。</w:t>
      </w:r>
    </w:p>
    <w:p w14:paraId="20E38D9A">
      <w:pPr>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6.5、房屋及房屋配套区域因</w:t>
      </w:r>
      <w:bookmarkStart w:id="2" w:name="OLE_LINK111"/>
      <w:r>
        <w:rPr>
          <w:rFonts w:hint="eastAsia" w:ascii="仿宋_GB2312" w:hAnsi="仿宋_GB2312" w:eastAsia="仿宋_GB2312" w:cs="仿宋_GB2312"/>
          <w:color w:val="000000" w:themeColor="text1"/>
          <w:sz w:val="24"/>
          <w:highlight w:val="none"/>
          <w14:textFill>
            <w14:solidFill>
              <w14:schemeClr w14:val="tx1"/>
            </w14:solidFill>
          </w14:textFill>
        </w:rPr>
        <w:t>乙</w:t>
      </w:r>
      <w:bookmarkEnd w:id="2"/>
      <w:r>
        <w:rPr>
          <w:rFonts w:hint="eastAsia" w:ascii="仿宋_GB2312" w:hAnsi="仿宋_GB2312" w:eastAsia="仿宋_GB2312" w:cs="仿宋_GB2312"/>
          <w:color w:val="000000" w:themeColor="text1"/>
          <w:sz w:val="24"/>
          <w:highlight w:val="none"/>
          <w14:textFill>
            <w14:solidFill>
              <w14:schemeClr w14:val="tx1"/>
            </w14:solidFill>
          </w14:textFill>
        </w:rPr>
        <w:t>方</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原因</w:t>
      </w:r>
      <w:r>
        <w:rPr>
          <w:rFonts w:hint="eastAsia" w:ascii="仿宋_GB2312" w:hAnsi="仿宋_GB2312" w:eastAsia="仿宋_GB2312" w:cs="仿宋_GB2312"/>
          <w:color w:val="000000" w:themeColor="text1"/>
          <w:sz w:val="24"/>
          <w:highlight w:val="none"/>
          <w14:textFill>
            <w14:solidFill>
              <w14:schemeClr w14:val="tx1"/>
            </w14:solidFill>
          </w14:textFill>
        </w:rPr>
        <w:t>造成的损失，所有责任均由该乙方承担。区域内的一切因乙方造成与第三方产生的事务处理及费用由乙方自行承担。该房屋毗邻建筑物、道路、绿化及其他设施因乙方造成的损失，所有责任均由乙方承担。若甲方或委托方因此先行承担责任的，有权向乙方全额追偿。</w:t>
      </w:r>
    </w:p>
    <w:p w14:paraId="54AAD530">
      <w:pPr>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6.6、乙方增设的临时的、可移动的设施设备的所有权归属乙方，由乙方负责维修和保养并承担安全责任。租赁期满，乙方拆除其增设的设施设备时，不得损坏该物业的结构和装修，否则因此产生的损失甲方有权在履约保证金中扣除或要求乙方限期支付。</w:t>
      </w:r>
    </w:p>
    <w:p w14:paraId="132C924D">
      <w:pPr>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6.7、房屋毗邻区域，遇到意外及突发事件时(例如火灾、水管爆裂、电线短路等),双方应积极配合施救，在明确责任后由责任方承担责任和赔偿直接经济损失。</w:t>
      </w:r>
    </w:p>
    <w:p w14:paraId="0862289E">
      <w:pPr>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6.8、非甲方原因造成的事项(如停电、限电、停水等),所引起的损害损失甲方不予以承担责任。</w:t>
      </w:r>
    </w:p>
    <w:p w14:paraId="23C0F57F">
      <w:pPr>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6.9、甲方人员需要进入乙方物业管理区域进行日常巡查、保养维护或紧急抢修等作业的，甲方需提前3个工作日告知乙方，乙方应予以积极配合。如情况紧急，甲方可先行采取处置措施，事后向乙方作出必要之说明。</w:t>
      </w:r>
    </w:p>
    <w:p w14:paraId="3336764A">
      <w:pPr>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6.10、水电费等为有偿使用，该房屋按照下文第【6.10.2】条(选填6.10.1/6.10.2)约定执行：</w:t>
      </w:r>
    </w:p>
    <w:p w14:paraId="27EE9BB4">
      <w:pPr>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6.10.1、该房屋电、水接入甲方配电所、用水总管，水、电费用由甲方代收代付。电费根据浙江省《国网代理购电工商业用户电价表》中“一般工商业35千伏及以上”电价加权当月天数计算季度电价按实进行结算；水费根据市供水部门公布的水价进行结算。乙方按照电(水)表计量的实际用量每季度向甲方支付一次。甲方以书面形式告知乙方上一个季度的用电(水)量并结算电(水)费，乙方应在收到甲方关于水电费的书面通知后20日内支付相应的电(水)费。</w:t>
      </w:r>
    </w:p>
    <w:p w14:paraId="6CC4693D">
      <w:pPr>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6.10.2、</w:t>
      </w:r>
      <w:r>
        <w:rPr>
          <w:rFonts w:hint="eastAsia" w:ascii="仿宋_GB2312" w:hAnsi="仿宋_GB2312" w:eastAsia="仿宋_GB2312" w:cs="仿宋_GB2312"/>
          <w:color w:val="000000" w:themeColor="text1"/>
          <w:sz w:val="24"/>
          <w:highlight w:val="none"/>
          <w14:textFill>
            <w14:solidFill>
              <w14:schemeClr w14:val="tx1"/>
            </w14:solidFill>
          </w14:textFill>
        </w:rPr>
        <w:t>房屋直接接入市政电网、水网的，由乙方自行向供电、供水部门缴纳费用。甲方有义务配合乙方做好水电过户相关事宜。</w:t>
      </w:r>
    </w:p>
    <w:p w14:paraId="08C05604">
      <w:pPr>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6.11、甲乙双方在移交时做好电(水)表计量读数的确认，无电(水)表的房屋，由乙方另行加装并承担费用，无电(水)表期间所产生的电(水)费按加装电(水)表后首月的日电(水)费均价、及无电(水)表天数进行补缴。</w:t>
      </w:r>
    </w:p>
    <w:p w14:paraId="23B33BCF">
      <w:pPr>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6.12、乙方自行承担因经营需要办理水电增容的责任和费用。</w:t>
      </w:r>
    </w:p>
    <w:p w14:paraId="3B7658D3">
      <w:pPr>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6.13、其他相关费用及支付</w:t>
      </w:r>
    </w:p>
    <w:p w14:paraId="4BB85088">
      <w:pPr>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6.13.1、自房屋交付日起，乙方应缴纳的费用包括但不限于城市垃圾处理费、污水管道清淤费、化粪池清理费等，均由乙方自行向有关部门、单位缴纳；</w:t>
      </w:r>
    </w:p>
    <w:p w14:paraId="39A564B3">
      <w:pPr>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6.13.2、自房屋交付日起，乙方通讯资源为有偿使用，通讯资源及费用支付按通信公司相关标准执行并支付。</w:t>
      </w:r>
      <w:bookmarkEnd w:id="0"/>
    </w:p>
    <w:p w14:paraId="44CC9E0C">
      <w:pPr>
        <w:snapToGrid w:val="0"/>
        <w:spacing w:line="360" w:lineRule="auto"/>
        <w:ind w:firstLine="480" w:firstLineChars="200"/>
        <w:jc w:val="left"/>
        <w:rPr>
          <w:rFonts w:hint="eastAsia" w:ascii="仿宋_GB2312" w:hAnsi="仿宋_GB2312" w:eastAsia="仿宋_GB2312" w:cs="仿宋_GB2312"/>
          <w:color w:val="000000" w:themeColor="text1"/>
          <w:sz w:val="24"/>
          <w:szCs w:val="21"/>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6.13.3、</w:t>
      </w:r>
      <w:r>
        <w:rPr>
          <w:rFonts w:hint="eastAsia" w:ascii="仿宋_GB2312" w:hAnsi="仿宋_GB2312" w:eastAsia="仿宋_GB2312" w:cs="仿宋_GB2312"/>
          <w:color w:val="000000" w:themeColor="text1"/>
          <w:sz w:val="24"/>
          <w:szCs w:val="21"/>
          <w:highlight w:val="none"/>
          <w14:textFill>
            <w14:solidFill>
              <w14:schemeClr w14:val="tx1"/>
            </w14:solidFill>
          </w14:textFill>
        </w:rPr>
        <w:t>在本合同有效期内，乙方需自费购买和维持用于保证公众安全及生产、运营安全的必要保险（包括但不限于财产一切险、公众责任险（需附加火灾条款））。此外乙方也应为其雇员、代表及其委托的第三人提供适当的保险。</w:t>
      </w:r>
    </w:p>
    <w:p w14:paraId="4602EF9D">
      <w:pPr>
        <w:snapToGrid w:val="0"/>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szCs w:val="21"/>
          <w:highlight w:val="none"/>
          <w14:textFill>
            <w14:solidFill>
              <w14:schemeClr w14:val="tx1"/>
            </w14:solidFill>
          </w14:textFill>
        </w:rPr>
        <w:t>6.13.3.1</w:t>
      </w:r>
      <w:r>
        <w:rPr>
          <w:rFonts w:hint="eastAsia" w:ascii="仿宋_GB2312" w:hAnsi="仿宋_GB2312" w:eastAsia="仿宋_GB2312" w:cs="仿宋_GB2312"/>
          <w:color w:val="000000" w:themeColor="text1"/>
          <w:sz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1"/>
          <w:highlight w:val="none"/>
          <w14:textFill>
            <w14:solidFill>
              <w14:schemeClr w14:val="tx1"/>
            </w14:solidFill>
          </w14:textFill>
        </w:rPr>
        <w:t>保险的特别约定。乙方应在获准在中华人民共和国经营保险业务的、具有良好信誉的保险商处购买完全有效的保险，并向甲方提供所有的保险证书，证明乙方已获得了保险单，同时向甲方提供这种保险单及保险费已付凭据的复印件。乙方一旦收到续保证书和保险批单凭据应及时提交给甲方。</w:t>
      </w:r>
    </w:p>
    <w:p w14:paraId="3A1E7C58">
      <w:pPr>
        <w:snapToGrid w:val="0"/>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6.13.3.2、</w:t>
      </w:r>
      <w:r>
        <w:rPr>
          <w:rFonts w:hint="eastAsia" w:ascii="仿宋_GB2312" w:hAnsi="仿宋_GB2312" w:eastAsia="仿宋_GB2312" w:cs="仿宋_GB2312"/>
          <w:color w:val="000000" w:themeColor="text1"/>
          <w:sz w:val="24"/>
          <w:szCs w:val="21"/>
          <w:highlight w:val="none"/>
          <w14:textFill>
            <w14:solidFill>
              <w14:schemeClr w14:val="tx1"/>
            </w14:solidFill>
          </w14:textFill>
        </w:rPr>
        <w:t>乙方应遵守对其适用的保险单的条款及条件，并应遵循与保险商订立的索赔管理程序。该索赔管理程序应符合或者优于同类项目的合理的和惯常使用的条款。乙方未能按本合同约定投保或获得保险证明，不得减轻或以其他方式影响乙方依本合同应承担的义务和责任。当任何保险单项下的任何索赔事项发生时，乙方应</w:t>
      </w:r>
      <w:r>
        <w:rPr>
          <w:rFonts w:hint="eastAsia" w:ascii="仿宋_GB2312" w:hAnsi="仿宋_GB2312" w:eastAsia="仿宋_GB2312" w:cs="仿宋_GB2312"/>
          <w:color w:val="000000" w:themeColor="text1"/>
          <w:sz w:val="24"/>
          <w:szCs w:val="21"/>
          <w:highlight w:val="none"/>
          <w:lang w:val="en-US" w:eastAsia="zh-CN"/>
          <w14:textFill>
            <w14:solidFill>
              <w14:schemeClr w14:val="tx1"/>
            </w14:solidFill>
          </w14:textFill>
        </w:rPr>
        <w:t>在事发当日书面</w:t>
      </w:r>
      <w:r>
        <w:rPr>
          <w:rFonts w:hint="eastAsia" w:ascii="仿宋_GB2312" w:hAnsi="仿宋_GB2312" w:eastAsia="仿宋_GB2312" w:cs="仿宋_GB2312"/>
          <w:color w:val="000000" w:themeColor="text1"/>
          <w:sz w:val="24"/>
          <w:szCs w:val="21"/>
          <w:highlight w:val="none"/>
          <w14:textFill>
            <w14:solidFill>
              <w14:schemeClr w14:val="tx1"/>
            </w14:solidFill>
          </w14:textFill>
        </w:rPr>
        <w:t>通知甲方并及时向甲方提供其合理要求的有关保险单项下索赔的任何信息，应支付甲方的索赔款按照保险法规定</w:t>
      </w:r>
      <w:r>
        <w:rPr>
          <w:rFonts w:hint="eastAsia" w:ascii="仿宋_GB2312" w:hAnsi="仿宋_GB2312" w:eastAsia="仿宋_GB2312" w:cs="仿宋_GB2312"/>
          <w:color w:val="000000" w:themeColor="text1"/>
          <w:sz w:val="24"/>
          <w:szCs w:val="21"/>
          <w:highlight w:val="none"/>
          <w:lang w:val="en-US" w:eastAsia="zh-CN"/>
          <w14:textFill>
            <w14:solidFill>
              <w14:schemeClr w14:val="tx1"/>
            </w14:solidFill>
          </w14:textFill>
        </w:rPr>
        <w:t>或合同约定</w:t>
      </w:r>
      <w:r>
        <w:rPr>
          <w:rFonts w:hint="eastAsia" w:ascii="仿宋_GB2312" w:hAnsi="仿宋_GB2312" w:eastAsia="仿宋_GB2312" w:cs="仿宋_GB2312"/>
          <w:color w:val="000000" w:themeColor="text1"/>
          <w:sz w:val="24"/>
          <w:szCs w:val="21"/>
          <w:highlight w:val="none"/>
          <w14:textFill>
            <w14:solidFill>
              <w14:schemeClr w14:val="tx1"/>
            </w14:solidFill>
          </w14:textFill>
        </w:rPr>
        <w:t>及时支付甲方。</w:t>
      </w:r>
    </w:p>
    <w:p w14:paraId="3089FD64">
      <w:pPr>
        <w:spacing w:line="360" w:lineRule="auto"/>
        <w:ind w:firstLine="480" w:firstLineChars="200"/>
        <w:jc w:val="left"/>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6.13.3.3、根据本合同投保的所有保险，对于任何责任范围的取消、终止、期满或中止和/或保险的任何重大改变或保险额的任何减少，或责任限制的任何减少，乙方应促使保险商在此类取消、终止、期满、中止、改变或减少生效之前至少90日以书面形式通知甲方。</w:t>
      </w:r>
    </w:p>
    <w:p w14:paraId="0742FD6B">
      <w:pPr>
        <w:numPr>
          <w:ilvl w:val="0"/>
          <w:numId w:val="1"/>
        </w:numPr>
        <w:spacing w:line="360" w:lineRule="auto"/>
        <w:ind w:firstLine="482"/>
        <w:rPr>
          <w:rFonts w:hint="eastAsia"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 xml:space="preserve"> 开票方式及收款账户</w:t>
      </w:r>
    </w:p>
    <w:p w14:paraId="38FC3120">
      <w:pPr>
        <w:spacing w:line="360" w:lineRule="auto"/>
        <w:ind w:firstLine="480" w:firstLineChars="200"/>
        <w:rPr>
          <w:rFonts w:hint="eastAsia" w:ascii="仿宋_GB2312" w:hAnsi="仿宋_GB2312" w:eastAsia="宋体"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u w:val="single"/>
          <w14:textFill>
            <w14:solidFill>
              <w14:schemeClr w14:val="tx1"/>
            </w14:solidFill>
          </w14:textFill>
        </w:rPr>
        <w:sym w:font="Wingdings" w:char="00A8"/>
      </w:r>
      <w:r>
        <w:rPr>
          <w:rFonts w:hint="eastAsia" w:ascii="仿宋_GB2312" w:hAnsi="仿宋_GB2312" w:eastAsia="仿宋_GB2312" w:cs="仿宋_GB2312"/>
          <w:color w:val="000000" w:themeColor="text1"/>
          <w:sz w:val="24"/>
          <w:highlight w:val="none"/>
          <w14:textFill>
            <w14:solidFill>
              <w14:schemeClr w14:val="tx1"/>
            </w14:solidFill>
          </w14:textFill>
        </w:rPr>
        <w:t>甲方在收到租金及其他费用的款项后</w:t>
      </w:r>
      <w:r>
        <w:rPr>
          <w:rFonts w:ascii="仿宋_GB2312" w:hAnsi="仿宋_GB2312" w:eastAsia="仿宋_GB2312" w:cs="仿宋_GB2312"/>
          <w:color w:val="000000" w:themeColor="text1"/>
          <w:sz w:val="24"/>
          <w:highlight w:val="none"/>
          <w:u w:val="single"/>
          <w14:textFill>
            <w14:solidFill>
              <w14:schemeClr w14:val="tx1"/>
            </w14:solidFill>
          </w14:textFill>
        </w:rPr>
        <w:t xml:space="preserve"> / </w:t>
      </w:r>
      <w:r>
        <w:rPr>
          <w:rFonts w:hint="eastAsia" w:ascii="仿宋_GB2312" w:hAnsi="仿宋_GB2312" w:eastAsia="仿宋_GB2312" w:cs="仿宋_GB2312"/>
          <w:color w:val="000000" w:themeColor="text1"/>
          <w:sz w:val="24"/>
          <w:highlight w:val="none"/>
          <w14:textFill>
            <w14:solidFill>
              <w14:schemeClr w14:val="tx1"/>
            </w14:solidFill>
          </w14:textFill>
        </w:rPr>
        <w:t>个工作日内向乙方开具与所收款项等额的符合国家有关规定的发票（或：</w:t>
      </w:r>
      <w:r>
        <w:rPr>
          <w:rFonts w:ascii="仿宋_GB2312" w:hAnsi="仿宋_GB2312" w:eastAsia="仿宋_GB2312" w:cs="仿宋_GB2312"/>
          <w:color w:val="000000" w:themeColor="text1"/>
          <w:sz w:val="24"/>
          <w:highlight w:val="none"/>
          <w:u w:val="single"/>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乙方收到甲方开具与所收款项等额的符合国家有关规定的发票后</w:t>
      </w:r>
      <w:r>
        <w:rPr>
          <w:rFonts w:ascii="仿宋_GB2312" w:hAnsi="仿宋_GB2312" w:eastAsia="仿宋_GB2312" w:cs="仿宋_GB2312"/>
          <w:color w:val="000000" w:themeColor="text1"/>
          <w:sz w:val="24"/>
          <w:highlight w:val="none"/>
          <w:u w:val="single"/>
          <w14:textFill>
            <w14:solidFill>
              <w14:schemeClr w14:val="tx1"/>
            </w14:solidFill>
          </w14:textFill>
        </w:rPr>
        <w:t xml:space="preserve"> 15 </w:t>
      </w:r>
      <w:r>
        <w:rPr>
          <w:rFonts w:hint="eastAsia" w:ascii="仿宋_GB2312" w:hAnsi="仿宋_GB2312" w:eastAsia="仿宋_GB2312" w:cs="仿宋_GB2312"/>
          <w:color w:val="000000" w:themeColor="text1"/>
          <w:sz w:val="24"/>
          <w:highlight w:val="none"/>
          <w14:textFill>
            <w14:solidFill>
              <w14:schemeClr w14:val="tx1"/>
            </w14:solidFill>
          </w14:textFill>
        </w:rPr>
        <w:t>个工作日内，向甲方支付相应费用</w:t>
      </w:r>
      <w:r>
        <w:rPr>
          <w:rFonts w:hint="eastAsia"/>
          <w:color w:val="000000" w:themeColor="text1"/>
          <w:highlight w:val="none"/>
          <w:lang w:eastAsia="zh"/>
          <w14:textFill>
            <w14:solidFill>
              <w14:schemeClr w14:val="tx1"/>
            </w14:solidFill>
          </w14:textFill>
        </w:rPr>
        <w:t>，</w:t>
      </w:r>
      <w:r>
        <w:rPr>
          <w:rFonts w:hint="default" w:ascii="仿宋_GB2312" w:hAnsi="仿宋_GB2312" w:eastAsia="仿宋_GB2312" w:cs="仿宋_GB2312"/>
          <w:color w:val="000000" w:themeColor="text1"/>
          <w:sz w:val="24"/>
          <w:highlight w:val="none"/>
          <w:lang w:eastAsia="zh"/>
          <w14:textFill>
            <w14:solidFill>
              <w14:schemeClr w14:val="tx1"/>
            </w14:solidFill>
          </w14:textFill>
        </w:rPr>
        <w:t>其中首笔租金为甲方在收到该笔款项后15个工作日内</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以杭交所转付至甲方之日起算）</w:t>
      </w:r>
      <w:r>
        <w:rPr>
          <w:rFonts w:hint="default" w:ascii="仿宋_GB2312" w:hAnsi="仿宋_GB2312" w:eastAsia="仿宋_GB2312" w:cs="仿宋_GB2312"/>
          <w:color w:val="000000" w:themeColor="text1"/>
          <w:sz w:val="24"/>
          <w:highlight w:val="none"/>
          <w:lang w:eastAsia="zh"/>
          <w14:textFill>
            <w14:solidFill>
              <w14:schemeClr w14:val="tx1"/>
            </w14:solidFill>
          </w14:textFill>
        </w:rPr>
        <w:t>，向乙方开具等额增值税专用发票。</w:t>
      </w:r>
      <w:r>
        <w:rPr>
          <w:rFonts w:hint="eastAsia"/>
          <w:color w:val="000000" w:themeColor="text1"/>
          <w:highlight w:val="none"/>
          <w:lang w:eastAsia="zh-CN"/>
          <w14:textFill>
            <w14:solidFill>
              <w14:schemeClr w14:val="tx1"/>
            </w14:solidFill>
          </w14:textFill>
        </w:rPr>
        <w:t>）</w:t>
      </w:r>
    </w:p>
    <w:p w14:paraId="41E3FF68">
      <w:pPr>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甲方收款账号信息为：</w:t>
      </w:r>
    </w:p>
    <w:p w14:paraId="63A5614B">
      <w:pPr>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账户名称：杭州南泰置业有限公司</w:t>
      </w:r>
    </w:p>
    <w:p w14:paraId="307F49C0">
      <w:pPr>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开户行：杭州银行股份有限公司官巷口支行</w:t>
      </w:r>
    </w:p>
    <w:p w14:paraId="6BD29799">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账号：3301040160018034382</w:t>
      </w:r>
    </w:p>
    <w:p w14:paraId="6DD42048">
      <w:pPr>
        <w:pStyle w:val="14"/>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乙方开票信息：</w:t>
      </w:r>
    </w:p>
    <w:p w14:paraId="14DB4C81">
      <w:pPr>
        <w:pStyle w:val="14"/>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ascii="仿宋_GB2312" w:hAnsi="仿宋_GB2312" w:eastAsia="仿宋_GB2312" w:cs="仿宋_GB2312"/>
          <w:color w:val="000000" w:themeColor="text1"/>
          <w:highlight w:val="none"/>
          <w14:textFill>
            <w14:solidFill>
              <w14:schemeClr w14:val="tx1"/>
            </w14:solidFill>
          </w14:textFill>
        </w:rPr>
        <w:t>名称：</w:t>
      </w:r>
    </w:p>
    <w:p w14:paraId="573F38EB">
      <w:pPr>
        <w:pStyle w:val="14"/>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ascii="仿宋_GB2312" w:hAnsi="仿宋_GB2312" w:eastAsia="仿宋_GB2312" w:cs="仿宋_GB2312"/>
          <w:color w:val="000000" w:themeColor="text1"/>
          <w:highlight w:val="none"/>
          <w14:textFill>
            <w14:solidFill>
              <w14:schemeClr w14:val="tx1"/>
            </w14:solidFill>
          </w14:textFill>
        </w:rPr>
        <w:t>纳税人识别号：</w:t>
      </w:r>
    </w:p>
    <w:p w14:paraId="1895072E">
      <w:pPr>
        <w:pStyle w:val="14"/>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ascii="仿宋_GB2312" w:hAnsi="仿宋_GB2312" w:eastAsia="仿宋_GB2312" w:cs="仿宋_GB2312"/>
          <w:color w:val="000000" w:themeColor="text1"/>
          <w:highlight w:val="none"/>
          <w14:textFill>
            <w14:solidFill>
              <w14:schemeClr w14:val="tx1"/>
            </w14:solidFill>
          </w14:textFill>
        </w:rPr>
        <w:t xml:space="preserve">地址、电话：                  </w:t>
      </w:r>
    </w:p>
    <w:p w14:paraId="49356264">
      <w:pPr>
        <w:pStyle w:val="14"/>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ascii="仿宋_GB2312" w:hAnsi="仿宋_GB2312" w:eastAsia="仿宋_GB2312" w:cs="仿宋_GB2312"/>
          <w:color w:val="000000" w:themeColor="text1"/>
          <w:highlight w:val="none"/>
          <w14:textFill>
            <w14:solidFill>
              <w14:schemeClr w14:val="tx1"/>
            </w14:solidFill>
          </w14:textFill>
        </w:rPr>
        <w:t>开户行及账号：</w:t>
      </w:r>
    </w:p>
    <w:p w14:paraId="4B86C89B">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p>
    <w:p w14:paraId="62A70787">
      <w:pPr>
        <w:adjustRightInd w:val="0"/>
        <w:snapToGrid w:val="0"/>
        <w:spacing w:line="360" w:lineRule="auto"/>
        <w:ind w:firstLine="482" w:firstLineChars="200"/>
        <w:rPr>
          <w:rFonts w:hint="eastAsia"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第八条  房屋的交接</w:t>
      </w:r>
    </w:p>
    <w:p w14:paraId="0C8FD555">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8.1、甲方交付的租赁</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房屋</w:t>
      </w:r>
      <w:r>
        <w:rPr>
          <w:rFonts w:hint="eastAsia" w:ascii="仿宋_GB2312" w:hAnsi="仿宋_GB2312" w:eastAsia="仿宋_GB2312" w:cs="仿宋_GB2312"/>
          <w:color w:val="000000" w:themeColor="text1"/>
          <w:sz w:val="24"/>
          <w:highlight w:val="none"/>
          <w14:textFill>
            <w14:solidFill>
              <w14:schemeClr w14:val="tx1"/>
            </w14:solidFill>
          </w14:textFill>
        </w:rPr>
        <w:t>应符合消防要求，并在交付日之前向乙方出示消防部门审核合格的《建设工程消防验收意见书》（或</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具有同等效力的</w:t>
      </w:r>
      <w:r>
        <w:rPr>
          <w:rFonts w:hint="eastAsia" w:ascii="仿宋_GB2312" w:hAnsi="仿宋_GB2312" w:eastAsia="仿宋_GB2312" w:cs="仿宋_GB2312"/>
          <w:color w:val="000000" w:themeColor="text1"/>
          <w:sz w:val="24"/>
          <w:highlight w:val="none"/>
          <w14:textFill>
            <w14:solidFill>
              <w14:schemeClr w14:val="tx1"/>
            </w14:solidFill>
          </w14:textFill>
        </w:rPr>
        <w:t>类似审批文件）复印件。</w:t>
      </w:r>
    </w:p>
    <w:p w14:paraId="56A9155D">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8.2、在乙方已经按照本合同约定交付履约保证金和</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装修改造保证金</w:t>
      </w:r>
      <w:r>
        <w:rPr>
          <w:rFonts w:hint="eastAsia" w:ascii="仿宋_GB2312" w:hAnsi="仿宋_GB2312" w:eastAsia="仿宋_GB2312" w:cs="仿宋_GB2312"/>
          <w:color w:val="000000" w:themeColor="text1"/>
          <w:sz w:val="24"/>
          <w:highlight w:val="none"/>
          <w14:textFill>
            <w14:solidFill>
              <w14:schemeClr w14:val="tx1"/>
            </w14:solidFill>
          </w14:textFill>
        </w:rPr>
        <w:t>、首期租金的前提下，房屋及房屋的硬件、设施、设备以现状进行交付。</w:t>
      </w:r>
      <w:r>
        <w:rPr>
          <w:rFonts w:hint="eastAsia" w:ascii="仿宋_GB2312" w:hAnsi="仿宋_GB2312" w:eastAsia="仿宋_GB2312" w:cs="仿宋_GB2312"/>
          <w:color w:val="000000" w:themeColor="text1"/>
          <w:sz w:val="24"/>
          <w:highlight w:val="none"/>
          <w14:textFill>
            <w14:solidFill>
              <w14:schemeClr w14:val="tx1"/>
            </w14:solidFill>
          </w14:textFill>
        </w:rPr>
        <w:t>甲乙</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任何一方均有权提议</w:t>
      </w:r>
      <w:r>
        <w:rPr>
          <w:rFonts w:hint="eastAsia" w:ascii="仿宋_GB2312" w:hAnsi="仿宋_GB2312" w:eastAsia="仿宋_GB2312" w:cs="仿宋_GB2312"/>
          <w:color w:val="000000" w:themeColor="text1"/>
          <w:sz w:val="24"/>
          <w:highlight w:val="none"/>
          <w14:textFill>
            <w14:solidFill>
              <w14:schemeClr w14:val="tx1"/>
            </w14:solidFill>
          </w14:textFill>
        </w:rPr>
        <w:t>共同委托具备相应资质的第三方检测机构，对租赁房屋的设施设备、房屋结构、消防系统等进行查验，并由该第三方机构出具正式查验报告</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另一方无正当理由不得拒绝配合。委托第三方检测机构的查验费用由提议方承担</w:t>
      </w:r>
      <w:r>
        <w:rPr>
          <w:rFonts w:hint="eastAsia" w:ascii="仿宋_GB2312" w:hAnsi="仿宋_GB2312" w:eastAsia="仿宋_GB2312" w:cs="仿宋_GB2312"/>
          <w:color w:val="000000" w:themeColor="text1"/>
          <w:sz w:val="24"/>
          <w:highlight w:val="none"/>
          <w14:textFill>
            <w14:solidFill>
              <w14:schemeClr w14:val="tx1"/>
            </w14:solidFill>
          </w14:textFill>
        </w:rPr>
        <w:t>。除经第三方检测机构查验确认存在影响房屋主体结构安全或导致乙方无法合法经营的重大隐患外，不影响乙方进场装修及正常经营的瑕疵，乙方均同意视为对房屋现状无异议，确认房屋可按现状完成交付。对该等瑕疵是否影响正常经营的判断，以</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附件二的认定标准为准，附件二中未规定的，以</w:t>
      </w:r>
      <w:r>
        <w:rPr>
          <w:rFonts w:hint="eastAsia" w:ascii="仿宋_GB2312" w:hAnsi="仿宋_GB2312" w:eastAsia="仿宋_GB2312" w:cs="仿宋_GB2312"/>
          <w:color w:val="000000" w:themeColor="text1"/>
          <w:sz w:val="24"/>
          <w:highlight w:val="none"/>
          <w14:textFill>
            <w14:solidFill>
              <w14:schemeClr w14:val="tx1"/>
            </w14:solidFill>
          </w14:textFill>
        </w:rPr>
        <w:t>甲方的合理认定为准。甲方收齐履约保证金和</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装修改造保证金</w:t>
      </w:r>
      <w:r>
        <w:rPr>
          <w:rFonts w:hint="eastAsia" w:ascii="仿宋_GB2312" w:hAnsi="仿宋_GB2312" w:eastAsia="仿宋_GB2312" w:cs="仿宋_GB2312"/>
          <w:color w:val="000000" w:themeColor="text1"/>
          <w:sz w:val="24"/>
          <w:highlight w:val="none"/>
          <w14:textFill>
            <w14:solidFill>
              <w14:schemeClr w14:val="tx1"/>
            </w14:solidFill>
          </w14:textFill>
        </w:rPr>
        <w:t>、第一期租金的前提下，甲乙方同意按《租赁房屋交付通知书》内通知的交付日期或者甲乙双方另行协商一致的日期（“交付日”）进行房屋交接，双方签署《租赁房屋交接确认书》。</w:t>
      </w:r>
    </w:p>
    <w:p w14:paraId="39C3C913">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若租赁房屋符合约定的交付标准，因乙方原因未在规定期限内办理交接手续而乙方亦未提出异议的，视同为按时交接，双方再约定时间补签《租赁房屋交接确认书》。本合同的租期、租金及双方权利义务条款不因交接日期的变化而变更。如经双方确认该租赁房屋不符合约定交付标准，无法按时办理交接手续的，甲方免收延期阶段的租金。双方约定现场物业管理单位同期交接，交接期为自《租赁房屋交接确认书》签订</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后</w:t>
      </w:r>
      <w:r>
        <w:rPr>
          <w:rFonts w:hint="eastAsia" w:ascii="仿宋_GB2312" w:hAnsi="仿宋_GB2312" w:eastAsia="仿宋_GB2312" w:cs="仿宋_GB2312"/>
          <w:color w:val="000000" w:themeColor="text1"/>
          <w:sz w:val="24"/>
          <w:highlight w:val="none"/>
          <w:lang w:val="en-US" w:eastAsia="zh"/>
          <w14:textFill>
            <w14:solidFill>
              <w14:schemeClr w14:val="tx1"/>
            </w14:solidFill>
          </w14:textFill>
        </w:rPr>
        <w:t>【30】个工作日</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内</w:t>
      </w:r>
      <w:r>
        <w:rPr>
          <w:rFonts w:hint="eastAsia" w:ascii="仿宋_GB2312" w:hAnsi="仿宋_GB2312" w:eastAsia="仿宋_GB2312" w:cs="仿宋_GB2312"/>
          <w:color w:val="000000" w:themeColor="text1"/>
          <w:sz w:val="24"/>
          <w:highlight w:val="none"/>
          <w14:textFill>
            <w14:solidFill>
              <w14:schemeClr w14:val="tx1"/>
            </w14:solidFill>
          </w14:textFill>
        </w:rPr>
        <w:t>。</w:t>
      </w:r>
    </w:p>
    <w:p w14:paraId="013D0CCF">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8.3、乙方未按照《租赁房屋交付通知书》内通知的交付日期或者甲乙双方另行协商一致的日期办理房屋交接手续，逾期超30日的，甲方有权解除本合同。 甲方选择解除合同的，则除乙方之前支付的全部费用不予退还外，乙方还应承担导致合同解除的违约责任。上述</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金额</w:t>
      </w:r>
      <w:r>
        <w:rPr>
          <w:rFonts w:hint="eastAsia" w:ascii="仿宋_GB2312" w:hAnsi="仿宋_GB2312" w:eastAsia="仿宋_GB2312" w:cs="仿宋_GB2312"/>
          <w:color w:val="000000" w:themeColor="text1"/>
          <w:sz w:val="24"/>
          <w:highlight w:val="none"/>
          <w14:textFill>
            <w14:solidFill>
              <w14:schemeClr w14:val="tx1"/>
            </w14:solidFill>
          </w14:textFill>
        </w:rPr>
        <w:t>不足以弥补甲方损失的</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包括但不限于重新招租空置期租金损失等）</w:t>
      </w:r>
      <w:r>
        <w:rPr>
          <w:rFonts w:hint="eastAsia" w:ascii="仿宋_GB2312" w:hAnsi="仿宋_GB2312" w:eastAsia="仿宋_GB2312" w:cs="仿宋_GB2312"/>
          <w:color w:val="000000" w:themeColor="text1"/>
          <w:sz w:val="24"/>
          <w:highlight w:val="none"/>
          <w14:textFill>
            <w14:solidFill>
              <w14:schemeClr w14:val="tx1"/>
            </w14:solidFill>
          </w14:textFill>
        </w:rPr>
        <w:t>，甲方仍有权向乙方追偿。</w:t>
      </w:r>
    </w:p>
    <w:p w14:paraId="0F5E324C">
      <w:pPr>
        <w:pStyle w:val="14"/>
        <w:spacing w:line="360" w:lineRule="auto"/>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8.4、甲乙双方特别同意，如乙方已实际进场开始或准备开始租赁</w:t>
      </w:r>
      <w:r>
        <w:rPr>
          <w:rFonts w:hint="eastAsia" w:ascii="仿宋_GB2312" w:hAnsi="仿宋_GB2312" w:eastAsia="仿宋_GB2312" w:cs="仿宋_GB2312"/>
          <w:color w:val="000000" w:themeColor="text1"/>
          <w:highlight w:val="none"/>
          <w:lang w:eastAsia="zh-CN"/>
          <w14:textFill>
            <w14:solidFill>
              <w14:schemeClr w14:val="tx1"/>
            </w14:solidFill>
          </w14:textFill>
        </w:rPr>
        <w:t>房屋</w:t>
      </w:r>
      <w:r>
        <w:rPr>
          <w:rFonts w:hint="eastAsia" w:ascii="仿宋_GB2312" w:hAnsi="仿宋_GB2312" w:eastAsia="仿宋_GB2312" w:cs="仿宋_GB2312"/>
          <w:color w:val="000000" w:themeColor="text1"/>
          <w:highlight w:val="none"/>
          <w14:textFill>
            <w14:solidFill>
              <w14:schemeClr w14:val="tx1"/>
            </w14:solidFill>
          </w14:textFill>
        </w:rPr>
        <w:t>的装修，或乙方已实际接收租赁</w:t>
      </w:r>
      <w:r>
        <w:rPr>
          <w:rFonts w:hint="eastAsia" w:ascii="仿宋_GB2312" w:hAnsi="仿宋_GB2312" w:eastAsia="仿宋_GB2312" w:cs="仿宋_GB2312"/>
          <w:color w:val="000000" w:themeColor="text1"/>
          <w:highlight w:val="none"/>
          <w:lang w:eastAsia="zh-CN"/>
          <w14:textFill>
            <w14:solidFill>
              <w14:schemeClr w14:val="tx1"/>
            </w14:solidFill>
          </w14:textFill>
        </w:rPr>
        <w:t>房屋</w:t>
      </w:r>
      <w:r>
        <w:rPr>
          <w:rFonts w:hint="eastAsia" w:ascii="仿宋_GB2312" w:hAnsi="仿宋_GB2312" w:eastAsia="仿宋_GB2312" w:cs="仿宋_GB2312"/>
          <w:color w:val="000000" w:themeColor="text1"/>
          <w:highlight w:val="none"/>
          <w14:textFill>
            <w14:solidFill>
              <w14:schemeClr w14:val="tx1"/>
            </w14:solidFill>
          </w14:textFill>
        </w:rPr>
        <w:t>的，即应视为甲方已于乙方实际进场或接收之日完成</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租赁房屋的</w:t>
      </w:r>
      <w:r>
        <w:rPr>
          <w:rFonts w:hint="eastAsia" w:ascii="仿宋_GB2312" w:hAnsi="仿宋_GB2312" w:eastAsia="仿宋_GB2312" w:cs="仿宋_GB2312"/>
          <w:color w:val="000000" w:themeColor="text1"/>
          <w:highlight w:val="none"/>
          <w14:textFill>
            <w14:solidFill>
              <w14:schemeClr w14:val="tx1"/>
            </w14:solidFill>
          </w14:textFill>
        </w:rPr>
        <w:t>交付，但乙方仍应履行本合同第8.3条的义务</w:t>
      </w:r>
      <w:r>
        <w:rPr>
          <w:rFonts w:hint="eastAsia" w:ascii="仿宋_GB2312" w:hAnsi="仿宋_GB2312" w:eastAsia="仿宋_GB2312" w:cs="仿宋_GB2312"/>
          <w:color w:val="000000" w:themeColor="text1"/>
          <w:highlight w:val="none"/>
          <w:lang w:eastAsia="zh-CN"/>
          <w14:textFill>
            <w14:solidFill>
              <w14:schemeClr w14:val="tx1"/>
            </w14:solidFill>
          </w14:textFill>
        </w:rPr>
        <w:t>，甲方</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仍有权</w:t>
      </w:r>
      <w:r>
        <w:rPr>
          <w:rFonts w:hint="eastAsia" w:ascii="仿宋_GB2312" w:hAnsi="仿宋_GB2312" w:eastAsia="仿宋_GB2312" w:cs="仿宋_GB2312"/>
          <w:color w:val="000000" w:themeColor="text1"/>
          <w:highlight w:val="none"/>
          <w:lang w:eastAsia="zh-CN"/>
          <w14:textFill>
            <w14:solidFill>
              <w14:schemeClr w14:val="tx1"/>
            </w14:solidFill>
          </w14:textFill>
        </w:rPr>
        <w:t>依据本合同第8.3条及其他约定追究乙方逾期办理交接手续的违约责任</w:t>
      </w:r>
      <w:r>
        <w:rPr>
          <w:rFonts w:hint="eastAsia" w:ascii="仿宋_GB2312" w:hAnsi="仿宋_GB2312" w:eastAsia="仿宋_GB2312" w:cs="仿宋_GB2312"/>
          <w:color w:val="000000" w:themeColor="text1"/>
          <w:highlight w:val="none"/>
          <w14:textFill>
            <w14:solidFill>
              <w14:schemeClr w14:val="tx1"/>
            </w14:solidFill>
          </w14:textFill>
        </w:rPr>
        <w:t>。</w:t>
      </w:r>
    </w:p>
    <w:p w14:paraId="31CC33E7">
      <w:pPr>
        <w:pStyle w:val="6"/>
        <w:spacing w:line="360" w:lineRule="auto"/>
        <w:ind w:firstLine="480"/>
        <w:rPr>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5</w:t>
      </w:r>
      <w:r>
        <w:rPr>
          <w:rFonts w:hint="eastAsia" w:ascii="仿宋_GB2312" w:hAnsi="仿宋_GB2312" w:eastAsia="仿宋_GB2312" w:cs="仿宋_GB2312"/>
          <w:color w:val="000000" w:themeColor="text1"/>
          <w:sz w:val="24"/>
          <w:highlight w:val="none"/>
          <w14:textFill>
            <w14:solidFill>
              <w14:schemeClr w14:val="tx1"/>
            </w14:solidFill>
          </w14:textFill>
        </w:rPr>
        <w:t>、乙方作为</w:t>
      </w:r>
      <w:bookmarkStart w:id="3" w:name="OLE_LINK45"/>
      <w:r>
        <w:rPr>
          <w:rFonts w:hint="eastAsia" w:ascii="仿宋_GB2312" w:hAnsi="仿宋_GB2312" w:eastAsia="仿宋_GB2312" w:cs="仿宋_GB2312"/>
          <w:color w:val="000000" w:themeColor="text1"/>
          <w:sz w:val="24"/>
          <w:highlight w:val="none"/>
          <w14:textFill>
            <w14:solidFill>
              <w14:schemeClr w14:val="tx1"/>
            </w14:solidFill>
          </w14:textFill>
        </w:rPr>
        <w:t>其租赁区域的实际使用人，承担该区域内所有设施设备（包括但不限于电梯、空调、消防、给排水、供电系统等）的日常管养、维修及安全巡检义务。乙方应按照甲方的标准（详见附件6</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设施设备清单及日常管养安全制度</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）建立完善的日常检查、维护保养及安全巡检制度，并保留完整记录备查</w:t>
      </w:r>
      <w:bookmarkEnd w:id="3"/>
      <w:r>
        <w:rPr>
          <w:rFonts w:hint="eastAsia" w:ascii="仿宋_GB2312" w:hAnsi="仿宋_GB2312" w:eastAsia="仿宋_GB2312" w:cs="仿宋_GB2312"/>
          <w:color w:val="000000" w:themeColor="text1"/>
          <w:sz w:val="24"/>
          <w:highlight w:val="none"/>
          <w14:textFill>
            <w14:solidFill>
              <w14:schemeClr w14:val="tx1"/>
            </w14:solidFill>
          </w14:textFill>
        </w:rPr>
        <w:t>。因乙方未履行保养义务或使用不当导致设备损坏的，由乙方承担维修责任及相关费用。合同终止时，乙方应保证该等设施设备处于正常可使用状态。</w:t>
      </w:r>
      <w:r>
        <w:rPr>
          <w:color w:val="000000" w:themeColor="text1"/>
          <w:highlight w:val="none"/>
          <w14:textFill>
            <w14:solidFill>
              <w14:schemeClr w14:val="tx1"/>
            </w14:solidFill>
          </w14:textFill>
        </w:rPr>
        <w:t xml:space="preserve"> </w:t>
      </w:r>
    </w:p>
    <w:p w14:paraId="2AAF150D">
      <w:pPr>
        <w:pStyle w:val="14"/>
        <w:spacing w:line="360" w:lineRule="auto"/>
        <w:ind w:firstLine="480" w:firstLineChars="200"/>
        <w:rPr>
          <w:rFonts w:hint="eastAsia" w:ascii="仿宋_GB2312" w:hAnsi="仿宋_GB2312" w:eastAsia="仿宋_GB2312" w:cs="仿宋_GB2312"/>
          <w:color w:val="000000" w:themeColor="text1"/>
          <w:highlight w:val="none"/>
          <w:lang w:eastAsia="zh-CN"/>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8.</w:t>
      </w:r>
      <w:r>
        <w:rPr>
          <w:rFonts w:hint="eastAsia" w:ascii="仿宋_GB2312" w:hAnsi="仿宋_GB2312" w:eastAsia="仿宋_GB2312" w:cs="仿宋_GB2312"/>
          <w:color w:val="000000" w:themeColor="text1"/>
          <w:highlight w:val="none"/>
          <w:lang w:eastAsia="zh"/>
          <w14:textFill>
            <w14:solidFill>
              <w14:schemeClr w14:val="tx1"/>
            </w14:solidFill>
          </w14:textFill>
        </w:rPr>
        <w:t>6</w:t>
      </w:r>
      <w:r>
        <w:rPr>
          <w:rFonts w:hint="eastAsia" w:ascii="仿宋_GB2312" w:hAnsi="仿宋_GB2312" w:eastAsia="仿宋_GB2312" w:cs="仿宋_GB2312"/>
          <w:color w:val="000000" w:themeColor="text1"/>
          <w:highlight w:val="none"/>
          <w14:textFill>
            <w14:solidFill>
              <w14:schemeClr w14:val="tx1"/>
            </w14:solidFill>
          </w14:textFill>
        </w:rPr>
        <w:t>、甲方负责对整个项目（包括乙方区域）的设施设备运行状态及安全管理进行协调组织与监督。甲方有权定期或不定期对乙方区域进行安全巡查，并基于巡查结果向</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乙方</w:t>
      </w:r>
      <w:r>
        <w:rPr>
          <w:rFonts w:hint="eastAsia" w:ascii="仿宋_GB2312" w:hAnsi="仿宋_GB2312" w:eastAsia="仿宋_GB2312" w:cs="仿宋_GB2312"/>
          <w:color w:val="000000" w:themeColor="text1"/>
          <w:highlight w:val="none"/>
          <w14:textFill>
            <w14:solidFill>
              <w14:schemeClr w14:val="tx1"/>
            </w14:solidFill>
          </w14:textFill>
        </w:rPr>
        <w:t>发出书面《整改通知清单》。乙方在收到甲方出具的《整改通知清单》后，必须在通知清单指定的合理期限内逐项完成整改，并将整改结果书面回复甲方。若乙方对整改要求有异议，</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应在收到《整改通知清单》后【3】日内</w:t>
      </w:r>
      <w:r>
        <w:rPr>
          <w:rFonts w:hint="eastAsia" w:ascii="仿宋_GB2312" w:hAnsi="仿宋_GB2312" w:eastAsia="仿宋_GB2312" w:cs="仿宋_GB2312"/>
          <w:color w:val="000000" w:themeColor="text1"/>
          <w:highlight w:val="none"/>
          <w14:textFill>
            <w14:solidFill>
              <w14:schemeClr w14:val="tx1"/>
            </w14:solidFill>
          </w14:textFill>
        </w:rPr>
        <w:t>书面</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提出</w:t>
      </w:r>
      <w:r>
        <w:rPr>
          <w:rFonts w:hint="eastAsia" w:ascii="仿宋_GB2312" w:hAnsi="仿宋_GB2312" w:eastAsia="仿宋_GB2312" w:cs="仿宋_GB2312"/>
          <w:color w:val="000000" w:themeColor="text1"/>
          <w:highlight w:val="none"/>
          <w:lang w:eastAsia="zh-CN"/>
          <w14:textFill>
            <w14:solidFill>
              <w14:schemeClr w14:val="tx1"/>
            </w14:solidFill>
          </w14:textFill>
        </w:rPr>
        <w:t>，</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并说明理由和依据，异议期间乙方不应停止整改的执行</w:t>
      </w:r>
      <w:r>
        <w:rPr>
          <w:rFonts w:hint="eastAsia" w:ascii="仿宋_GB2312" w:hAnsi="仿宋_GB2312" w:eastAsia="仿宋_GB2312" w:cs="仿宋_GB2312"/>
          <w:color w:val="000000" w:themeColor="text1"/>
          <w:highlight w:val="none"/>
          <w14:textFill>
            <w14:solidFill>
              <w14:schemeClr w14:val="tx1"/>
            </w14:solidFill>
          </w14:textFill>
        </w:rPr>
        <w:t>。若乙方逾期未整改、整改后仍不符合要求，或经甲方复核认定其</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异</w:t>
      </w:r>
      <w:r>
        <w:rPr>
          <w:rFonts w:hint="eastAsia" w:ascii="仿宋_GB2312" w:hAnsi="仿宋_GB2312" w:eastAsia="仿宋_GB2312" w:cs="仿宋_GB2312"/>
          <w:color w:val="000000" w:themeColor="text1"/>
          <w:highlight w:val="none"/>
          <w14:textFill>
            <w14:solidFill>
              <w14:schemeClr w14:val="tx1"/>
            </w14:solidFill>
          </w14:textFill>
        </w:rPr>
        <w:t>议理由不成立的，甲方有权自行或委托第三方代为整改，所产生的一切费用由乙方承担，甲方有权从履约保证金中直接扣除</w:t>
      </w:r>
      <w:r>
        <w:rPr>
          <w:rFonts w:hint="eastAsia" w:ascii="仿宋_GB2312" w:hAnsi="仿宋_GB2312" w:eastAsia="仿宋_GB2312" w:cs="仿宋_GB2312"/>
          <w:color w:val="000000" w:themeColor="text1"/>
          <w:highlight w:val="none"/>
          <w:lang w:eastAsia="zh-CN"/>
          <w14:textFill>
            <w14:solidFill>
              <w14:schemeClr w14:val="tx1"/>
            </w14:solidFill>
          </w14:textFill>
        </w:rPr>
        <w:t>。</w:t>
      </w:r>
    </w:p>
    <w:p w14:paraId="28CAF578">
      <w:pPr>
        <w:pStyle w:val="14"/>
        <w:spacing w:line="360" w:lineRule="auto"/>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8.</w:t>
      </w:r>
      <w:r>
        <w:rPr>
          <w:rFonts w:hint="eastAsia" w:ascii="仿宋_GB2312" w:hAnsi="仿宋_GB2312" w:eastAsia="仿宋_GB2312" w:cs="仿宋_GB2312"/>
          <w:color w:val="000000" w:themeColor="text1"/>
          <w:highlight w:val="none"/>
          <w:lang w:eastAsia="zh"/>
          <w14:textFill>
            <w14:solidFill>
              <w14:schemeClr w14:val="tx1"/>
            </w14:solidFill>
          </w14:textFill>
        </w:rPr>
        <w:t>7</w:t>
      </w:r>
      <w:r>
        <w:rPr>
          <w:rFonts w:hint="eastAsia" w:ascii="仿宋_GB2312" w:hAnsi="仿宋_GB2312" w:eastAsia="仿宋_GB2312" w:cs="仿宋_GB2312"/>
          <w:color w:val="000000" w:themeColor="text1"/>
          <w:highlight w:val="none"/>
          <w14:textFill>
            <w14:solidFill>
              <w14:schemeClr w14:val="tx1"/>
            </w14:solidFill>
          </w14:textFill>
        </w:rPr>
        <w:t>、设施设备质保期届满后，因设施设备自然老化、性能衰竭或非乙方使用不当导致的重大故障、大修、整体更换及更新事宜，具体如下：</w:t>
      </w:r>
      <w:r>
        <w:rPr>
          <w:rFonts w:hint="eastAsia" w:ascii="仿宋_GB2312" w:hAnsi="仿宋_GB2312" w:eastAsia="仿宋_GB2312" w:cs="仿宋_GB2312"/>
          <w:color w:val="000000" w:themeColor="text1"/>
          <w:highlight w:val="none"/>
          <w14:textFill>
            <w14:solidFill>
              <w14:schemeClr w14:val="tx1"/>
            </w14:solidFill>
          </w14:textFill>
        </w:rPr>
        <w:t>①重大设备更换：项目的空调设备和电梯设备因非人为因素自然损坏的，经甲方指定第三方专业机构检测确认为自然损坏且存在较大安全风险的，由甲方负责维修、更换</w:t>
      </w:r>
      <w:r>
        <w:rPr>
          <w:rFonts w:hint="eastAsia" w:ascii="仿宋_GB2312" w:hAnsi="仿宋_GB2312" w:eastAsia="仿宋_GB2312" w:cs="仿宋_GB2312"/>
          <w:color w:val="000000" w:themeColor="text1"/>
          <w:highlight w:val="none"/>
          <w:lang w:eastAsia="zh-CN"/>
          <w14:textFill>
            <w14:solidFill>
              <w14:schemeClr w14:val="tx1"/>
            </w14:solidFill>
          </w14:textFill>
        </w:rPr>
        <w:t>，并协调</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产权方</w:t>
      </w:r>
      <w:r>
        <w:rPr>
          <w:rFonts w:hint="eastAsia" w:ascii="仿宋_GB2312" w:hAnsi="仿宋_GB2312" w:eastAsia="仿宋_GB2312" w:cs="仿宋_GB2312"/>
          <w:color w:val="000000" w:themeColor="text1"/>
          <w:highlight w:val="none"/>
          <w:lang w:eastAsia="zh-CN"/>
          <w14:textFill>
            <w14:solidFill>
              <w14:schemeClr w14:val="tx1"/>
            </w14:solidFill>
          </w14:textFill>
        </w:rPr>
        <w:t>承担相应维修款项</w:t>
      </w:r>
      <w:r>
        <w:rPr>
          <w:rFonts w:hint="eastAsia" w:ascii="仿宋_GB2312" w:hAnsi="仿宋_GB2312" w:eastAsia="仿宋_GB2312" w:cs="仿宋_GB2312"/>
          <w:color w:val="000000" w:themeColor="text1"/>
          <w:highlight w:val="none"/>
          <w14:textFill>
            <w14:solidFill>
              <w14:schemeClr w14:val="tx1"/>
            </w14:solidFill>
          </w14:textFill>
        </w:rPr>
        <w:t>。②其他设备更换：其他相关设施设备自然损坏的，由乙方事前报备维修方案和预算，经甲方审核同意后组织实施，相关费用由乙方承担，其中涉及设备更换的，更换设备品牌及档次不得低于甲方现有标准。合同终止后，乙方须将上述维修、更新后的设施设备无偿移交甲方。③维修施工期间租赁合同正常履约。对于质保期外的日常零星维修（如更换水龙头、照明灯具、门锁、小型零部件等），其费用包含在乙方运营成本中，由乙方承担。</w:t>
      </w:r>
    </w:p>
    <w:p w14:paraId="5DB8B13C">
      <w:pPr>
        <w:pStyle w:val="14"/>
        <w:spacing w:line="360" w:lineRule="auto"/>
        <w:ind w:firstLine="241"/>
        <w:rPr>
          <w:rFonts w:hint="eastAsia" w:ascii="仿宋_GB2312" w:hAnsi="仿宋_GB2312" w:eastAsia="仿宋_GB2312" w:cs="仿宋_GB2312"/>
          <w:b/>
          <w:bCs/>
          <w:color w:val="000000" w:themeColor="text1"/>
          <w:highlight w:val="none"/>
          <w14:textFill>
            <w14:solidFill>
              <w14:schemeClr w14:val="tx1"/>
            </w14:solidFill>
          </w14:textFill>
        </w:rPr>
      </w:pPr>
    </w:p>
    <w:p w14:paraId="535ED734">
      <w:pPr>
        <w:pStyle w:val="14"/>
        <w:spacing w:line="360" w:lineRule="auto"/>
        <w:ind w:firstLine="241"/>
        <w:rPr>
          <w:rFonts w:hint="eastAsia" w:ascii="仿宋_GB2312" w:hAnsi="仿宋_GB2312" w:eastAsia="仿宋_GB2312" w:cs="仿宋_GB2312"/>
          <w:b/>
          <w:bCs/>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第九条 存量商户的交接</w:t>
      </w:r>
    </w:p>
    <w:p w14:paraId="394E444B">
      <w:pPr>
        <w:pStyle w:val="14"/>
        <w:spacing w:line="360" w:lineRule="auto"/>
        <w:ind w:firstLine="482" w:firstLineChars="200"/>
        <w:rPr>
          <w:rFonts w:hint="default" w:ascii="仿宋_GB2312" w:hAnsi="仿宋_GB2312" w:eastAsia="仿宋_GB2312" w:cs="仿宋_GB2312"/>
          <w:b/>
          <w:bCs/>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9.1 事实确认：乙方确认，其已在报价及确认本合同价款时，充分知悉并考虑了租赁房屋内存在部分面积由现存商户（下称“存量商户”）租赁的实际情况。基于此，乙方同意，</w:t>
      </w:r>
      <w:r>
        <w:rPr>
          <w:rFonts w:hint="eastAsia" w:ascii="仿宋_GB2312" w:hAnsi="仿宋_GB2312" w:eastAsia="仿宋_GB2312" w:cs="仿宋_GB2312"/>
          <w:b/>
          <w:bCs/>
          <w:color w:val="000000" w:themeColor="text1"/>
          <w:highlight w:val="none"/>
          <w14:textFill>
            <w14:solidFill>
              <w14:schemeClr w14:val="tx1"/>
            </w14:solidFill>
          </w14:textFill>
        </w:rPr>
        <w:t>不得以存量商户的存在、合法占用、未按时转签、或其租赁面积未被及时清空等任何相关事宜</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为由向甲方主张任何形式的租金减免、补偿、赔偿或主张甲方违约、解除本合同。</w:t>
      </w:r>
    </w:p>
    <w:p w14:paraId="58F195CF">
      <w:pPr>
        <w:pStyle w:val="14"/>
        <w:spacing w:line="360" w:lineRule="auto"/>
        <w:ind w:firstLine="482" w:firstLineChars="200"/>
        <w:rPr>
          <w:rFonts w:hint="default" w:ascii="仿宋_GB2312" w:hAnsi="仿宋_GB2312" w:eastAsia="仿宋_GB2312" w:cs="仿宋_GB2312"/>
          <w:b/>
          <w:bCs/>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9.2 出租现状：</w:t>
      </w:r>
      <w:r>
        <w:rPr>
          <w:rFonts w:hint="default" w:ascii="仿宋_GB2312" w:hAnsi="仿宋_GB2312" w:eastAsia="仿宋_GB2312" w:cs="仿宋_GB2312"/>
          <w:b/>
          <w:bCs/>
          <w:color w:val="000000" w:themeColor="text1"/>
          <w:highlight w:val="none"/>
          <w:lang w:val="en-US" w:eastAsia="zh-CN"/>
          <w14:textFill>
            <w14:solidFill>
              <w14:schemeClr w14:val="tx1"/>
            </w14:solidFill>
          </w14:textFill>
        </w:rPr>
        <w:t>租赁房屋内待出租资产被商户</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租赁的</w:t>
      </w:r>
      <w:r>
        <w:rPr>
          <w:rFonts w:hint="default" w:ascii="仿宋_GB2312" w:hAnsi="仿宋_GB2312" w:eastAsia="仿宋_GB2312" w:cs="仿宋_GB2312"/>
          <w:b/>
          <w:bCs/>
          <w:color w:val="000000" w:themeColor="text1"/>
          <w:highlight w:val="none"/>
          <w:lang w:val="en-US" w:eastAsia="zh-CN"/>
          <w14:textFill>
            <w14:solidFill>
              <w14:schemeClr w14:val="tx1"/>
            </w14:solidFill>
          </w14:textFill>
        </w:rPr>
        <w:t>房屋</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24</w:t>
      </w:r>
      <w:r>
        <w:rPr>
          <w:rFonts w:hint="default" w:ascii="仿宋_GB2312" w:hAnsi="仿宋_GB2312" w:eastAsia="仿宋_GB2312" w:cs="仿宋_GB2312"/>
          <w:b/>
          <w:bCs/>
          <w:color w:val="000000" w:themeColor="text1"/>
          <w:highlight w:val="none"/>
          <w:lang w:val="en-US" w:eastAsia="zh-CN"/>
          <w14:textFill>
            <w14:solidFill>
              <w14:schemeClr w14:val="tx1"/>
            </w14:solidFill>
          </w14:textFill>
        </w:rPr>
        <w:t>处（具体</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位置、面积</w:t>
      </w:r>
      <w:r>
        <w:rPr>
          <w:rFonts w:hint="default" w:ascii="仿宋_GB2312" w:hAnsi="仿宋_GB2312" w:eastAsia="仿宋_GB2312" w:cs="仿宋_GB2312"/>
          <w:b/>
          <w:bCs/>
          <w:color w:val="000000" w:themeColor="text1"/>
          <w:highlight w:val="none"/>
          <w:lang w:val="en-US" w:eastAsia="zh-CN"/>
          <w14:textFill>
            <w14:solidFill>
              <w14:schemeClr w14:val="tx1"/>
            </w14:solidFill>
          </w14:textFill>
        </w:rPr>
        <w:t>详见</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附件八</w:t>
      </w:r>
      <w:r>
        <w:rPr>
          <w:rFonts w:hint="default" w:ascii="仿宋_GB2312" w:hAnsi="仿宋_GB2312" w:eastAsia="仿宋_GB2312" w:cs="仿宋_GB2312"/>
          <w:b/>
          <w:bCs/>
          <w:color w:val="000000" w:themeColor="text1"/>
          <w:highlight w:val="none"/>
          <w:lang w:val="en-US" w:eastAsia="zh-CN"/>
          <w14:textFill>
            <w14:solidFill>
              <w14:schemeClr w14:val="tx1"/>
            </w14:solidFill>
          </w14:textFill>
        </w:rPr>
        <w:t>《</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租赁房屋已出租</w:t>
      </w:r>
      <w:r>
        <w:rPr>
          <w:rFonts w:hint="default" w:ascii="仿宋_GB2312" w:hAnsi="仿宋_GB2312" w:eastAsia="仿宋_GB2312" w:cs="仿宋_GB2312"/>
          <w:b/>
          <w:bCs/>
          <w:color w:val="000000" w:themeColor="text1"/>
          <w:highlight w:val="none"/>
          <w:lang w:val="en-US" w:eastAsia="zh-CN"/>
          <w14:textFill>
            <w14:solidFill>
              <w14:schemeClr w14:val="tx1"/>
            </w14:solidFill>
          </w14:textFill>
        </w:rPr>
        <w:t>情况明细表》，该清单明细仅供参考），涉及本次拟租赁范围的面积合计约</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14398</w:t>
      </w:r>
      <w:r>
        <w:rPr>
          <w:rFonts w:hint="default" w:ascii="仿宋_GB2312" w:hAnsi="仿宋_GB2312" w:eastAsia="仿宋_GB2312" w:cs="仿宋_GB2312"/>
          <w:b/>
          <w:bCs/>
          <w:color w:val="000000" w:themeColor="text1"/>
          <w:highlight w:val="none"/>
          <w:lang w:val="en-US" w:eastAsia="zh-CN"/>
          <w14:textFill>
            <w14:solidFill>
              <w14:schemeClr w14:val="tx1"/>
            </w14:solidFill>
          </w14:textFill>
        </w:rPr>
        <w:t>㎡。</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存量</w:t>
      </w:r>
      <w:r>
        <w:rPr>
          <w:rFonts w:hint="default" w:ascii="仿宋_GB2312" w:hAnsi="仿宋_GB2312" w:eastAsia="仿宋_GB2312" w:cs="仿宋_GB2312"/>
          <w:b/>
          <w:bCs/>
          <w:color w:val="000000" w:themeColor="text1"/>
          <w:highlight w:val="none"/>
          <w:lang w:val="en-US" w:eastAsia="zh-CN"/>
          <w14:textFill>
            <w14:solidFill>
              <w14:schemeClr w14:val="tx1"/>
            </w14:solidFill>
          </w14:textFill>
        </w:rPr>
        <w:t>商户情况随时间变化，最终以本合同约定之交付日现场实际情况为准。</w:t>
      </w:r>
    </w:p>
    <w:p w14:paraId="683BA92F">
      <w:pPr>
        <w:pStyle w:val="14"/>
        <w:spacing w:line="360" w:lineRule="auto"/>
        <w:ind w:firstLine="482" w:firstLineChars="200"/>
        <w:rPr>
          <w:rFonts w:hint="eastAsia" w:ascii="仿宋_GB2312" w:hAnsi="仿宋_GB2312" w:eastAsia="仿宋_GB2312" w:cs="仿宋_GB2312"/>
          <w:b/>
          <w:bCs/>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9.3 甲方告知义务：甲方承诺，已就本次租赁主体变更及合同换签事宜，书面通知存量商户。甲方确保，为促成换签而向存量商户承诺的租赁条件（包括但不限于租金、物业管理费收费标准、责任义务等）不高于其原合同约定。乙方对此表示认可。</w:t>
      </w:r>
    </w:p>
    <w:p w14:paraId="7F908875">
      <w:pPr>
        <w:pStyle w:val="14"/>
        <w:spacing w:line="360" w:lineRule="auto"/>
        <w:ind w:firstLine="482" w:firstLineChars="200"/>
        <w:rPr>
          <w:rFonts w:hint="eastAsia" w:ascii="仿宋_GB2312" w:hAnsi="仿宋_GB2312" w:eastAsia="仿宋_GB2312" w:cs="仿宋_GB2312"/>
          <w:b/>
          <w:bCs/>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9.4 交接与计租规则</w:t>
      </w:r>
    </w:p>
    <w:p w14:paraId="73EC1AC5">
      <w:pPr>
        <w:pStyle w:val="14"/>
        <w:spacing w:line="360" w:lineRule="auto"/>
        <w:ind w:firstLine="482" w:firstLineChars="200"/>
        <w:rPr>
          <w:rFonts w:hint="eastAsia" w:ascii="仿宋_GB2312" w:hAnsi="仿宋_GB2312" w:eastAsia="仿宋_GB2312" w:cs="仿宋_GB2312"/>
          <w:b/>
          <w:bCs/>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9.4.1 已达成转签意向的商户：对于在本合同签订时已出具书面转签意向文件的存量商户，该部分面积按现状交付。在本合同签订并乙方付清首期租金、履约保证金、装修改造保证金、交易服务费后【15】个工作日内，甲、乙双方应共同派员，与相关商户签署《合同主体变更三方协议》。成功签署的，自场地交付之日起，该部分面积即</w:t>
      </w:r>
      <w:r>
        <w:rPr>
          <w:rFonts w:hint="eastAsia" w:ascii="仿宋_GB2312" w:hAnsi="仿宋_GB2312" w:eastAsia="仿宋_GB2312" w:cs="仿宋_GB2312"/>
          <w:b/>
          <w:bCs/>
          <w:color w:val="000000" w:themeColor="text1"/>
          <w:highlight w:val="none"/>
          <w14:textFill>
            <w14:solidFill>
              <w14:schemeClr w14:val="tx1"/>
            </w14:solidFill>
          </w14:textFill>
        </w:rPr>
        <w:t>视为交付完毕</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，乙方应按本合同约定的租金标准向甲方支付租金。</w:t>
      </w:r>
    </w:p>
    <w:p w14:paraId="3180E55F">
      <w:pPr>
        <w:pStyle w:val="14"/>
        <w:spacing w:line="360" w:lineRule="auto"/>
        <w:ind w:firstLine="482" w:firstLineChars="200"/>
        <w:rPr>
          <w:rFonts w:hint="eastAsia" w:ascii="仿宋_GB2312" w:hAnsi="仿宋_GB2312" w:eastAsia="仿宋_GB2312" w:cs="仿宋_GB2312"/>
          <w:b/>
          <w:bCs/>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9.4.2 未达成转签意向的商户：对于在本合同签订时未达成转签意向的存量商户，该部分商户的房屋租赁合同约定的面积暂不交付，亦不计入乙方的计租面积。在本合同签订并付清首期租金、履约保证金、装修改造保证金、交易服务费后【60】个工作日内，若未达成转签意向的存量商户同意转签的，则按本合同第9.4.1款执行；若商户明确拒绝转签，则由甲方继续履行原租赁合同直至期满，届时将该未交付部分面积以空置状态交付给乙方，以实际交付之日起算租金，该租金应按本合同约定的对应年度整体租金标准计算，且不再享有免租期。交付前，该未交付部分面积对应的租金权益仍由甲方享有。</w:t>
      </w:r>
    </w:p>
    <w:p w14:paraId="1CD22918">
      <w:pPr>
        <w:pStyle w:val="14"/>
        <w:spacing w:line="360" w:lineRule="auto"/>
        <w:ind w:firstLine="482" w:firstLineChars="200"/>
        <w:rPr>
          <w:rFonts w:hint="eastAsia" w:ascii="仿宋_GB2312" w:hAnsi="仿宋_GB2312" w:eastAsia="仿宋_GB2312" w:cs="仿宋_GB2312"/>
          <w:b/>
          <w:bCs/>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9.5 首期租金支付：乙方首期租金应按</w:t>
      </w:r>
      <w:r>
        <w:rPr>
          <w:rFonts w:hint="eastAsia" w:ascii="仿宋_GB2312" w:hAnsi="仿宋_GB2312" w:eastAsia="仿宋_GB2312" w:cs="仿宋_GB2312"/>
          <w:b/>
          <w:bCs/>
          <w:strike w:val="0"/>
          <w:color w:val="000000" w:themeColor="text1"/>
          <w:highlight w:val="none"/>
          <w14:textFill>
            <w14:solidFill>
              <w14:schemeClr w14:val="tx1"/>
            </w14:solidFill>
          </w14:textFill>
        </w:rPr>
        <w:t>本合同第1.1条所界定的</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完整租赁面积及租金标准足额预付。对于依据第9.4.2款暂未交付的面积所对应的租金，将在乙方缴纳第二</w:t>
      </w:r>
      <w:r>
        <w:rPr>
          <w:rFonts w:hint="eastAsia" w:ascii="仿宋_GB2312" w:hAnsi="仿宋_GB2312" w:eastAsia="仿宋_GB2312" w:cs="仿宋_GB2312"/>
          <w:b/>
          <w:bCs/>
          <w:color w:val="000000" w:themeColor="text1"/>
          <w:highlight w:val="none"/>
          <w:lang w:val="en-US" w:eastAsia="zh"/>
          <w14:textFill>
            <w14:solidFill>
              <w14:schemeClr w14:val="tx1"/>
            </w14:solidFill>
          </w14:textFill>
        </w:rPr>
        <w:t>笔</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租金时予以等额抵扣（以对应年度的租金单价为标准）。</w:t>
      </w:r>
    </w:p>
    <w:p w14:paraId="241FB22F">
      <w:pPr>
        <w:pStyle w:val="14"/>
        <w:spacing w:line="360" w:lineRule="auto"/>
        <w:ind w:firstLine="482" w:firstLineChars="200"/>
        <w:rPr>
          <w:rFonts w:hint="eastAsia" w:ascii="仿宋_GB2312" w:hAnsi="仿宋_GB2312" w:eastAsia="仿宋_GB2312" w:cs="仿宋_GB2312"/>
          <w:b/>
          <w:bCs/>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9.6 换签完成时限与最终交付：所有存量商户的合同换签工作须在本合同约定的交付日之前完成。交付日当天，双方应根据实际换签结果签署《交付确认书》，并据此重新确定每期租金的具体金额。未完成换签部分的面积，其交付时间按第9.4.2款约定执行。</w:t>
      </w:r>
    </w:p>
    <w:p w14:paraId="4DBEBB1B">
      <w:pPr>
        <w:pStyle w:val="14"/>
        <w:spacing w:line="360" w:lineRule="auto"/>
        <w:ind w:firstLine="482" w:firstLineChars="200"/>
        <w:rPr>
          <w:rFonts w:hint="eastAsia" w:ascii="仿宋_GB2312" w:hAnsi="仿宋_GB2312" w:eastAsia="仿宋_GB2312" w:cs="仿宋_GB2312"/>
          <w:b/>
          <w:bCs/>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9.7 押金及预付款处理：对于完成转签的存量商户已向甲方支付的租赁押金、预付租金，其权利义务应随租赁关系转移至乙方。具体由甲方在《合同主体变更三方协议》签署后【</w:t>
      </w:r>
      <w:r>
        <w:rPr>
          <w:rFonts w:hint="eastAsia" w:ascii="仿宋_GB2312" w:hAnsi="仿宋_GB2312" w:eastAsia="仿宋_GB2312" w:cs="仿宋_GB2312"/>
          <w:b/>
          <w:bCs/>
          <w:color w:val="000000" w:themeColor="text1"/>
          <w:highlight w:val="none"/>
          <w:lang w:val="en-US" w:eastAsia="zh"/>
          <w14:textFill>
            <w14:solidFill>
              <w14:schemeClr w14:val="tx1"/>
            </w14:solidFill>
          </w14:textFill>
        </w:rPr>
        <w:t>6</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0】个工作日内，与乙方结算完毕。</w:t>
      </w:r>
    </w:p>
    <w:p w14:paraId="12D5ECC5">
      <w:pPr>
        <w:pStyle w:val="14"/>
        <w:spacing w:line="360" w:lineRule="auto"/>
        <w:ind w:firstLine="482" w:firstLineChars="200"/>
        <w:rPr>
          <w:rFonts w:hint="eastAsia" w:eastAsia="仿宋_GB2312"/>
          <w:color w:val="000000" w:themeColor="text1"/>
          <w:highlight w:val="none"/>
          <w:lang w:val="en-US" w:eastAsia="zh"/>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完成转签的存量商户，其</w:t>
      </w:r>
      <w:r>
        <w:rPr>
          <w:rFonts w:hint="eastAsia" w:ascii="仿宋_GB2312" w:hAnsi="仿宋_GB2312" w:eastAsia="仿宋_GB2312" w:cs="仿宋_GB2312"/>
          <w:b/>
          <w:bCs/>
          <w:color w:val="000000" w:themeColor="text1"/>
          <w:highlight w:val="none"/>
          <w:lang w:val="en-US" w:eastAsia="zh"/>
          <w14:textFill>
            <w14:solidFill>
              <w14:schemeClr w14:val="tx1"/>
            </w14:solidFill>
          </w14:textFill>
        </w:rPr>
        <w:t>租金、物业管理费、水电费及其他因使用租赁物而产生的费用收益权</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益以《合同主体变更三方协议》的签署日期为界进行划分。自该协议签署之日（含当日）起，该商户的</w:t>
      </w:r>
      <w:r>
        <w:rPr>
          <w:rFonts w:hint="eastAsia" w:ascii="仿宋_GB2312" w:hAnsi="仿宋_GB2312" w:eastAsia="仿宋_GB2312" w:cs="仿宋_GB2312"/>
          <w:b/>
          <w:bCs/>
          <w:color w:val="000000" w:themeColor="text1"/>
          <w:highlight w:val="none"/>
          <w:lang w:val="en-US" w:eastAsia="zh"/>
          <w14:textFill>
            <w14:solidFill>
              <w14:schemeClr w14:val="tx1"/>
            </w14:solidFill>
          </w14:textFill>
        </w:rPr>
        <w:t>相关收益</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权益转由乙方享有</w:t>
      </w:r>
      <w:r>
        <w:rPr>
          <w:rFonts w:hint="eastAsia" w:ascii="仿宋_GB2312" w:hAnsi="仿宋_GB2312" w:eastAsia="仿宋_GB2312" w:cs="仿宋_GB2312"/>
          <w:b/>
          <w:bCs/>
          <w:color w:val="000000" w:themeColor="text1"/>
          <w:highlight w:val="none"/>
          <w:lang w:val="en-US" w:eastAsia="zh"/>
          <w14:textFill>
            <w14:solidFill>
              <w14:schemeClr w14:val="tx1"/>
            </w14:solidFill>
          </w14:textFill>
        </w:rPr>
        <w:t>，相应的催缴工作由乙方负责</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；签署之日前的</w:t>
      </w:r>
      <w:r>
        <w:rPr>
          <w:rFonts w:hint="eastAsia" w:ascii="仿宋_GB2312" w:hAnsi="仿宋_GB2312" w:eastAsia="仿宋_GB2312" w:cs="仿宋_GB2312"/>
          <w:b/>
          <w:bCs/>
          <w:color w:val="000000" w:themeColor="text1"/>
          <w:highlight w:val="none"/>
          <w:lang w:val="en-US" w:eastAsia="zh"/>
          <w14:textFill>
            <w14:solidFill>
              <w14:schemeClr w14:val="tx1"/>
            </w14:solidFill>
          </w14:textFill>
        </w:rPr>
        <w:t>相关</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收益权益，仍归属于甲方</w:t>
      </w:r>
      <w:r>
        <w:rPr>
          <w:rFonts w:hint="eastAsia" w:ascii="仿宋_GB2312" w:hAnsi="仿宋_GB2312" w:eastAsia="仿宋_GB2312" w:cs="仿宋_GB2312"/>
          <w:b/>
          <w:bCs/>
          <w:color w:val="000000" w:themeColor="text1"/>
          <w:highlight w:val="none"/>
          <w:lang w:val="en-US" w:eastAsia="zh"/>
          <w14:textFill>
            <w14:solidFill>
              <w14:schemeClr w14:val="tx1"/>
            </w14:solidFill>
          </w14:textFill>
        </w:rPr>
        <w:t>，其历史账项的催缴工作由甲方负责。乙方在承接后续催缴职责时，应对协议签署前商户已拖欠甲方的账项负有协调催缴的义务。</w:t>
      </w:r>
    </w:p>
    <w:p w14:paraId="02512D64">
      <w:pPr>
        <w:pStyle w:val="14"/>
        <w:spacing w:line="360" w:lineRule="auto"/>
        <w:ind w:firstLine="482" w:firstLineChars="200"/>
        <w:rPr>
          <w:rFonts w:hint="eastAsia" w:ascii="仿宋_GB2312" w:hAnsi="仿宋_GB2312" w:eastAsia="仿宋_GB2312" w:cs="仿宋_GB2312"/>
          <w:b/>
          <w:bCs/>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9.8 责任归属：</w:t>
      </w:r>
    </w:p>
    <w:p w14:paraId="2CD69EB1">
      <w:pPr>
        <w:pStyle w:val="14"/>
        <w:spacing w:line="360" w:lineRule="auto"/>
        <w:ind w:firstLine="482" w:firstLineChars="200"/>
        <w:rPr>
          <w:rFonts w:hint="eastAsia" w:ascii="仿宋_GB2312" w:hAnsi="仿宋_GB2312" w:eastAsia="仿宋_GB2312" w:cs="仿宋_GB2312"/>
          <w:b/>
          <w:bCs/>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若因甲方未按本合同第9.3条约定履行告知义务，导致存量商户拒绝转签或产生纠纷，给乙方造成直接经济损失的，甲方应赔偿乙方的直接经济损失，但赔偿数额不超过该部分面积1个月租金。</w:t>
      </w:r>
    </w:p>
    <w:p w14:paraId="60EAC176">
      <w:pPr>
        <w:pStyle w:val="14"/>
        <w:spacing w:line="360" w:lineRule="auto"/>
        <w:ind w:firstLine="482" w:firstLineChars="200"/>
        <w:rPr>
          <w:rFonts w:hint="eastAsia" w:ascii="仿宋_GB2312" w:hAnsi="仿宋_GB2312" w:eastAsia="仿宋_GB2312" w:cs="仿宋_GB2312"/>
          <w:b/>
          <w:bCs/>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若因乙方原因（如提出超出原合同的额外要求、无正当理由拒绝配合换签等）导致存量商户拒绝转签或产生纠纷，视为乙方违约，甲方有权要求乙方承担违约责任，并不得据此主张租金减免或解除合同。</w:t>
      </w:r>
    </w:p>
    <w:p w14:paraId="15BBCB57">
      <w:pPr>
        <w:pStyle w:val="14"/>
        <w:spacing w:line="360" w:lineRule="auto"/>
        <w:ind w:firstLine="482" w:firstLineChars="200"/>
        <w:rPr>
          <w:rFonts w:hint="eastAsia" w:ascii="仿宋_GB2312" w:hAnsi="仿宋_GB2312" w:eastAsia="仿宋_GB2312" w:cs="仿宋_GB2312"/>
          <w:b/>
          <w:bCs/>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因存量商户自身原因拒绝转签的，相关责任按本合同第9.4.2款约定处理，互不承担违约责任。</w:t>
      </w:r>
    </w:p>
    <w:p w14:paraId="05F207D8">
      <w:pPr>
        <w:pStyle w:val="14"/>
        <w:spacing w:line="360" w:lineRule="auto"/>
        <w:ind w:firstLine="482" w:firstLineChars="200"/>
        <w:rPr>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9.9 未交付部分的物业管理及相关费用收取责任：</w:t>
      </w:r>
      <w:r>
        <w:rPr>
          <w:rFonts w:hint="eastAsia" w:ascii="仿宋_GB2312" w:hAnsi="仿宋_GB2312" w:eastAsia="仿宋_GB2312" w:cs="仿宋_GB2312"/>
          <w:b/>
          <w:bCs/>
          <w:strike w:val="0"/>
          <w:color w:val="000000" w:themeColor="text1"/>
          <w:highlight w:val="none"/>
          <w14:textFill>
            <w14:solidFill>
              <w14:schemeClr w14:val="tx1"/>
            </w14:solidFill>
          </w14:textFill>
        </w:rPr>
        <w:t>自原有物业服务单位正式撤场之日起，本合同第1.1条所界定的全部租赁面积的物业管理责任及相应权益即转移至乙方。对于因存量商户未完成转签而暂未交付的部分，其物业管理责任同样由乙方承担，乙方有权直接指定或委托第三方物业管理公司负责提供物业服务并与该等商户签署物业管理合同、收取物业费</w:t>
      </w:r>
      <w:r>
        <w:rPr>
          <w:rFonts w:hint="eastAsia" w:ascii="仿宋_GB2312" w:hAnsi="仿宋_GB2312" w:eastAsia="仿宋_GB2312" w:cs="仿宋_GB2312"/>
          <w:b/>
          <w:bCs/>
          <w:strike w:val="0"/>
          <w:color w:val="000000" w:themeColor="text1"/>
          <w:highlight w:val="none"/>
          <w:lang w:eastAsia="zh-CN"/>
          <w14:textFill>
            <w14:solidFill>
              <w14:schemeClr w14:val="tx1"/>
            </w14:solidFill>
          </w14:textFill>
        </w:rPr>
        <w:t>、水电费、公共事业费及其他因物业使用所产生的全部相关费用</w:t>
      </w:r>
      <w:r>
        <w:rPr>
          <w:rFonts w:hint="eastAsia" w:ascii="仿宋_GB2312" w:hAnsi="仿宋_GB2312" w:eastAsia="仿宋_GB2312" w:cs="仿宋_GB2312"/>
          <w:b/>
          <w:bCs/>
          <w:strike w:val="0"/>
          <w:color w:val="000000" w:themeColor="text1"/>
          <w:highlight w:val="none"/>
          <w14:textFill>
            <w14:solidFill>
              <w14:schemeClr w14:val="tx1"/>
            </w14:solidFill>
          </w14:textFill>
        </w:rPr>
        <w:t>。</w:t>
      </w:r>
    </w:p>
    <w:p w14:paraId="3609A13A">
      <w:pPr>
        <w:pStyle w:val="14"/>
        <w:spacing w:line="360" w:lineRule="auto"/>
        <w:ind w:firstLine="482" w:firstLineChars="200"/>
        <w:rPr>
          <w:rFonts w:hint="default" w:ascii="仿宋_GB2312" w:hAnsi="仿宋_GB2312" w:eastAsia="仿宋_GB2312" w:cs="仿宋_GB2312"/>
          <w:b/>
          <w:bCs/>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9.10 特别约定：对于因未完成转签而暂未交付的商户，其在本租赁物业场内产生的、需整体协调解决的日常事务（包括但不限于与商场整体运营相关的客服、安保、环境卫生、停车场等基础设施使用协调等），由乙方统一负责协调处理。甲方应为乙方的协调工作提供必要的配合与支持。</w:t>
      </w:r>
    </w:p>
    <w:p w14:paraId="3EEC1CE6">
      <w:pPr>
        <w:pStyle w:val="14"/>
        <w:spacing w:line="360" w:lineRule="auto"/>
        <w:ind w:firstLine="241"/>
        <w:rPr>
          <w:rFonts w:hint="eastAsia" w:ascii="仿宋_GB2312" w:hAnsi="仿宋_GB2312" w:eastAsia="仿宋_GB2312" w:cs="仿宋_GB2312"/>
          <w:b/>
          <w:bCs/>
          <w:color w:val="000000" w:themeColor="text1"/>
          <w:highlight w:val="none"/>
          <w14:textFill>
            <w14:solidFill>
              <w14:schemeClr w14:val="tx1"/>
            </w14:solidFill>
          </w14:textFill>
        </w:rPr>
      </w:pPr>
      <w:r>
        <w:rPr>
          <w:rFonts w:hint="eastAsia" w:ascii="仿宋_GB2312" w:hAnsi="仿宋_GB2312" w:eastAsia="仿宋_GB2312" w:cs="仿宋_GB2312"/>
          <w:b/>
          <w:bCs/>
          <w:color w:val="000000" w:themeColor="text1"/>
          <w:highlight w:val="none"/>
          <w14:textFill>
            <w14:solidFill>
              <w14:schemeClr w14:val="tx1"/>
            </w14:solidFill>
          </w14:textFill>
        </w:rPr>
        <w:t>第</w:t>
      </w:r>
      <w:r>
        <w:rPr>
          <w:rFonts w:hint="eastAsia" w:ascii="仿宋_GB2312" w:hAnsi="仿宋_GB2312" w:eastAsia="仿宋_GB2312" w:cs="仿宋_GB2312"/>
          <w:b/>
          <w:bCs/>
          <w:color w:val="000000" w:themeColor="text1"/>
          <w:highlight w:val="none"/>
          <w:lang w:eastAsia="zh"/>
          <w14:textFill>
            <w14:solidFill>
              <w14:schemeClr w14:val="tx1"/>
            </w14:solidFill>
          </w14:textFill>
        </w:rPr>
        <w:t>十</w:t>
      </w:r>
      <w:r>
        <w:rPr>
          <w:rFonts w:hint="eastAsia" w:ascii="仿宋_GB2312" w:hAnsi="仿宋_GB2312" w:eastAsia="仿宋_GB2312" w:cs="仿宋_GB2312"/>
          <w:b/>
          <w:bCs/>
          <w:color w:val="000000" w:themeColor="text1"/>
          <w:highlight w:val="none"/>
          <w14:textFill>
            <w14:solidFill>
              <w14:schemeClr w14:val="tx1"/>
            </w14:solidFill>
          </w14:textFill>
        </w:rPr>
        <w:t>条 装修与改造</w:t>
      </w:r>
    </w:p>
    <w:p w14:paraId="3BCAE4C7">
      <w:pPr>
        <w:pStyle w:val="14"/>
        <w:spacing w:line="360" w:lineRule="auto"/>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lang w:eastAsia="zh"/>
          <w14:textFill>
            <w14:solidFill>
              <w14:schemeClr w14:val="tx1"/>
            </w14:solidFill>
          </w14:textFill>
        </w:rPr>
        <w:t>10</w:t>
      </w:r>
      <w:r>
        <w:rPr>
          <w:rFonts w:hint="eastAsia" w:ascii="仿宋_GB2312" w:hAnsi="仿宋_GB2312" w:eastAsia="仿宋_GB2312" w:cs="仿宋_GB2312"/>
          <w:color w:val="000000" w:themeColor="text1"/>
          <w:highlight w:val="none"/>
          <w14:textFill>
            <w14:solidFill>
              <w14:schemeClr w14:val="tx1"/>
            </w14:solidFill>
          </w14:textFill>
        </w:rPr>
        <w:t>.1 乙方应在办理租赁</w:t>
      </w:r>
      <w:r>
        <w:rPr>
          <w:rFonts w:hint="eastAsia" w:ascii="仿宋_GB2312" w:hAnsi="仿宋_GB2312" w:eastAsia="仿宋_GB2312" w:cs="仿宋_GB2312"/>
          <w:color w:val="000000" w:themeColor="text1"/>
          <w:highlight w:val="none"/>
          <w:lang w:eastAsia="zh-CN"/>
          <w14:textFill>
            <w14:solidFill>
              <w14:schemeClr w14:val="tx1"/>
            </w14:solidFill>
          </w14:textFill>
        </w:rPr>
        <w:t>房屋</w:t>
      </w:r>
      <w:r>
        <w:rPr>
          <w:rFonts w:hint="eastAsia" w:ascii="仿宋_GB2312" w:hAnsi="仿宋_GB2312" w:eastAsia="仿宋_GB2312" w:cs="仿宋_GB2312"/>
          <w:color w:val="000000" w:themeColor="text1"/>
          <w:highlight w:val="none"/>
          <w14:textFill>
            <w14:solidFill>
              <w14:schemeClr w14:val="tx1"/>
            </w14:solidFill>
          </w14:textFill>
        </w:rPr>
        <w:t>交接手续并签署《租赁</w:t>
      </w:r>
      <w:r>
        <w:rPr>
          <w:rFonts w:hint="eastAsia" w:ascii="仿宋_GB2312" w:hAnsi="仿宋_GB2312" w:eastAsia="仿宋_GB2312" w:cs="仿宋_GB2312"/>
          <w:color w:val="000000" w:themeColor="text1"/>
          <w:highlight w:val="none"/>
          <w:lang w:eastAsia="zh-CN"/>
          <w14:textFill>
            <w14:solidFill>
              <w14:schemeClr w14:val="tx1"/>
            </w14:solidFill>
          </w14:textFill>
        </w:rPr>
        <w:t>房屋</w:t>
      </w:r>
      <w:r>
        <w:rPr>
          <w:rFonts w:hint="eastAsia" w:ascii="仿宋_GB2312" w:hAnsi="仿宋_GB2312" w:eastAsia="仿宋_GB2312" w:cs="仿宋_GB2312"/>
          <w:color w:val="000000" w:themeColor="text1"/>
          <w:highlight w:val="none"/>
          <w14:textFill>
            <w14:solidFill>
              <w14:schemeClr w14:val="tx1"/>
            </w14:solidFill>
          </w14:textFill>
        </w:rPr>
        <w:t>交付确认书》之后</w:t>
      </w:r>
      <w:r>
        <w:rPr>
          <w:rFonts w:hint="eastAsia" w:ascii="仿宋_GB2312" w:hAnsi="仿宋_GB2312" w:eastAsia="仿宋_GB2312" w:cs="仿宋_GB2312"/>
          <w:color w:val="000000" w:themeColor="text1"/>
          <w:highlight w:val="none"/>
          <w:lang w:eastAsia="zh-CN"/>
          <w14:textFill>
            <w14:solidFill>
              <w14:schemeClr w14:val="tx1"/>
            </w14:solidFill>
          </w14:textFill>
        </w:rPr>
        <w:t>【</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120】个工作日</w:t>
      </w:r>
      <w:r>
        <w:rPr>
          <w:rFonts w:hint="eastAsia" w:ascii="仿宋_GB2312" w:hAnsi="仿宋_GB2312" w:eastAsia="仿宋_GB2312" w:cs="仿宋_GB2312"/>
          <w:color w:val="000000" w:themeColor="text1"/>
          <w:highlight w:val="none"/>
          <w14:textFill>
            <w14:solidFill>
              <w14:schemeClr w14:val="tx1"/>
            </w14:solidFill>
          </w14:textFill>
        </w:rPr>
        <w:t>内进场装修，</w:t>
      </w:r>
      <w:r>
        <w:rPr>
          <w:rFonts w:hint="eastAsia" w:ascii="仿宋_GB2312" w:hAnsi="仿宋_GB2312" w:eastAsia="仿宋_GB2312" w:cs="仿宋_GB2312"/>
          <w:color w:val="000000" w:themeColor="text1"/>
          <w:highlight w:val="none"/>
          <w14:textFill>
            <w14:solidFill>
              <w14:schemeClr w14:val="tx1"/>
            </w14:solidFill>
          </w14:textFill>
        </w:rPr>
        <w:t>每逾期一日，乙方应按照本合同第3.1条约定的最后一个租赁年日租金2倍的金额向甲方支付违约金。如乙方自交付后超过</w:t>
      </w:r>
      <w:r>
        <w:rPr>
          <w:rFonts w:hint="eastAsia" w:ascii="仿宋_GB2312" w:hAnsi="仿宋_GB2312" w:eastAsia="仿宋_GB2312" w:cs="仿宋_GB2312"/>
          <w:color w:val="000000" w:themeColor="text1"/>
          <w:highlight w:val="none"/>
          <w:lang w:eastAsia="zh-CN"/>
          <w14:textFill>
            <w14:solidFill>
              <w14:schemeClr w14:val="tx1"/>
            </w14:solidFill>
          </w14:textFill>
        </w:rPr>
        <w:t>【</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140】个工作</w:t>
      </w:r>
      <w:r>
        <w:rPr>
          <w:rFonts w:hint="eastAsia" w:ascii="仿宋_GB2312" w:hAnsi="仿宋_GB2312" w:eastAsia="仿宋_GB2312" w:cs="仿宋_GB2312"/>
          <w:color w:val="000000" w:themeColor="text1"/>
          <w:highlight w:val="none"/>
          <w14:textFill>
            <w14:solidFill>
              <w14:schemeClr w14:val="tx1"/>
            </w14:solidFill>
          </w14:textFill>
        </w:rPr>
        <w:t>日未进场装修的，按乙方根本违约处理，甲方有权提前解除本合同，乙方除应支付上述逾期违约金外，还应承担导致合同解除的违约责任，但因甲方原因导致乙方不能进场装修的除外。因甲方原因造成乙方不能进场装修的，本合同约定的装修期、租金起计日相应顺延。</w:t>
      </w:r>
    </w:p>
    <w:p w14:paraId="415DF107">
      <w:pPr>
        <w:pStyle w:val="14"/>
        <w:spacing w:line="360" w:lineRule="auto"/>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lang w:eastAsia="zh"/>
          <w14:textFill>
            <w14:solidFill>
              <w14:schemeClr w14:val="tx1"/>
            </w14:solidFill>
          </w14:textFill>
        </w:rPr>
        <w:t>10</w:t>
      </w:r>
      <w:r>
        <w:rPr>
          <w:rFonts w:hint="eastAsia" w:ascii="仿宋_GB2312" w:hAnsi="仿宋_GB2312" w:eastAsia="仿宋_GB2312" w:cs="仿宋_GB2312"/>
          <w:color w:val="000000" w:themeColor="text1"/>
          <w:highlight w:val="none"/>
          <w14:textFill>
            <w14:solidFill>
              <w14:schemeClr w14:val="tx1"/>
            </w14:solidFill>
          </w14:textFill>
        </w:rPr>
        <w:t>.2  乙方承租后，如果要改变该租赁房屋的电气系统、电气消防系统、包括对该设施设备进行更新、改造的，必须经甲方审核通过并报备至</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产权方</w:t>
      </w:r>
      <w:r>
        <w:rPr>
          <w:rFonts w:hint="eastAsia" w:ascii="仿宋_GB2312" w:hAnsi="仿宋_GB2312" w:eastAsia="仿宋_GB2312" w:cs="仿宋_GB2312"/>
          <w:color w:val="000000" w:themeColor="text1"/>
          <w:highlight w:val="none"/>
          <w14:textFill>
            <w14:solidFill>
              <w14:schemeClr w14:val="tx1"/>
            </w14:solidFill>
          </w14:textFill>
        </w:rPr>
        <w:t>，得到甲方的书面同意。如需经相关部门审批的更新改造项目，必须取得相关的批文。</w:t>
      </w:r>
    </w:p>
    <w:p w14:paraId="6998A80E">
      <w:pPr>
        <w:pStyle w:val="14"/>
        <w:spacing w:line="360" w:lineRule="auto"/>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lang w:eastAsia="zh"/>
          <w14:textFill>
            <w14:solidFill>
              <w14:schemeClr w14:val="tx1"/>
            </w14:solidFill>
          </w14:textFill>
        </w:rPr>
        <w:t>10</w:t>
      </w:r>
      <w:r>
        <w:rPr>
          <w:rFonts w:hint="eastAsia" w:ascii="仿宋_GB2312" w:hAnsi="仿宋_GB2312" w:eastAsia="仿宋_GB2312" w:cs="仿宋_GB2312"/>
          <w:color w:val="000000" w:themeColor="text1"/>
          <w:highlight w:val="none"/>
          <w14:textFill>
            <w14:solidFill>
              <w14:schemeClr w14:val="tx1"/>
            </w14:solidFill>
          </w14:textFill>
        </w:rPr>
        <w:t>.3  乙方如对房屋进行拆改承重结构装修改造，特别是对该租赁房屋进行重大改造、扩建或设备实施提升的，必须在施工前向甲方提交详细的装修改造方案（附件4《装修设计文件要求》）并报</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产权方</w:t>
      </w:r>
      <w:r>
        <w:rPr>
          <w:rFonts w:hint="eastAsia" w:ascii="仿宋_GB2312" w:hAnsi="仿宋_GB2312" w:eastAsia="仿宋_GB2312" w:cs="仿宋_GB2312"/>
          <w:color w:val="000000" w:themeColor="text1"/>
          <w:highlight w:val="none"/>
          <w14:textFill>
            <w14:solidFill>
              <w14:schemeClr w14:val="tx1"/>
            </w14:solidFill>
          </w14:textFill>
        </w:rPr>
        <w:t>备案，如需相关部门审批的，则应同步提交取得相关部门同意的相关批文，甲方在收到方案后【</w:t>
      </w:r>
      <w:r>
        <w:rPr>
          <w:rFonts w:hint="eastAsia" w:ascii="仿宋_GB2312" w:hAnsi="仿宋_GB2312" w:eastAsia="仿宋_GB2312" w:cs="仿宋_GB2312"/>
          <w:color w:val="000000" w:themeColor="text1"/>
          <w:highlight w:val="none"/>
          <w:lang w:eastAsia="zh"/>
          <w14:textFill>
            <w14:solidFill>
              <w14:schemeClr w14:val="tx1"/>
            </w14:solidFill>
          </w14:textFill>
        </w:rPr>
        <w:t>5</w:t>
      </w:r>
      <w:r>
        <w:rPr>
          <w:rFonts w:hint="eastAsia" w:ascii="仿宋_GB2312" w:hAnsi="仿宋_GB2312" w:eastAsia="仿宋_GB2312" w:cs="仿宋_GB2312"/>
          <w:color w:val="000000" w:themeColor="text1"/>
          <w:highlight w:val="none"/>
          <w14:textFill>
            <w14:solidFill>
              <w14:schemeClr w14:val="tx1"/>
            </w14:solidFill>
          </w14:textFill>
        </w:rPr>
        <w:t>】个工作日内出具</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书面</w:t>
      </w:r>
      <w:r>
        <w:rPr>
          <w:rFonts w:hint="eastAsia" w:ascii="仿宋_GB2312" w:hAnsi="仿宋_GB2312" w:eastAsia="仿宋_GB2312" w:cs="仿宋_GB2312"/>
          <w:color w:val="000000" w:themeColor="text1"/>
          <w:highlight w:val="none"/>
          <w14:textFill>
            <w14:solidFill>
              <w14:schemeClr w14:val="tx1"/>
            </w14:solidFill>
          </w14:textFill>
        </w:rPr>
        <w:t>审核意见。待甲方审核同意后，乙方方能进场施工，因特殊情况需更改原设计施工方案的须重新办理装修手续。如涉及开凿墙体，楼地面，移动门窗位置，拆改承重结构，增设房屋分隔结构，改变房屋外观等装修还须提供由当地房屋装修主管部门核发的房屋装修许可证和房屋原设计单位或有相应资质的加固公司出具房屋加固方案或不影响房屋整体性、抗震性和结构安全无需进行加固的证明。否则甲方有权责令乙方停工，并有权要求乙方承担违约责任。上述重大改造完工后，应通过消防部门及其他相关部门验收合格，方可投入使用。</w:t>
      </w:r>
    </w:p>
    <w:p w14:paraId="155BCE0B">
      <w:pPr>
        <w:pStyle w:val="14"/>
        <w:spacing w:line="360" w:lineRule="auto"/>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bookmarkStart w:id="4" w:name="OLE_LINK98"/>
      <w:r>
        <w:rPr>
          <w:rFonts w:hint="eastAsia" w:ascii="仿宋_GB2312" w:hAnsi="仿宋_GB2312" w:eastAsia="仿宋_GB2312" w:cs="仿宋_GB2312"/>
          <w:color w:val="000000" w:themeColor="text1"/>
          <w:highlight w:val="none"/>
          <w:lang w:eastAsia="zh"/>
          <w14:textFill>
            <w14:solidFill>
              <w14:schemeClr w14:val="tx1"/>
            </w14:solidFill>
          </w14:textFill>
        </w:rPr>
        <w:t>10</w:t>
      </w:r>
      <w:r>
        <w:rPr>
          <w:rFonts w:hint="eastAsia" w:ascii="仿宋_GB2312" w:hAnsi="仿宋_GB2312" w:eastAsia="仿宋_GB2312" w:cs="仿宋_GB2312"/>
          <w:color w:val="000000" w:themeColor="text1"/>
          <w:highlight w:val="none"/>
          <w14:textFill>
            <w14:solidFill>
              <w14:schemeClr w14:val="tx1"/>
            </w14:solidFill>
          </w14:textFill>
        </w:rPr>
        <w:t>.4</w:t>
      </w:r>
      <w:bookmarkEnd w:id="4"/>
      <w:r>
        <w:rPr>
          <w:rFonts w:hint="eastAsia" w:ascii="仿宋_GB2312" w:hAnsi="仿宋_GB2312" w:eastAsia="仿宋_GB2312" w:cs="仿宋_GB2312"/>
          <w:color w:val="000000" w:themeColor="text1"/>
          <w:highlight w:val="none"/>
          <w14:textFill>
            <w14:solidFill>
              <w14:schemeClr w14:val="tx1"/>
            </w14:solidFill>
          </w14:textFill>
        </w:rPr>
        <w:t xml:space="preserve">  乙方及乙方的次承租人对房屋进行简单的装饰装修的，则乙方仅需将装饰装修相关方案在甲方处备案。上述简单装饰装修不包括拆改承重结构、改变消防设施等，乙方违反本合同约定，则甲方有权通知乙方改正。</w:t>
      </w:r>
    </w:p>
    <w:p w14:paraId="61CDF908">
      <w:pPr>
        <w:pStyle w:val="14"/>
        <w:spacing w:line="360" w:lineRule="auto"/>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自甲方发出通知之日起超过【15】个工作日，乙方仍未改正的，甲方有权对租赁房屋停止水、电等能源供应或直接采取强制措施予以纠正，因此而发生的一切损失和费用均由乙方承担。</w:t>
      </w:r>
    </w:p>
    <w:p w14:paraId="7F89A60C">
      <w:pPr>
        <w:pStyle w:val="14"/>
        <w:spacing w:line="360" w:lineRule="auto"/>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bookmarkStart w:id="5" w:name="OLE_LINK99"/>
      <w:bookmarkStart w:id="6" w:name="OLE_LINK100"/>
      <w:r>
        <w:rPr>
          <w:rFonts w:hint="eastAsia" w:ascii="仿宋_GB2312" w:hAnsi="仿宋_GB2312" w:eastAsia="仿宋_GB2312" w:cs="仿宋_GB2312"/>
          <w:color w:val="000000" w:themeColor="text1"/>
          <w:highlight w:val="none"/>
          <w:lang w:eastAsia="zh"/>
          <w14:textFill>
            <w14:solidFill>
              <w14:schemeClr w14:val="tx1"/>
            </w14:solidFill>
          </w14:textFill>
        </w:rPr>
        <w:t>10</w:t>
      </w:r>
      <w:r>
        <w:rPr>
          <w:rFonts w:hint="eastAsia" w:ascii="仿宋_GB2312" w:hAnsi="仿宋_GB2312" w:eastAsia="仿宋_GB2312" w:cs="仿宋_GB2312"/>
          <w:color w:val="000000" w:themeColor="text1"/>
          <w:highlight w:val="none"/>
          <w14:textFill>
            <w14:solidFill>
              <w14:schemeClr w14:val="tx1"/>
            </w14:solidFill>
          </w14:textFill>
        </w:rPr>
        <w:t>.</w:t>
      </w:r>
      <w:bookmarkEnd w:id="5"/>
      <w:r>
        <w:rPr>
          <w:rFonts w:hint="eastAsia" w:ascii="仿宋_GB2312" w:hAnsi="仿宋_GB2312" w:eastAsia="仿宋_GB2312" w:cs="仿宋_GB2312"/>
          <w:color w:val="000000" w:themeColor="text1"/>
          <w:highlight w:val="none"/>
          <w14:textFill>
            <w14:solidFill>
              <w14:schemeClr w14:val="tx1"/>
            </w14:solidFill>
          </w14:textFill>
        </w:rPr>
        <w:t>5</w:t>
      </w:r>
      <w:bookmarkEnd w:id="6"/>
      <w:r>
        <w:rPr>
          <w:rFonts w:hint="eastAsia" w:ascii="仿宋_GB2312" w:hAnsi="仿宋_GB2312" w:eastAsia="仿宋_GB2312" w:cs="仿宋_GB2312"/>
          <w:color w:val="000000" w:themeColor="text1"/>
          <w:highlight w:val="none"/>
          <w14:textFill>
            <w14:solidFill>
              <w14:schemeClr w14:val="tx1"/>
            </w14:solidFill>
          </w14:textFill>
        </w:rPr>
        <w:t xml:space="preserve">  乙方擅自改变房屋结构或在租用时因使用不当造成房屋或设施损坏的，应立即负责修复并承担由此引起的一切经济损失，乙方添加的设施设备及装修由乙方自行负责。承</w:t>
      </w:r>
      <w:bookmarkStart w:id="7" w:name="OLE_LINK29"/>
      <w:r>
        <w:rPr>
          <w:rFonts w:hint="eastAsia" w:ascii="仿宋_GB2312" w:hAnsi="仿宋_GB2312" w:eastAsia="仿宋_GB2312" w:cs="仿宋_GB2312"/>
          <w:color w:val="000000" w:themeColor="text1"/>
          <w:highlight w:val="none"/>
          <w14:textFill>
            <w14:solidFill>
              <w14:schemeClr w14:val="tx1"/>
            </w14:solidFill>
          </w14:textFill>
        </w:rPr>
        <w:t>租期间因房屋质量缺陷所发生的维修由甲方协调</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产权方</w:t>
      </w:r>
      <w:r>
        <w:rPr>
          <w:rFonts w:hint="eastAsia" w:ascii="仿宋_GB2312" w:hAnsi="仿宋_GB2312" w:eastAsia="仿宋_GB2312" w:cs="仿宋_GB2312"/>
          <w:color w:val="000000" w:themeColor="text1"/>
          <w:highlight w:val="none"/>
          <w14:textFill>
            <w14:solidFill>
              <w14:schemeClr w14:val="tx1"/>
            </w14:solidFill>
          </w14:textFill>
        </w:rPr>
        <w:t>承担，但因乙方阻扰甲方及</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产权方</w:t>
      </w:r>
      <w:r>
        <w:rPr>
          <w:rFonts w:hint="eastAsia" w:ascii="仿宋_GB2312" w:hAnsi="仿宋_GB2312" w:eastAsia="仿宋_GB2312" w:cs="仿宋_GB2312"/>
          <w:color w:val="000000" w:themeColor="text1"/>
          <w:highlight w:val="none"/>
          <w14:textFill>
            <w14:solidFill>
              <w14:schemeClr w14:val="tx1"/>
            </w14:solidFill>
          </w14:textFill>
        </w:rPr>
        <w:t>进行房屋维修而造成的损失由乙方承担。</w:t>
      </w:r>
    </w:p>
    <w:bookmarkEnd w:id="7"/>
    <w:p w14:paraId="7229E729">
      <w:pPr>
        <w:pStyle w:val="14"/>
        <w:spacing w:line="360" w:lineRule="auto"/>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bookmarkStart w:id="8" w:name="OLE_LINK101"/>
      <w:r>
        <w:rPr>
          <w:rFonts w:hint="eastAsia" w:ascii="仿宋_GB2312" w:hAnsi="仿宋_GB2312" w:eastAsia="仿宋_GB2312" w:cs="仿宋_GB2312"/>
          <w:color w:val="000000" w:themeColor="text1"/>
          <w:highlight w:val="none"/>
          <w:lang w:eastAsia="zh"/>
          <w14:textFill>
            <w14:solidFill>
              <w14:schemeClr w14:val="tx1"/>
            </w14:solidFill>
          </w14:textFill>
        </w:rPr>
        <w:t>10</w:t>
      </w:r>
      <w:r>
        <w:rPr>
          <w:rFonts w:hint="eastAsia" w:ascii="仿宋_GB2312" w:hAnsi="仿宋_GB2312" w:eastAsia="仿宋_GB2312" w:cs="仿宋_GB2312"/>
          <w:color w:val="000000" w:themeColor="text1"/>
          <w:highlight w:val="none"/>
          <w14:textFill>
            <w14:solidFill>
              <w14:schemeClr w14:val="tx1"/>
            </w14:solidFill>
          </w14:textFill>
        </w:rPr>
        <w:t>.6</w:t>
      </w:r>
      <w:bookmarkEnd w:id="8"/>
      <w:r>
        <w:rPr>
          <w:rFonts w:hint="eastAsia" w:ascii="仿宋_GB2312" w:hAnsi="仿宋_GB2312" w:eastAsia="仿宋_GB2312" w:cs="仿宋_GB2312"/>
          <w:color w:val="000000" w:themeColor="text1"/>
          <w:highlight w:val="none"/>
          <w14:textFill>
            <w14:solidFill>
              <w14:schemeClr w14:val="tx1"/>
            </w14:solidFill>
          </w14:textFill>
        </w:rPr>
        <w:t xml:space="preserve"> 上述装修改造中造成的资产损坏的，由</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甲方委托</w:t>
      </w:r>
      <w:r>
        <w:rPr>
          <w:rFonts w:hint="eastAsia" w:ascii="仿宋_GB2312" w:hAnsi="仿宋_GB2312" w:eastAsia="仿宋_GB2312" w:cs="仿宋_GB2312"/>
          <w:color w:val="000000" w:themeColor="text1"/>
          <w:highlight w:val="none"/>
          <w14:textFill>
            <w14:solidFill>
              <w14:schemeClr w14:val="tx1"/>
            </w14:solidFill>
          </w14:textFill>
        </w:rPr>
        <w:t>第三方评估公司进行评估资产价值，乙方</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支付甲方评估费用并</w:t>
      </w:r>
      <w:r>
        <w:rPr>
          <w:rFonts w:hint="eastAsia" w:ascii="仿宋_GB2312" w:hAnsi="仿宋_GB2312" w:eastAsia="仿宋_GB2312" w:cs="仿宋_GB2312"/>
          <w:color w:val="000000" w:themeColor="text1"/>
          <w:highlight w:val="none"/>
          <w14:textFill>
            <w14:solidFill>
              <w14:schemeClr w14:val="tx1"/>
            </w14:solidFill>
          </w14:textFill>
        </w:rPr>
        <w:t>按照评估金额进行赔偿。所有因装修改造、日常使用及维护所产生的费用，均由乙方自行承担。</w:t>
      </w:r>
    </w:p>
    <w:p w14:paraId="00B7C150">
      <w:pPr>
        <w:pStyle w:val="14"/>
        <w:spacing w:line="360" w:lineRule="auto"/>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lang w:eastAsia="zh"/>
          <w14:textFill>
            <w14:solidFill>
              <w14:schemeClr w14:val="tx1"/>
            </w14:solidFill>
          </w14:textFill>
        </w:rPr>
        <w:t>10</w:t>
      </w:r>
      <w:r>
        <w:rPr>
          <w:rFonts w:hint="eastAsia" w:ascii="仿宋_GB2312" w:hAnsi="仿宋_GB2312" w:eastAsia="仿宋_GB2312" w:cs="仿宋_GB2312"/>
          <w:color w:val="000000" w:themeColor="text1"/>
          <w:highlight w:val="none"/>
          <w14:textFill>
            <w14:solidFill>
              <w14:schemeClr w14:val="tx1"/>
            </w14:solidFill>
          </w14:textFill>
        </w:rPr>
        <w:t>.7  乙方负责装修工程的二次消防验收，并应于开业前向甲方出示租赁</w:t>
      </w:r>
      <w:r>
        <w:rPr>
          <w:rFonts w:hint="eastAsia" w:ascii="仿宋_GB2312" w:hAnsi="仿宋_GB2312" w:eastAsia="仿宋_GB2312" w:cs="仿宋_GB2312"/>
          <w:color w:val="000000" w:themeColor="text1"/>
          <w:highlight w:val="none"/>
          <w:lang w:eastAsia="zh-CN"/>
          <w14:textFill>
            <w14:solidFill>
              <w14:schemeClr w14:val="tx1"/>
            </w14:solidFill>
          </w14:textFill>
        </w:rPr>
        <w:t>房屋</w:t>
      </w:r>
      <w:r>
        <w:rPr>
          <w:rFonts w:hint="eastAsia" w:ascii="仿宋_GB2312" w:hAnsi="仿宋_GB2312" w:eastAsia="仿宋_GB2312" w:cs="仿宋_GB2312"/>
          <w:color w:val="000000" w:themeColor="text1"/>
          <w:highlight w:val="none"/>
          <w14:textFill>
            <w14:solidFill>
              <w14:schemeClr w14:val="tx1"/>
            </w14:solidFill>
          </w14:textFill>
        </w:rPr>
        <w:t>的经审核合格的二次消防验收合格文件原件并提供复印件交甲方存档。如果乙方未能在开业日前提供的，甲方有权拒绝乙方按期开业。</w:t>
      </w:r>
    </w:p>
    <w:p w14:paraId="21B657A6">
      <w:pPr>
        <w:pStyle w:val="14"/>
        <w:spacing w:line="360" w:lineRule="auto"/>
        <w:ind w:firstLine="480"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lang w:eastAsia="zh"/>
          <w14:textFill>
            <w14:solidFill>
              <w14:schemeClr w14:val="tx1"/>
            </w14:solidFill>
          </w14:textFill>
        </w:rPr>
        <w:t>10</w:t>
      </w:r>
      <w:r>
        <w:rPr>
          <w:rFonts w:hint="eastAsia" w:ascii="仿宋_GB2312" w:hAnsi="仿宋_GB2312" w:eastAsia="仿宋_GB2312" w:cs="仿宋_GB2312"/>
          <w:color w:val="000000" w:themeColor="text1"/>
          <w:highlight w:val="none"/>
          <w14:textFill>
            <w14:solidFill>
              <w14:schemeClr w14:val="tx1"/>
            </w14:solidFill>
          </w14:textFill>
        </w:rPr>
        <w:t>.8  若于租赁期内的任何时间，政府任何主管部门对该租赁</w:t>
      </w:r>
      <w:r>
        <w:rPr>
          <w:rFonts w:hint="eastAsia" w:ascii="仿宋_GB2312" w:hAnsi="仿宋_GB2312" w:eastAsia="仿宋_GB2312" w:cs="仿宋_GB2312"/>
          <w:color w:val="000000" w:themeColor="text1"/>
          <w:highlight w:val="none"/>
          <w:lang w:eastAsia="zh-CN"/>
          <w14:textFill>
            <w14:solidFill>
              <w14:schemeClr w14:val="tx1"/>
            </w14:solidFill>
          </w14:textFill>
        </w:rPr>
        <w:t>房屋</w:t>
      </w:r>
      <w:r>
        <w:rPr>
          <w:rFonts w:hint="eastAsia" w:ascii="仿宋_GB2312" w:hAnsi="仿宋_GB2312" w:eastAsia="仿宋_GB2312" w:cs="仿宋_GB2312"/>
          <w:color w:val="000000" w:themeColor="text1"/>
          <w:highlight w:val="none"/>
          <w14:textFill>
            <w14:solidFill>
              <w14:schemeClr w14:val="tx1"/>
            </w14:solidFill>
          </w14:textFill>
        </w:rPr>
        <w:t>的装修（包括但不限于消防设施）提出任何整改要求，乙方均须按照政府主管部门不时的要求修改其装修，并承担因此产生的所有费用。</w:t>
      </w:r>
    </w:p>
    <w:p w14:paraId="6BB11D49">
      <w:pPr>
        <w:pStyle w:val="14"/>
        <w:ind w:firstLine="0" w:firstLineChars="0"/>
        <w:rPr>
          <w:rFonts w:hint="eastAsia" w:ascii="仿宋_GB2312" w:hAnsi="仿宋_GB2312" w:eastAsia="仿宋_GB2312" w:cs="仿宋_GB2312"/>
          <w:color w:val="000000" w:themeColor="text1"/>
          <w:highlight w:val="none"/>
          <w14:textFill>
            <w14:solidFill>
              <w14:schemeClr w14:val="tx1"/>
            </w14:solidFill>
          </w14:textFill>
        </w:rPr>
      </w:pPr>
    </w:p>
    <w:p w14:paraId="21246355">
      <w:pPr>
        <w:adjustRightInd w:val="0"/>
        <w:snapToGrid w:val="0"/>
        <w:spacing w:line="360" w:lineRule="auto"/>
        <w:ind w:firstLine="482" w:firstLineChars="200"/>
        <w:outlineLvl w:val="0"/>
        <w:rPr>
          <w:rFonts w:hint="eastAsia"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第十</w:t>
      </w:r>
      <w:r>
        <w:rPr>
          <w:rFonts w:hint="eastAsia" w:ascii="仿宋_GB2312" w:hAnsi="仿宋_GB2312" w:eastAsia="仿宋_GB2312" w:cs="仿宋_GB2312"/>
          <w:b/>
          <w:bCs/>
          <w:color w:val="000000" w:themeColor="text1"/>
          <w:sz w:val="24"/>
          <w:highlight w:val="none"/>
          <w:lang w:eastAsia="zh"/>
          <w14:textFill>
            <w14:solidFill>
              <w14:schemeClr w14:val="tx1"/>
            </w14:solidFill>
          </w14:textFill>
        </w:rPr>
        <w:t>一</w:t>
      </w:r>
      <w:r>
        <w:rPr>
          <w:rFonts w:hint="eastAsia" w:ascii="仿宋_GB2312" w:hAnsi="仿宋_GB2312" w:eastAsia="仿宋_GB2312" w:cs="仿宋_GB2312"/>
          <w:b/>
          <w:bCs/>
          <w:color w:val="000000" w:themeColor="text1"/>
          <w:sz w:val="24"/>
          <w:highlight w:val="none"/>
          <w14:textFill>
            <w14:solidFill>
              <w14:schemeClr w14:val="tx1"/>
            </w14:solidFill>
          </w14:textFill>
        </w:rPr>
        <w:t>条  甲方的权利和义务</w:t>
      </w:r>
    </w:p>
    <w:p w14:paraId="01B91071">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1</w:t>
      </w:r>
      <w:r>
        <w:rPr>
          <w:rFonts w:hint="eastAsia" w:ascii="仿宋_GB2312" w:hAnsi="仿宋_GB2312" w:eastAsia="仿宋_GB2312" w:cs="仿宋_GB2312"/>
          <w:color w:val="000000" w:themeColor="text1"/>
          <w:sz w:val="24"/>
          <w:highlight w:val="none"/>
          <w14:textFill>
            <w14:solidFill>
              <w14:schemeClr w14:val="tx1"/>
            </w14:solidFill>
          </w14:textFill>
        </w:rPr>
        <w:t>.1、甲方应保证出租房屋的结构和质量安全。</w:t>
      </w:r>
    </w:p>
    <w:p w14:paraId="6A76C7C9">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1</w:t>
      </w:r>
      <w:r>
        <w:rPr>
          <w:rFonts w:hint="eastAsia" w:ascii="仿宋_GB2312" w:hAnsi="仿宋_GB2312" w:eastAsia="仿宋_GB2312" w:cs="仿宋_GB2312"/>
          <w:color w:val="000000" w:themeColor="text1"/>
          <w:sz w:val="24"/>
          <w:highlight w:val="none"/>
          <w14:textFill>
            <w14:solidFill>
              <w14:schemeClr w14:val="tx1"/>
            </w14:solidFill>
          </w14:textFill>
        </w:rPr>
        <w:t>.2、甲方保证出租房屋产权无争议。</w:t>
      </w:r>
    </w:p>
    <w:p w14:paraId="45B78E4C">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1</w:t>
      </w:r>
      <w:r>
        <w:rPr>
          <w:rFonts w:hint="eastAsia" w:ascii="仿宋_GB2312" w:hAnsi="仿宋_GB2312" w:eastAsia="仿宋_GB2312" w:cs="仿宋_GB2312"/>
          <w:color w:val="000000" w:themeColor="text1"/>
          <w:sz w:val="24"/>
          <w:highlight w:val="none"/>
          <w14:textFill>
            <w14:solidFill>
              <w14:schemeClr w14:val="tx1"/>
            </w14:solidFill>
          </w14:textFill>
        </w:rPr>
        <w:t>.3、租赁期内，甲方有权因对建筑物的维修、保养、环卫、防盗、防灾、救护或其他管理上的或应维修相邻承租户的需要而进入乙方所承租的房屋，乙方不得因此向甲方提出索赔。</w:t>
      </w:r>
    </w:p>
    <w:p w14:paraId="4CE0F032">
      <w:pPr>
        <w:pStyle w:val="6"/>
        <w:adjustRightInd w:val="0"/>
        <w:snapToGrid w:val="0"/>
        <w:spacing w:line="360" w:lineRule="auto"/>
        <w:ind w:firstLine="48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1</w:t>
      </w:r>
      <w:r>
        <w:rPr>
          <w:rFonts w:hint="eastAsia" w:ascii="仿宋_GB2312" w:hAnsi="仿宋_GB2312" w:eastAsia="仿宋_GB2312" w:cs="仿宋_GB2312"/>
          <w:color w:val="000000" w:themeColor="text1"/>
          <w:sz w:val="24"/>
          <w:highlight w:val="none"/>
          <w14:textFill>
            <w14:solidFill>
              <w14:schemeClr w14:val="tx1"/>
            </w14:solidFill>
          </w14:textFill>
        </w:rPr>
        <w:t>.4、甲方有权自行或委托本项目的物业公司定期对租赁房屋及租赁范围进行全面安全检查，对检查发现的安全隐患，向乙方发出《物业消防安全检查整改通知单》等，责令乙方限期整改，如乙方未在限期内整改完毕的，甲方有权对乙方经营场所进行断水、断电，直至乙方整改完毕，或由甲方委托选择第三方单位对其隐患内容进行整改，相关整改费用从乙方履约保证金内直接扣除。</w:t>
      </w:r>
    </w:p>
    <w:p w14:paraId="3D2C2663">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1</w:t>
      </w:r>
      <w:r>
        <w:rPr>
          <w:rFonts w:hint="eastAsia" w:ascii="仿宋_GB2312" w:hAnsi="仿宋_GB2312" w:eastAsia="仿宋_GB2312" w:cs="仿宋_GB2312"/>
          <w:color w:val="000000" w:themeColor="text1"/>
          <w:sz w:val="24"/>
          <w:highlight w:val="none"/>
          <w14:textFill>
            <w14:solidFill>
              <w14:schemeClr w14:val="tx1"/>
            </w14:solidFill>
          </w14:textFill>
        </w:rPr>
        <w:t>.5、本合同履行期间，如因地铁集团内部业务调整，甲方有权将本合同的权利义务一并转移给地铁集团内其他分子公司，乙方无条件同意甲方变更合同主体。甲方根据实际情况，需向乙方送达变更通知，乙方需在收到该通知之日起30内无条件配合甲方完成相关变更事宜，包括但不限于重新签订经营管理服务协议、补充协议、合同权利义务转让协议等相关协议。</w:t>
      </w:r>
    </w:p>
    <w:p w14:paraId="029F671B">
      <w:pPr>
        <w:pStyle w:val="6"/>
        <w:adjustRightInd w:val="0"/>
        <w:snapToGrid w:val="0"/>
        <w:spacing w:line="360" w:lineRule="auto"/>
        <w:ind w:firstLine="482"/>
        <w:outlineLvl w:val="0"/>
        <w:rPr>
          <w:rFonts w:hint="eastAsia"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第十</w:t>
      </w:r>
      <w:r>
        <w:rPr>
          <w:rFonts w:hint="eastAsia" w:ascii="仿宋_GB2312" w:hAnsi="仿宋_GB2312" w:eastAsia="仿宋_GB2312" w:cs="仿宋_GB2312"/>
          <w:b/>
          <w:bCs/>
          <w:color w:val="000000" w:themeColor="text1"/>
          <w:sz w:val="24"/>
          <w:highlight w:val="none"/>
          <w:lang w:eastAsia="zh"/>
          <w14:textFill>
            <w14:solidFill>
              <w14:schemeClr w14:val="tx1"/>
            </w14:solidFill>
          </w14:textFill>
        </w:rPr>
        <w:t>二</w:t>
      </w:r>
      <w:r>
        <w:rPr>
          <w:rFonts w:hint="eastAsia" w:ascii="仿宋_GB2312" w:hAnsi="仿宋_GB2312" w:eastAsia="仿宋_GB2312" w:cs="仿宋_GB2312"/>
          <w:b/>
          <w:bCs/>
          <w:color w:val="000000" w:themeColor="text1"/>
          <w:sz w:val="24"/>
          <w:highlight w:val="none"/>
          <w14:textFill>
            <w14:solidFill>
              <w14:schemeClr w14:val="tx1"/>
            </w14:solidFill>
          </w14:textFill>
        </w:rPr>
        <w:t>条  乙方的权利和义务</w:t>
      </w:r>
    </w:p>
    <w:p w14:paraId="710B330A">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2</w:t>
      </w:r>
      <w:r>
        <w:rPr>
          <w:rFonts w:hint="eastAsia" w:ascii="仿宋_GB2312" w:hAnsi="仿宋_GB2312" w:eastAsia="仿宋_GB2312" w:cs="仿宋_GB2312"/>
          <w:color w:val="000000" w:themeColor="text1"/>
          <w:sz w:val="24"/>
          <w:highlight w:val="none"/>
          <w14:textFill>
            <w14:solidFill>
              <w14:schemeClr w14:val="tx1"/>
            </w14:solidFill>
          </w14:textFill>
        </w:rPr>
        <w:t>.1、乙方应按照该处房屋租赁用途的约定，自行办理其在该房屋内营业所需之营业执照等证件，并依法经营。</w:t>
      </w:r>
    </w:p>
    <w:p w14:paraId="20AD3197">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2</w:t>
      </w:r>
      <w:r>
        <w:rPr>
          <w:rFonts w:hint="eastAsia" w:ascii="仿宋_GB2312" w:hAnsi="仿宋_GB2312" w:eastAsia="仿宋_GB2312" w:cs="仿宋_GB2312"/>
          <w:color w:val="000000" w:themeColor="text1"/>
          <w:sz w:val="24"/>
          <w:highlight w:val="none"/>
          <w14:textFill>
            <w14:solidFill>
              <w14:schemeClr w14:val="tx1"/>
            </w14:solidFill>
          </w14:textFill>
        </w:rPr>
        <w:t>.2、房屋以现状进行移交，乙方租赁房屋及其自行装修部分的全部设施设备的启用、维修、保养、年检、更新、改造均由乙方负责。若现状或租赁期内因房屋本身质量原因造成的主体结构漏水、渗水及沉降等现象的，甲方需承担维修工作，与此相关的费用由甲方承担。若现状或租赁期内出现因乙方装修、改造等原因造成的房屋漏水、渗水及沉降等现象的，乙方需承担维修工作，与此相关的费用也均由乙方承担。</w:t>
      </w:r>
    </w:p>
    <w:p w14:paraId="5A8C16B1">
      <w:pPr>
        <w:pStyle w:val="6"/>
        <w:adjustRightInd w:val="0"/>
        <w:snapToGrid w:val="0"/>
        <w:spacing w:line="360" w:lineRule="auto"/>
        <w:ind w:firstLine="48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2</w:t>
      </w:r>
      <w:r>
        <w:rPr>
          <w:rFonts w:hint="eastAsia" w:ascii="仿宋_GB2312" w:hAnsi="仿宋_GB2312" w:eastAsia="仿宋_GB2312" w:cs="仿宋_GB2312"/>
          <w:color w:val="000000" w:themeColor="text1"/>
          <w:sz w:val="24"/>
          <w:highlight w:val="none"/>
          <w14:textFill>
            <w14:solidFill>
              <w14:schemeClr w14:val="tx1"/>
            </w14:solidFill>
          </w14:textFill>
        </w:rPr>
        <w:t>.3、乙方如对房屋室内进行装修、对房屋结构、供水供电、消防系统、排水排污原有管道、线路、监控等进行改变、调整或扩容的，必须事先按规定向有关部门办理申报手续并批准后，向甲方提供详细的书面方案及装修、改造图纸，并征得甲方的书面同意后才能动工，否则甲方有权责令乙方停工，如乙方拒绝停工的，视为乙方严重违约。相关装修及改造、扩容等调整涉及的所有费用均由乙方自行承担。如甲方要求装修图纸经专业第三方审核确认的，相关费用由乙方自行承担。上述改变调整及房屋装修完工后，应按照相关职能部门要求验收合格或备案后方可投入使用。乙方在房屋装修结束后需提供给甲方一套完整的装修竣工图。</w:t>
      </w:r>
    </w:p>
    <w:p w14:paraId="2662B137">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2</w:t>
      </w:r>
      <w:r>
        <w:rPr>
          <w:rFonts w:hint="eastAsia" w:ascii="仿宋_GB2312" w:hAnsi="仿宋_GB2312" w:eastAsia="仿宋_GB2312" w:cs="仿宋_GB2312"/>
          <w:color w:val="000000" w:themeColor="text1"/>
          <w:sz w:val="24"/>
          <w:highlight w:val="none"/>
          <w14:textFill>
            <w14:solidFill>
              <w14:schemeClr w14:val="tx1"/>
            </w14:solidFill>
          </w14:textFill>
        </w:rPr>
        <w:t>.4、如乙方擅自改变房屋结构或因使用不当造成房屋或设施损坏的，乙方应立即负责修复并承担由此引起的一切经济损失。乙方在使用过程中，由于管理不当或违规使用而造成房屋损失的，应由乙方负责赔偿，乙方添加的设施设备及装修由乙方自行负责。</w:t>
      </w:r>
    </w:p>
    <w:p w14:paraId="4081473F">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2</w:t>
      </w:r>
      <w:r>
        <w:rPr>
          <w:rFonts w:hint="eastAsia" w:ascii="仿宋_GB2312" w:hAnsi="仿宋_GB2312" w:eastAsia="仿宋_GB2312" w:cs="仿宋_GB2312"/>
          <w:color w:val="000000" w:themeColor="text1"/>
          <w:sz w:val="24"/>
          <w:highlight w:val="none"/>
          <w14:textFill>
            <w14:solidFill>
              <w14:schemeClr w14:val="tx1"/>
            </w14:solidFill>
          </w14:textFill>
        </w:rPr>
        <w:t>.5、乙方法定代表人（承租人）为安全生产、消防治安责任人。在房屋租赁期间，防火安全、门前三包、综合治理及安全、保卫等工作由乙方负责，乙方应执行当地有关部门规定并承担全部责任和服从甲方或甲方委托的物业公司监督检查。乙方在租赁房屋门前不得堆放商品、杂物等，不得占道经营，不得有影响他人生活和经营的行为。凡在租赁期间内发生的安全生产、消防治安问题，一切经济损失、责任处罚均由乙方承担全部责任，并负责赔偿甲方及</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产权方</w:t>
      </w:r>
      <w:r>
        <w:rPr>
          <w:rFonts w:hint="eastAsia" w:ascii="仿宋_GB2312" w:hAnsi="仿宋_GB2312" w:eastAsia="仿宋_GB2312" w:cs="仿宋_GB2312"/>
          <w:color w:val="000000" w:themeColor="text1"/>
          <w:sz w:val="24"/>
          <w:highlight w:val="none"/>
          <w14:textFill>
            <w14:solidFill>
              <w14:schemeClr w14:val="tx1"/>
            </w14:solidFill>
          </w14:textFill>
        </w:rPr>
        <w:t>的损失。</w:t>
      </w:r>
    </w:p>
    <w:p w14:paraId="3BAB4418">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2</w:t>
      </w:r>
      <w:r>
        <w:rPr>
          <w:rFonts w:hint="eastAsia" w:ascii="仿宋_GB2312" w:hAnsi="仿宋_GB2312" w:eastAsia="仿宋_GB2312" w:cs="仿宋_GB2312"/>
          <w:color w:val="000000" w:themeColor="text1"/>
          <w:sz w:val="24"/>
          <w:highlight w:val="none"/>
          <w14:textFill>
            <w14:solidFill>
              <w14:schemeClr w14:val="tx1"/>
            </w14:solidFill>
          </w14:textFill>
        </w:rPr>
        <w:t>.6、乙方应做好消防安全的自查、自纠工作，同时配合甲方和相关单位做好现场的消防安全及相关问题的整改工作。若甲方检查发现问题，乙方收到甲方相关单位送达的《物业消防安全检查整改通知单》等，应当按照甲方的要求限期整改，并在整改完毕后3个工作日内将整改后现状拍照交至甲方备案留底。</w:t>
      </w:r>
    </w:p>
    <w:p w14:paraId="30B8DB73">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2</w:t>
      </w:r>
      <w:r>
        <w:rPr>
          <w:rFonts w:hint="eastAsia" w:ascii="仿宋_GB2312" w:hAnsi="仿宋_GB2312" w:eastAsia="仿宋_GB2312" w:cs="仿宋_GB2312"/>
          <w:color w:val="000000" w:themeColor="text1"/>
          <w:sz w:val="24"/>
          <w:highlight w:val="none"/>
          <w14:textFill>
            <w14:solidFill>
              <w14:schemeClr w14:val="tx1"/>
            </w14:solidFill>
          </w14:textFill>
        </w:rPr>
        <w:t>.7、乙方需继续承租该房屋的，则应于租赁期满届前【</w:t>
      </w:r>
      <w:r>
        <w:rPr>
          <w:rFonts w:ascii="仿宋_GB2312" w:hAnsi="仿宋_GB2312" w:eastAsia="仿宋_GB2312" w:cs="仿宋_GB2312"/>
          <w:color w:val="000000" w:themeColor="text1"/>
          <w:sz w:val="24"/>
          <w:highlight w:val="none"/>
          <w14:textFill>
            <w14:solidFill>
              <w14:schemeClr w14:val="tx1"/>
            </w14:solidFill>
          </w14:textFill>
        </w:rPr>
        <w:t>3</w:t>
      </w:r>
      <w:r>
        <w:rPr>
          <w:rFonts w:hint="eastAsia" w:ascii="仿宋_GB2312" w:hAnsi="仿宋_GB2312" w:eastAsia="仿宋_GB2312" w:cs="仿宋_GB2312"/>
          <w:color w:val="000000" w:themeColor="text1"/>
          <w:sz w:val="24"/>
          <w:highlight w:val="none"/>
          <w14:textFill>
            <w14:solidFill>
              <w14:schemeClr w14:val="tx1"/>
            </w14:solidFill>
          </w14:textFill>
        </w:rPr>
        <w:t>】个月，向甲方提出续租书面要求，经甲方书面同意后，乙方在同等条件下享有</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优先承租权</w:t>
      </w:r>
      <w:r>
        <w:rPr>
          <w:rFonts w:hint="eastAsia" w:ascii="仿宋_GB2312" w:hAnsi="仿宋_GB2312" w:eastAsia="仿宋_GB2312" w:cs="仿宋_GB2312"/>
          <w:color w:val="000000" w:themeColor="text1"/>
          <w:sz w:val="24"/>
          <w:highlight w:val="none"/>
          <w14:textFill>
            <w14:solidFill>
              <w14:schemeClr w14:val="tx1"/>
            </w14:solidFill>
          </w14:textFill>
        </w:rPr>
        <w:t>，如乙方未在租赁期满届前【</w:t>
      </w:r>
      <w:r>
        <w:rPr>
          <w:rFonts w:ascii="仿宋_GB2312" w:hAnsi="仿宋_GB2312" w:eastAsia="仿宋_GB2312" w:cs="仿宋_GB2312"/>
          <w:color w:val="000000" w:themeColor="text1"/>
          <w:sz w:val="24"/>
          <w:highlight w:val="none"/>
          <w14:textFill>
            <w14:solidFill>
              <w14:schemeClr w14:val="tx1"/>
            </w14:solidFill>
          </w14:textFill>
        </w:rPr>
        <w:t>3</w:t>
      </w:r>
      <w:r>
        <w:rPr>
          <w:rFonts w:hint="eastAsia" w:ascii="仿宋_GB2312" w:hAnsi="仿宋_GB2312" w:eastAsia="仿宋_GB2312" w:cs="仿宋_GB2312"/>
          <w:color w:val="000000" w:themeColor="text1"/>
          <w:sz w:val="24"/>
          <w:highlight w:val="none"/>
          <w14:textFill>
            <w14:solidFill>
              <w14:schemeClr w14:val="tx1"/>
            </w14:solidFill>
          </w14:textFill>
        </w:rPr>
        <w:t>】个月内提出书面续租要求，则丧失优先</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承租权</w:t>
      </w:r>
      <w:r>
        <w:rPr>
          <w:rFonts w:hint="eastAsia" w:ascii="仿宋_GB2312" w:hAnsi="仿宋_GB2312" w:eastAsia="仿宋_GB2312" w:cs="仿宋_GB2312"/>
          <w:color w:val="000000" w:themeColor="text1"/>
          <w:sz w:val="24"/>
          <w:highlight w:val="none"/>
          <w14:textFill>
            <w14:solidFill>
              <w14:schemeClr w14:val="tx1"/>
            </w14:solidFill>
          </w14:textFill>
        </w:rPr>
        <w:t>。若该房屋的出租需进行公开挂牌的，则乙方优先承租权的行使应遵守届时挂牌程序和文件的要求。如乙方在租赁期内发生本合同第十三条约定的任一违约情形，则乙方丧失优先承租权利。</w:t>
      </w:r>
    </w:p>
    <w:p w14:paraId="34C032AD">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lang w:eastAsia="zh-CN"/>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2</w:t>
      </w:r>
      <w:r>
        <w:rPr>
          <w:rFonts w:hint="eastAsia" w:ascii="仿宋_GB2312" w:hAnsi="仿宋_GB2312" w:eastAsia="仿宋_GB2312" w:cs="仿宋_GB2312"/>
          <w:color w:val="000000" w:themeColor="text1"/>
          <w:sz w:val="24"/>
          <w:highlight w:val="none"/>
          <w14:textFill>
            <w14:solidFill>
              <w14:schemeClr w14:val="tx1"/>
            </w14:solidFill>
          </w14:textFill>
        </w:rPr>
        <w:t>.8、</w:t>
      </w:r>
      <w:r>
        <w:rPr>
          <w:rFonts w:hint="eastAsia" w:ascii="仿宋" w:hAnsi="仿宋" w:eastAsia="仿宋" w:cs="仿宋"/>
          <w:color w:val="000000" w:themeColor="text1"/>
          <w:sz w:val="24"/>
          <w:szCs w:val="24"/>
          <w:highlight w:val="none"/>
          <w14:textFill>
            <w14:solidFill>
              <w14:schemeClr w14:val="tx1"/>
            </w14:solidFill>
          </w14:textFill>
        </w:rPr>
        <w:t>未经甲方书面同意，乙方不得将租赁房屋抵押、</w:t>
      </w:r>
      <w:r>
        <w:rPr>
          <w:rFonts w:hint="eastAsia" w:ascii="仿宋" w:hAnsi="仿宋" w:eastAsia="仿宋" w:cs="仿宋"/>
          <w:color w:val="000000" w:themeColor="text1"/>
          <w:sz w:val="24"/>
          <w:szCs w:val="24"/>
          <w:highlight w:val="none"/>
          <w:lang w:val="en-US" w:eastAsia="zh-CN"/>
          <w14:textFill>
            <w14:solidFill>
              <w14:schemeClr w14:val="tx1"/>
            </w14:solidFill>
          </w14:textFill>
        </w:rPr>
        <w:t>整体</w:t>
      </w:r>
      <w:r>
        <w:rPr>
          <w:rFonts w:hint="eastAsia" w:ascii="仿宋" w:hAnsi="仿宋" w:eastAsia="仿宋" w:cs="仿宋"/>
          <w:color w:val="000000" w:themeColor="text1"/>
          <w:sz w:val="24"/>
          <w:szCs w:val="24"/>
          <w:highlight w:val="none"/>
          <w14:textFill>
            <w14:solidFill>
              <w14:schemeClr w14:val="tx1"/>
            </w14:solidFill>
          </w14:textFill>
        </w:rPr>
        <w:t>转租、转让、出借该房屋或其任何权益予任何第三人</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否则视为严重违约，甲方有权提前解除本合同、收回房产，乙方应承担导致合同提前终止的违约责任。</w:t>
      </w:r>
      <w:r>
        <w:rPr>
          <w:rFonts w:hint="eastAsia" w:ascii="仿宋_GB2312" w:hAnsi="仿宋_GB2312" w:eastAsia="仿宋_GB2312" w:cs="仿宋_GB2312"/>
          <w:color w:val="000000" w:themeColor="text1"/>
          <w:sz w:val="24"/>
          <w:highlight w:val="none"/>
          <w14:textFill>
            <w14:solidFill>
              <w14:schemeClr w14:val="tx1"/>
            </w14:solidFill>
          </w14:textFill>
        </w:rPr>
        <w:t>乙方可在保证分租后租赁房屋的用途不超出主合同约定范围的前提下自行分租，但应事先将分租的区域、用途、对象及期限等关键信息书面</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报</w:t>
      </w:r>
      <w:r>
        <w:rPr>
          <w:rFonts w:hint="eastAsia" w:ascii="仿宋_GB2312" w:hAnsi="仿宋_GB2312" w:eastAsia="仿宋_GB2312" w:cs="仿宋_GB2312"/>
          <w:color w:val="000000" w:themeColor="text1"/>
          <w:sz w:val="24"/>
          <w:highlight w:val="none"/>
          <w14:textFill>
            <w14:solidFill>
              <w14:schemeClr w14:val="tx1"/>
            </w14:solidFill>
          </w14:textFill>
        </w:rPr>
        <w:t>甲方</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备案</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。甲方在收到备案材料后【</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10</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】个工作日内，若认为该分租户的品牌形象、业态或信誉与本项目整体定位不符，有权提出书面合理异议，乙方在收到异议后不得与该分租户签约。</w:t>
      </w:r>
    </w:p>
    <w:p w14:paraId="04F1CB11">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2</w:t>
      </w:r>
      <w:r>
        <w:rPr>
          <w:rFonts w:hint="eastAsia" w:ascii="仿宋_GB2312" w:hAnsi="仿宋_GB2312" w:eastAsia="仿宋_GB2312" w:cs="仿宋_GB2312"/>
          <w:color w:val="000000" w:themeColor="text1"/>
          <w:sz w:val="24"/>
          <w:highlight w:val="none"/>
          <w14:textFill>
            <w14:solidFill>
              <w14:schemeClr w14:val="tx1"/>
            </w14:solidFill>
          </w14:textFill>
        </w:rPr>
        <w:t>.9、如乙方以租赁房屋为注册地址新设企业法人（简称“乙方新设企业”），应事先经甲方书面同意。</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且</w:t>
      </w:r>
      <w:r>
        <w:rPr>
          <w:rFonts w:hint="eastAsia" w:ascii="仿宋_GB2312" w:hAnsi="仿宋_GB2312" w:eastAsia="仿宋_GB2312" w:cs="仿宋_GB2312"/>
          <w:color w:val="000000" w:themeColor="text1"/>
          <w:sz w:val="24"/>
          <w:highlight w:val="none"/>
          <w14:textFill>
            <w14:solidFill>
              <w14:schemeClr w14:val="tx1"/>
            </w14:solidFill>
          </w14:textFill>
        </w:rPr>
        <w:t>该乙方新设企业必须为乙方的全资子公司或控股子公司。自乙方新设企业成立后</w:t>
      </w:r>
      <w:r>
        <w:rPr>
          <w:rFonts w:ascii="仿宋_GB2312" w:hAnsi="仿宋_GB2312" w:eastAsia="仿宋_GB2312" w:cs="仿宋_GB2312"/>
          <w:color w:val="000000" w:themeColor="text1"/>
          <w:sz w:val="24"/>
          <w:highlight w:val="none"/>
          <w14:textFill>
            <w14:solidFill>
              <w14:schemeClr w14:val="tx1"/>
            </w14:solidFill>
          </w14:textFill>
        </w:rPr>
        <w:t>15</w:t>
      </w:r>
      <w:r>
        <w:rPr>
          <w:rFonts w:hint="eastAsia" w:ascii="仿宋_GB2312" w:hAnsi="仿宋_GB2312" w:eastAsia="仿宋_GB2312" w:cs="仿宋_GB2312"/>
          <w:color w:val="000000" w:themeColor="text1"/>
          <w:sz w:val="24"/>
          <w:highlight w:val="none"/>
          <w14:textFill>
            <w14:solidFill>
              <w14:schemeClr w14:val="tx1"/>
            </w14:solidFill>
          </w14:textFill>
        </w:rPr>
        <w:t>日内，乙方应将乙方新设企业的营业执照等相关证照复印件（加盖乙方及乙方新设企业之公章）提交甲方。经协商一致，甲方有权要求乙方及乙方新设企业共同签署合同主体变更之《三方协议》。在前述情况下，乙方应对乙方新设企业的履约行为承担连带保证责任。甲方有权要求乙方或乙方新设企业就本合同的履行增加提供甲方认可的担保措施。</w:t>
      </w:r>
    </w:p>
    <w:p w14:paraId="21657EFE">
      <w:pPr>
        <w:adjustRightInd w:val="0"/>
        <w:snapToGrid w:val="0"/>
        <w:spacing w:line="360" w:lineRule="auto"/>
        <w:ind w:firstLine="482" w:firstLineChars="200"/>
        <w:rPr>
          <w:rFonts w:hint="eastAsia"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第十</w:t>
      </w:r>
      <w:r>
        <w:rPr>
          <w:rFonts w:hint="eastAsia" w:ascii="仿宋_GB2312" w:hAnsi="仿宋_GB2312" w:eastAsia="仿宋_GB2312" w:cs="仿宋_GB2312"/>
          <w:b/>
          <w:bCs/>
          <w:color w:val="000000" w:themeColor="text1"/>
          <w:sz w:val="24"/>
          <w:highlight w:val="none"/>
          <w:lang w:eastAsia="zh"/>
          <w14:textFill>
            <w14:solidFill>
              <w14:schemeClr w14:val="tx1"/>
            </w14:solidFill>
          </w14:textFill>
        </w:rPr>
        <w:t>三</w:t>
      </w:r>
      <w:r>
        <w:rPr>
          <w:rFonts w:hint="eastAsia" w:ascii="仿宋_GB2312" w:hAnsi="仿宋_GB2312" w:eastAsia="仿宋_GB2312" w:cs="仿宋_GB2312"/>
          <w:b/>
          <w:bCs/>
          <w:color w:val="000000" w:themeColor="text1"/>
          <w:sz w:val="24"/>
          <w:highlight w:val="none"/>
          <w14:textFill>
            <w14:solidFill>
              <w14:schemeClr w14:val="tx1"/>
            </w14:solidFill>
          </w14:textFill>
        </w:rPr>
        <w:t>条  合同的解除和终止</w:t>
      </w:r>
    </w:p>
    <w:p w14:paraId="0B362CBD">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3</w:t>
      </w:r>
      <w:r>
        <w:rPr>
          <w:rFonts w:hint="eastAsia" w:ascii="仿宋_GB2312" w:hAnsi="仿宋_GB2312" w:eastAsia="仿宋_GB2312" w:cs="仿宋_GB2312"/>
          <w:color w:val="000000" w:themeColor="text1"/>
          <w:sz w:val="24"/>
          <w:highlight w:val="none"/>
          <w14:textFill>
            <w14:solidFill>
              <w14:schemeClr w14:val="tx1"/>
            </w14:solidFill>
          </w14:textFill>
        </w:rPr>
        <w:t>.1、甲乙双方协商一致可解除合同。</w:t>
      </w:r>
    </w:p>
    <w:p w14:paraId="7C2A183C">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eastAsia="zh"/>
          <w14:textFill>
            <w14:solidFill>
              <w14:schemeClr w14:val="tx1"/>
            </w14:solidFill>
          </w14:textFill>
        </w:rPr>
        <w:t xml:space="preserve">13.1.1 </w:t>
      </w:r>
      <w:r>
        <w:rPr>
          <w:rFonts w:hint="eastAsia" w:ascii="仿宋_GB2312" w:hAnsi="仿宋_GB2312" w:eastAsia="仿宋_GB2312" w:cs="仿宋_GB2312"/>
          <w:color w:val="000000" w:themeColor="text1"/>
          <w:sz w:val="24"/>
          <w:highlight w:val="none"/>
          <w14:textFill>
            <w14:solidFill>
              <w14:schemeClr w14:val="tx1"/>
            </w14:solidFill>
          </w14:textFill>
        </w:rPr>
        <w:t>非甲方原因或不可抗力的情况下，若</w:t>
      </w:r>
      <w:r>
        <w:rPr>
          <w:rFonts w:hint="eastAsia" w:ascii="仿宋_GB2312" w:hAnsi="仿宋_GB2312" w:eastAsia="仿宋_GB2312" w:cs="仿宋_GB2312"/>
          <w:color w:val="000000" w:themeColor="text1"/>
          <w:sz w:val="24"/>
          <w:highlight w:val="none"/>
          <w14:textFill>
            <w14:solidFill>
              <w14:schemeClr w14:val="tx1"/>
            </w14:solidFill>
          </w14:textFill>
        </w:rPr>
        <w:t>乙方要提前终止或解除本合同，在</w:t>
      </w:r>
      <w:r>
        <w:rPr>
          <w:rFonts w:hint="eastAsia" w:ascii="仿宋_GB2312" w:hAnsi="仿宋_GB2312" w:eastAsia="仿宋_GB2312" w:cs="仿宋_GB2312"/>
          <w:color w:val="000000" w:themeColor="text1"/>
          <w:sz w:val="24"/>
          <w:highlight w:val="none"/>
          <w14:textFill>
            <w14:solidFill>
              <w14:schemeClr w14:val="tx1"/>
            </w14:solidFill>
          </w14:textFill>
        </w:rPr>
        <w:t>足额缴纳租金、物业管理费等应缴费用的前提下，乙方已支付的全部履约保证金不予退还外，乙方需额外支付当期租金标准3个月的租金作为违约金，并提前60日向甲方书面申请解除本合同</w:t>
      </w:r>
      <w:r>
        <w:rPr>
          <w:rFonts w:hint="eastAsia" w:ascii="仿宋_GB2312" w:hAnsi="仿宋_GB2312" w:eastAsia="仿宋_GB2312" w:cs="仿宋_GB2312"/>
          <w:color w:val="000000" w:themeColor="text1"/>
          <w:sz w:val="24"/>
          <w:highlight w:val="none"/>
          <w14:textFill>
            <w14:solidFill>
              <w14:schemeClr w14:val="tx1"/>
            </w14:solidFill>
          </w14:textFill>
        </w:rPr>
        <w:t>，经</w:t>
      </w:r>
      <w:r>
        <w:rPr>
          <w:rFonts w:hint="eastAsia" w:ascii="仿宋_GB2312" w:hAnsi="仿宋_GB2312" w:eastAsia="仿宋_GB2312" w:cs="仿宋_GB2312"/>
          <w:color w:val="000000" w:themeColor="text1"/>
          <w:sz w:val="24"/>
          <w:highlight w:val="none"/>
          <w14:textFill>
            <w14:solidFill>
              <w14:schemeClr w14:val="tx1"/>
            </w14:solidFill>
          </w14:textFill>
        </w:rPr>
        <w:t>甲方同意后，甲方与乙方签订解除协议，但甲方给予乙方的免租期全部收回，乙方需足额补缴已享受的免租期期限范围内的租金。若</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上述金额不足以弥补</w:t>
      </w:r>
      <w:r>
        <w:rPr>
          <w:rFonts w:hint="eastAsia" w:ascii="仿宋_GB2312" w:hAnsi="仿宋_GB2312" w:eastAsia="仿宋_GB2312" w:cs="仿宋_GB2312"/>
          <w:color w:val="000000" w:themeColor="text1"/>
          <w:sz w:val="24"/>
          <w:highlight w:val="none"/>
          <w14:textFill>
            <w14:solidFill>
              <w14:schemeClr w14:val="tx1"/>
            </w14:solidFill>
          </w14:textFill>
        </w:rPr>
        <w:t>甲方实际损失的，甲方仍有权向乙方追偿。</w:t>
      </w:r>
    </w:p>
    <w:p w14:paraId="675D7FB5">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eastAsia="zh"/>
          <w14:textFill>
            <w14:solidFill>
              <w14:schemeClr w14:val="tx1"/>
            </w14:solidFill>
          </w14:textFill>
        </w:rPr>
        <w:t xml:space="preserve">13.1.2 </w:t>
      </w:r>
      <w:r>
        <w:rPr>
          <w:rFonts w:hint="eastAsia" w:ascii="仿宋_GB2312" w:hAnsi="仿宋_GB2312" w:eastAsia="仿宋_GB2312" w:cs="仿宋_GB2312"/>
          <w:color w:val="000000" w:themeColor="text1"/>
          <w:sz w:val="24"/>
          <w:highlight w:val="none"/>
          <w14:textFill>
            <w14:solidFill>
              <w14:schemeClr w14:val="tx1"/>
            </w14:solidFill>
          </w14:textFill>
        </w:rPr>
        <w:t>若乙方未书面向甲方申请提前退租，乙方提前退租的，则乙方应当按照本合同1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5</w:t>
      </w:r>
      <w:r>
        <w:rPr>
          <w:rFonts w:hint="eastAsia" w:ascii="仿宋_GB2312" w:hAnsi="仿宋_GB2312" w:eastAsia="仿宋_GB2312" w:cs="仿宋_GB2312"/>
          <w:color w:val="000000" w:themeColor="text1"/>
          <w:sz w:val="24"/>
          <w:highlight w:val="none"/>
          <w14:textFill>
            <w14:solidFill>
              <w14:schemeClr w14:val="tx1"/>
            </w14:solidFill>
          </w14:textFill>
        </w:rPr>
        <w:t>.2承担违约责任。</w:t>
      </w:r>
    </w:p>
    <w:p w14:paraId="68169559">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lang w:eastAsia="zh"/>
          <w14:textFill>
            <w14:solidFill>
              <w14:schemeClr w14:val="tx1"/>
            </w14:solidFill>
          </w14:textFill>
        </w:rPr>
      </w:pPr>
      <w:r>
        <w:rPr>
          <w:rFonts w:hint="eastAsia" w:ascii="仿宋_GB2312" w:hAnsi="仿宋_GB2312" w:eastAsia="仿宋_GB2312" w:cs="仿宋_GB2312"/>
          <w:color w:val="000000" w:themeColor="text1"/>
          <w:sz w:val="24"/>
          <w:highlight w:val="none"/>
          <w:lang w:eastAsia="zh"/>
          <w14:textFill>
            <w14:solidFill>
              <w14:schemeClr w14:val="tx1"/>
            </w14:solidFill>
          </w14:textFill>
        </w:rPr>
        <w:t>13.1.3 在本合同正式解除，且乙方结清所有应付租金、物业管理费、水电费及其他应付款项，并将租赁房屋清退后返还给甲方之日起【30】个工作日内，甲方应在结算完成且收到乙方</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符合本合同第十六条约定的书面文件</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后将乙方已支付的、尚未使用的剩余期间租金返还给乙方。</w:t>
      </w:r>
    </w:p>
    <w:p w14:paraId="0FAF70BC">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3</w:t>
      </w:r>
      <w:r>
        <w:rPr>
          <w:rFonts w:hint="eastAsia" w:ascii="仿宋_GB2312" w:hAnsi="仿宋_GB2312" w:eastAsia="仿宋_GB2312" w:cs="仿宋_GB2312"/>
          <w:color w:val="000000" w:themeColor="text1"/>
          <w:sz w:val="24"/>
          <w:highlight w:val="none"/>
          <w14:textFill>
            <w14:solidFill>
              <w14:schemeClr w14:val="tx1"/>
            </w14:solidFill>
          </w14:textFill>
        </w:rPr>
        <w:t>.2、发生下列情形之一的，本合同自行终止，双方互不承担责任：</w:t>
      </w:r>
    </w:p>
    <w:p w14:paraId="77D014AF">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（1）租赁期限届满，本合同即行终止；</w:t>
      </w:r>
    </w:p>
    <w:p w14:paraId="77B10780">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bookmarkStart w:id="9" w:name="OLE_LINK1"/>
      <w:r>
        <w:rPr>
          <w:rFonts w:hint="eastAsia" w:ascii="仿宋_GB2312" w:hAnsi="仿宋_GB2312" w:eastAsia="仿宋_GB2312" w:cs="仿宋_GB2312"/>
          <w:color w:val="000000" w:themeColor="text1"/>
          <w:sz w:val="24"/>
          <w:highlight w:val="none"/>
          <w14:textFill>
            <w14:solidFill>
              <w14:schemeClr w14:val="tx1"/>
            </w14:solidFill>
          </w14:textFill>
        </w:rPr>
        <w:t>该房屋及所属土地因社会公共利益或城市建设需要被政府列入房屋征收范围或者改造、拆迁及搬迁行为等非甲方原因导致本合同无法继续履行的</w:t>
      </w:r>
      <w:bookmarkEnd w:id="9"/>
      <w:r>
        <w:rPr>
          <w:rFonts w:hint="eastAsia" w:ascii="仿宋_GB2312" w:hAnsi="仿宋_GB2312" w:eastAsia="仿宋_GB2312" w:cs="仿宋_GB2312"/>
          <w:color w:val="000000" w:themeColor="text1"/>
          <w:sz w:val="24"/>
          <w:highlight w:val="none"/>
          <w14:textFill>
            <w14:solidFill>
              <w14:schemeClr w14:val="tx1"/>
            </w14:solidFill>
          </w14:textFill>
        </w:rPr>
        <w:t>；</w:t>
      </w:r>
    </w:p>
    <w:p w14:paraId="2781DB51">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（3）该房屋因遭受毁损、灭失致使本合同无法履行的；</w:t>
      </w:r>
    </w:p>
    <w:p w14:paraId="34E6E896">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（4）因政府行为或法律法规、政策不允许甲方进行类似出租等原因，造成该房屋无法按合同约定使用的；</w:t>
      </w:r>
    </w:p>
    <w:p w14:paraId="4A7C1E63">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（5）遇有不可抗力发生而使本合同之履行目的无法实现的；</w:t>
      </w:r>
    </w:p>
    <w:p w14:paraId="47AE49E3">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因以上事项合同自行终止，甲方无需承担任何违约责任，同时无需对乙方作出任何补偿。由甲方投入的装修、设施设备及房屋主体补偿归甲方所有，由乙方投入的装修、设施设备等补偿归乙方所有。乙方必须在收到甲方书面通知之日起两个月内或根据实际情况所限时间内</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腾退</w:t>
      </w:r>
      <w:r>
        <w:rPr>
          <w:rFonts w:hint="eastAsia" w:ascii="仿宋_GB2312" w:hAnsi="仿宋_GB2312" w:eastAsia="仿宋_GB2312" w:cs="仿宋_GB2312"/>
          <w:color w:val="000000" w:themeColor="text1"/>
          <w:sz w:val="24"/>
          <w:highlight w:val="none"/>
          <w14:textFill>
            <w14:solidFill>
              <w14:schemeClr w14:val="tx1"/>
            </w14:solidFill>
          </w14:textFill>
        </w:rPr>
        <w:t>完毕，租金以</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腾退</w:t>
      </w:r>
      <w:r>
        <w:rPr>
          <w:rFonts w:hint="eastAsia" w:ascii="仿宋_GB2312" w:hAnsi="仿宋_GB2312" w:eastAsia="仿宋_GB2312" w:cs="仿宋_GB2312"/>
          <w:color w:val="000000" w:themeColor="text1"/>
          <w:sz w:val="24"/>
          <w:highlight w:val="none"/>
          <w14:textFill>
            <w14:solidFill>
              <w14:schemeClr w14:val="tx1"/>
            </w14:solidFill>
          </w14:textFill>
        </w:rPr>
        <w:t>当天按实结算，多退（无息）少补。</w:t>
      </w:r>
    </w:p>
    <w:p w14:paraId="25E59B65">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lang w:eastAsia="zh"/>
          <w14:textFill>
            <w14:solidFill>
              <w14:schemeClr w14:val="tx1"/>
            </w14:solidFill>
          </w14:textFill>
        </w:rPr>
        <w:t>13.</w:t>
      </w:r>
      <w:r>
        <w:rPr>
          <w:rFonts w:hint="eastAsia" w:ascii="仿宋_GB2312" w:hAnsi="仿宋_GB2312" w:eastAsia="仿宋_GB2312" w:cs="仿宋_GB2312"/>
          <w:color w:val="000000" w:themeColor="text1"/>
          <w:sz w:val="24"/>
          <w:highlight w:val="none"/>
          <w14:textFill>
            <w14:solidFill>
              <w14:schemeClr w14:val="tx1"/>
            </w14:solidFill>
          </w14:textFill>
        </w:rPr>
        <w:t>3、其他本合同约定或法律法规规定可以变更或解除本合同的情形。</w:t>
      </w:r>
    </w:p>
    <w:p w14:paraId="638699EC">
      <w:pPr>
        <w:adjustRightInd w:val="0"/>
        <w:snapToGrid w:val="0"/>
        <w:spacing w:line="360" w:lineRule="auto"/>
        <w:ind w:firstLine="482" w:firstLineChars="200"/>
        <w:outlineLvl w:val="0"/>
        <w:rPr>
          <w:rFonts w:hint="eastAsia"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第十</w:t>
      </w:r>
      <w:r>
        <w:rPr>
          <w:rFonts w:hint="eastAsia" w:ascii="仿宋_GB2312" w:hAnsi="仿宋_GB2312" w:eastAsia="仿宋_GB2312" w:cs="仿宋_GB2312"/>
          <w:b/>
          <w:bCs/>
          <w:color w:val="000000" w:themeColor="text1"/>
          <w:sz w:val="24"/>
          <w:highlight w:val="none"/>
          <w:lang w:eastAsia="zh"/>
          <w14:textFill>
            <w14:solidFill>
              <w14:schemeClr w14:val="tx1"/>
            </w14:solidFill>
          </w14:textFill>
        </w:rPr>
        <w:t>四</w:t>
      </w:r>
      <w:r>
        <w:rPr>
          <w:rFonts w:hint="eastAsia" w:ascii="仿宋_GB2312" w:hAnsi="仿宋_GB2312" w:eastAsia="仿宋_GB2312" w:cs="仿宋_GB2312"/>
          <w:b/>
          <w:bCs/>
          <w:color w:val="000000" w:themeColor="text1"/>
          <w:sz w:val="24"/>
          <w:highlight w:val="none"/>
          <w14:textFill>
            <w14:solidFill>
              <w14:schemeClr w14:val="tx1"/>
            </w14:solidFill>
          </w14:textFill>
        </w:rPr>
        <w:t>条  甲方的违约责任</w:t>
      </w:r>
    </w:p>
    <w:p w14:paraId="116CBA0B">
      <w:pPr>
        <w:numPr>
          <w:ilvl w:val="12"/>
          <w:numId w:val="0"/>
        </w:num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甲方无正当理由擅自提前收回房屋的,乙方有权解除合同，</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由此</w:t>
      </w:r>
      <w:r>
        <w:rPr>
          <w:rFonts w:hint="eastAsia" w:ascii="仿宋_GB2312" w:hAnsi="仿宋_GB2312" w:eastAsia="仿宋_GB2312" w:cs="仿宋_GB2312"/>
          <w:color w:val="000000" w:themeColor="text1"/>
          <w:sz w:val="24"/>
          <w:highlight w:val="none"/>
          <w14:textFill>
            <w14:solidFill>
              <w14:schemeClr w14:val="tx1"/>
            </w14:solidFill>
          </w14:textFill>
        </w:rPr>
        <w:t>造成乙方</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直接经济</w:t>
      </w:r>
      <w:r>
        <w:rPr>
          <w:rFonts w:hint="eastAsia" w:ascii="仿宋_GB2312" w:hAnsi="仿宋_GB2312" w:eastAsia="仿宋_GB2312" w:cs="仿宋_GB2312"/>
          <w:color w:val="000000" w:themeColor="text1"/>
          <w:sz w:val="24"/>
          <w:highlight w:val="none"/>
          <w14:textFill>
            <w14:solidFill>
              <w14:schemeClr w14:val="tx1"/>
            </w14:solidFill>
          </w14:textFill>
        </w:rPr>
        <w:t>损失的，甲方应赔偿。甲方不对乙方的任何预期利润损失、商誉损失</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或</w:t>
      </w:r>
      <w:r>
        <w:rPr>
          <w:rFonts w:hint="eastAsia" w:ascii="仿宋_GB2312" w:hAnsi="仿宋_GB2312" w:eastAsia="仿宋_GB2312" w:cs="仿宋_GB2312"/>
          <w:color w:val="000000" w:themeColor="text1"/>
          <w:sz w:val="24"/>
          <w:highlight w:val="none"/>
          <w14:textFill>
            <w14:solidFill>
              <w14:schemeClr w14:val="tx1"/>
            </w14:solidFill>
          </w14:textFill>
        </w:rPr>
        <w:t>第三方索赔</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等其他间接损失</w:t>
      </w:r>
      <w:r>
        <w:rPr>
          <w:rFonts w:hint="eastAsia" w:ascii="仿宋_GB2312" w:hAnsi="仿宋_GB2312" w:eastAsia="仿宋_GB2312" w:cs="仿宋_GB2312"/>
          <w:color w:val="000000" w:themeColor="text1"/>
          <w:sz w:val="24"/>
          <w:highlight w:val="none"/>
          <w14:textFill>
            <w14:solidFill>
              <w14:schemeClr w14:val="tx1"/>
            </w14:solidFill>
          </w14:textFill>
        </w:rPr>
        <w:t>承担责任。</w:t>
      </w:r>
    </w:p>
    <w:p w14:paraId="62AF4BC5">
      <w:pPr>
        <w:adjustRightInd w:val="0"/>
        <w:snapToGrid w:val="0"/>
        <w:spacing w:line="360" w:lineRule="auto"/>
        <w:ind w:firstLine="482" w:firstLineChars="200"/>
        <w:outlineLvl w:val="0"/>
        <w:rPr>
          <w:rFonts w:hint="eastAsia"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第十</w:t>
      </w:r>
      <w:r>
        <w:rPr>
          <w:rFonts w:hint="eastAsia" w:ascii="仿宋_GB2312" w:hAnsi="仿宋_GB2312" w:eastAsia="仿宋_GB2312" w:cs="仿宋_GB2312"/>
          <w:b/>
          <w:bCs/>
          <w:color w:val="000000" w:themeColor="text1"/>
          <w:sz w:val="24"/>
          <w:highlight w:val="none"/>
          <w:lang w:eastAsia="zh"/>
          <w14:textFill>
            <w14:solidFill>
              <w14:schemeClr w14:val="tx1"/>
            </w14:solidFill>
          </w14:textFill>
        </w:rPr>
        <w:t>五</w:t>
      </w:r>
      <w:r>
        <w:rPr>
          <w:rFonts w:hint="eastAsia" w:ascii="仿宋_GB2312" w:hAnsi="仿宋_GB2312" w:eastAsia="仿宋_GB2312" w:cs="仿宋_GB2312"/>
          <w:b/>
          <w:bCs/>
          <w:color w:val="000000" w:themeColor="text1"/>
          <w:sz w:val="24"/>
          <w:highlight w:val="none"/>
          <w14:textFill>
            <w14:solidFill>
              <w14:schemeClr w14:val="tx1"/>
            </w14:solidFill>
          </w14:textFill>
        </w:rPr>
        <w:t>条  乙方的违约责任</w:t>
      </w:r>
    </w:p>
    <w:p w14:paraId="0C52F766">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5</w:t>
      </w:r>
      <w:r>
        <w:rPr>
          <w:rFonts w:hint="eastAsia" w:ascii="仿宋_GB2312" w:hAnsi="仿宋_GB2312" w:eastAsia="仿宋_GB2312" w:cs="仿宋_GB2312"/>
          <w:color w:val="000000" w:themeColor="text1"/>
          <w:sz w:val="24"/>
          <w:highlight w:val="none"/>
          <w14:textFill>
            <w14:solidFill>
              <w14:schemeClr w14:val="tx1"/>
            </w14:solidFill>
          </w14:textFill>
        </w:rPr>
        <w:t>.1、乙方未按照本合同约定按时足额缴纳租金、履约保证金、</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装修改造保证金</w:t>
      </w:r>
      <w:r>
        <w:rPr>
          <w:rFonts w:hint="eastAsia" w:ascii="仿宋_GB2312" w:hAnsi="仿宋_GB2312" w:eastAsia="仿宋_GB2312" w:cs="仿宋_GB2312"/>
          <w:color w:val="000000" w:themeColor="text1"/>
          <w:sz w:val="24"/>
          <w:highlight w:val="none"/>
          <w14:textFill>
            <w14:solidFill>
              <w14:schemeClr w14:val="tx1"/>
            </w14:solidFill>
          </w14:textFill>
        </w:rPr>
        <w:t>、水电费等各项费用的，每逾期一天，</w:t>
      </w:r>
      <w:r>
        <w:rPr>
          <w:rFonts w:hint="eastAsia" w:ascii="仿宋_GB2312" w:hAnsi="仿宋_GB2312" w:eastAsia="仿宋_GB2312" w:cs="仿宋_GB2312"/>
          <w:color w:val="000000" w:themeColor="text1"/>
          <w:sz w:val="24"/>
          <w:highlight w:val="none"/>
          <w14:textFill>
            <w14:solidFill>
              <w14:schemeClr w14:val="tx1"/>
            </w14:solidFill>
          </w14:textFill>
        </w:rPr>
        <w:t>需按所欠金额总额的万分之五向甲方支付违约金。</w:t>
      </w:r>
    </w:p>
    <w:p w14:paraId="47216FB9">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5</w:t>
      </w:r>
      <w:r>
        <w:rPr>
          <w:rFonts w:hint="eastAsia" w:ascii="仿宋_GB2312" w:hAnsi="仿宋_GB2312" w:eastAsia="仿宋_GB2312" w:cs="仿宋_GB2312"/>
          <w:color w:val="000000" w:themeColor="text1"/>
          <w:sz w:val="24"/>
          <w:highlight w:val="none"/>
          <w14:textFill>
            <w14:solidFill>
              <w14:schemeClr w14:val="tx1"/>
            </w14:solidFill>
          </w14:textFill>
        </w:rPr>
        <w:t>.2、乙方有下列行为之一的，</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构成根本违约，</w:t>
      </w:r>
      <w:r>
        <w:rPr>
          <w:rFonts w:hint="eastAsia" w:ascii="仿宋_GB2312" w:hAnsi="仿宋_GB2312" w:eastAsia="仿宋_GB2312" w:cs="仿宋_GB2312"/>
          <w:color w:val="000000" w:themeColor="text1"/>
          <w:sz w:val="24"/>
          <w:highlight w:val="none"/>
          <w14:textFill>
            <w14:solidFill>
              <w14:schemeClr w14:val="tx1"/>
            </w14:solidFill>
          </w14:textFill>
        </w:rPr>
        <w:t>甲方有权</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书面通知</w:t>
      </w:r>
      <w:r>
        <w:rPr>
          <w:rFonts w:hint="eastAsia" w:ascii="仿宋_GB2312" w:hAnsi="仿宋_GB2312" w:eastAsia="仿宋_GB2312" w:cs="仿宋_GB2312"/>
          <w:color w:val="000000" w:themeColor="text1"/>
          <w:sz w:val="24"/>
          <w:highlight w:val="none"/>
          <w14:textFill>
            <w14:solidFill>
              <w14:schemeClr w14:val="tx1"/>
            </w14:solidFill>
          </w14:textFill>
        </w:rPr>
        <w:t>解除本合同</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本合同解除后，</w:t>
      </w:r>
      <w:r>
        <w:rPr>
          <w:rFonts w:hint="eastAsia" w:ascii="仿宋_GB2312" w:hAnsi="仿宋_GB2312" w:eastAsia="仿宋_GB2312" w:cs="仿宋_GB2312"/>
          <w:color w:val="000000" w:themeColor="text1"/>
          <w:sz w:val="24"/>
          <w:highlight w:val="none"/>
          <w14:textFill>
            <w14:solidFill>
              <w14:schemeClr w14:val="tx1"/>
            </w14:solidFill>
          </w14:textFill>
        </w:rPr>
        <w:t>乙方已支付的履约保证金不予退还。甲方给予乙方的免租期（如有）全部收回，乙方应按照</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2.5</w:t>
      </w:r>
      <w:r>
        <w:rPr>
          <w:rFonts w:hint="eastAsia" w:ascii="仿宋_GB2312" w:hAnsi="仿宋_GB2312" w:eastAsia="仿宋_GB2312" w:cs="仿宋_GB2312"/>
          <w:color w:val="000000" w:themeColor="text1"/>
          <w:sz w:val="24"/>
          <w:highlight w:val="none"/>
          <w14:textFill>
            <w14:solidFill>
              <w14:schemeClr w14:val="tx1"/>
            </w14:solidFill>
          </w14:textFill>
        </w:rPr>
        <w:t>条约定支付已享受的租金优惠；同时乙方应承担相当于当</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期租金标准</w:t>
      </w:r>
      <w:r>
        <w:rPr>
          <w:rFonts w:hint="eastAsia" w:ascii="仿宋_GB2312" w:hAnsi="仿宋_GB2312" w:eastAsia="仿宋_GB2312" w:cs="仿宋_GB2312"/>
          <w:color w:val="000000" w:themeColor="text1"/>
          <w:sz w:val="24"/>
          <w:highlight w:val="none"/>
          <w14:textFill>
            <w14:solidFill>
              <w14:schemeClr w14:val="tx1"/>
            </w14:solidFill>
          </w14:textFill>
        </w:rPr>
        <w:t>3个月租金的违约金</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w:t>
      </w:r>
      <w:r>
        <w:rPr>
          <w:rFonts w:hint="eastAsia" w:ascii="仿宋_GB2312" w:hAnsi="仿宋_GB2312" w:eastAsia="仿宋_GB2312" w:cs="仿宋_GB2312"/>
          <w:color w:val="000000" w:themeColor="text1"/>
          <w:sz w:val="24"/>
          <w:highlight w:val="none"/>
          <w14:textFill>
            <w14:solidFill>
              <w14:schemeClr w14:val="tx1"/>
            </w14:solidFill>
          </w14:textFill>
        </w:rPr>
        <w:t>乙方应于本合同解除之日支付，若违约金不足以赔偿给甲方的损失的，就超过部分甲方仍可向乙方主张</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乙方已支付的、尚未使用的剩余期间租金，甲方有权在扣除乙方应付的上述全部款项（包括欠费、免租期补缴款、违约金）后，于乙方完成房屋清退、注销相关证照且双方签署结算确认书之日起30个工作日内，将余款（如有）无息返还给乙方</w:t>
      </w:r>
      <w:r>
        <w:rPr>
          <w:rFonts w:hint="eastAsia" w:ascii="仿宋_GB2312" w:hAnsi="仿宋_GB2312" w:eastAsia="仿宋_GB2312" w:cs="仿宋_GB2312"/>
          <w:color w:val="000000" w:themeColor="text1"/>
          <w:sz w:val="24"/>
          <w:highlight w:val="none"/>
          <w14:textFill>
            <w14:solidFill>
              <w14:schemeClr w14:val="tx1"/>
            </w14:solidFill>
          </w14:textFill>
        </w:rPr>
        <w:t>:</w:t>
      </w:r>
    </w:p>
    <w:p w14:paraId="0476038C">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（1）未经相关职能部门批准擅自改变规划用途或约定用途，或利用该房屋进行违法违章活动的；</w:t>
      </w:r>
    </w:p>
    <w:p w14:paraId="317BA8FF">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（2）未经甲方书面同意，擅自拆改变动房屋结构、水电线路及消防管道设施等，或损坏房屋，且经甲方书面通知，在甲方书面通知限定时间内仍未纠正修复的；</w:t>
      </w:r>
    </w:p>
    <w:p w14:paraId="2A62DF3B">
      <w:pPr>
        <w:adjustRightInd w:val="0"/>
        <w:snapToGrid w:val="0"/>
        <w:spacing w:line="360" w:lineRule="auto"/>
        <w:ind w:firstLine="480" w:firstLineChars="200"/>
        <w:textAlignment w:val="baseline"/>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（3）未经甲方书面报批、审核或备案同意，擅自调整租赁范围内原报批通过的装修审批方案内容，实施维修、改造、装修，或未按向甲方报批、审核或备案后方案进行维修、改造、装修实施的；</w:t>
      </w:r>
    </w:p>
    <w:p w14:paraId="6AE580CE">
      <w:pPr>
        <w:adjustRightInd w:val="0"/>
        <w:snapToGrid w:val="0"/>
        <w:spacing w:line="360" w:lineRule="auto"/>
        <w:ind w:firstLine="480" w:firstLineChars="200"/>
        <w:textAlignment w:val="baseline"/>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（4）未经甲方事先书面同意擅自将租赁房屋抵押、</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整体</w:t>
      </w:r>
      <w:r>
        <w:rPr>
          <w:rFonts w:hint="eastAsia" w:ascii="仿宋_GB2312" w:hAnsi="仿宋_GB2312" w:eastAsia="仿宋_GB2312" w:cs="仿宋_GB2312"/>
          <w:color w:val="000000" w:themeColor="text1"/>
          <w:sz w:val="24"/>
          <w:highlight w:val="none"/>
          <w14:textFill>
            <w14:solidFill>
              <w14:schemeClr w14:val="tx1"/>
            </w14:solidFill>
          </w14:textFill>
        </w:rPr>
        <w:t>转租、转让、出借该房屋或其任何权益予任何第三人；</w:t>
      </w:r>
    </w:p>
    <w:p w14:paraId="16BB74C9">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（5）未按约足额支付任一期租金、水电费、履约保证金、</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装修改造保证金</w:t>
      </w:r>
      <w:r>
        <w:rPr>
          <w:rFonts w:hint="eastAsia" w:ascii="仿宋_GB2312" w:hAnsi="仿宋_GB2312" w:eastAsia="仿宋_GB2312" w:cs="仿宋_GB2312"/>
          <w:color w:val="000000" w:themeColor="text1"/>
          <w:sz w:val="24"/>
          <w:highlight w:val="none"/>
          <w14:textFill>
            <w14:solidFill>
              <w14:schemeClr w14:val="tx1"/>
            </w14:solidFill>
          </w14:textFill>
        </w:rPr>
        <w:t>等相关费用超过</w:t>
      </w:r>
      <w:r>
        <w:rPr>
          <w:rFonts w:hint="eastAsia" w:ascii="仿宋_GB2312" w:hAnsi="仿宋_GB2312" w:eastAsia="仿宋_GB2312" w:cs="仿宋_GB2312"/>
          <w:color w:val="000000" w:themeColor="text1"/>
          <w:sz w:val="24"/>
          <w:highlight w:val="none"/>
          <w14:textFill>
            <w14:solidFill>
              <w14:schemeClr w14:val="tx1"/>
            </w14:solidFill>
          </w14:textFill>
        </w:rPr>
        <w:t>一个月</w:t>
      </w:r>
      <w:r>
        <w:rPr>
          <w:rFonts w:hint="eastAsia" w:ascii="仿宋_GB2312" w:hAnsi="仿宋_GB2312" w:eastAsia="仿宋_GB2312" w:cs="仿宋_GB2312"/>
          <w:color w:val="000000" w:themeColor="text1"/>
          <w:sz w:val="24"/>
          <w:highlight w:val="none"/>
          <w14:textFill>
            <w14:solidFill>
              <w14:schemeClr w14:val="tx1"/>
            </w14:solidFill>
          </w14:textFill>
        </w:rPr>
        <w:t>，或拖缴累计超过3次以上（包括3次）；</w:t>
      </w:r>
    </w:p>
    <w:p w14:paraId="1673A385">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（6）乙方收到甲方送达同一个问题的《物业消防安全检查整改通知单》等文件累计3次以上（包括3次），或未按甲方要求限期整改完毕3次以上（包括3次）；</w:t>
      </w:r>
    </w:p>
    <w:p w14:paraId="2AA524FF">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乙方面临财务危机或将面临清算或破产或营业执照被吊销，或有合理证据表明乙方陷入经营危机，或乙方在该房屋内停业或表示其将停业；或乙方在该房屋内的任何资产遭查封或扣押，或乙方因在该房屋内的行为受到行政处罚的；</w:t>
      </w:r>
    </w:p>
    <w:p w14:paraId="0CE27580">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（8）未提前向甲方申请撤租，乙方擅自退租的；</w:t>
      </w:r>
    </w:p>
    <w:p w14:paraId="2F1767AC">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（9）</w:t>
      </w:r>
      <w:r>
        <w:rPr>
          <w:rFonts w:hint="eastAsia" w:ascii="仿宋_GB2312" w:hAnsi="仿宋_GB2312" w:eastAsia="仿宋_GB2312" w:cs="仿宋_GB2312"/>
          <w:color w:val="000000" w:themeColor="text1"/>
          <w:sz w:val="24"/>
          <w:highlight w:val="none"/>
          <w14:textFill>
            <w14:solidFill>
              <w14:schemeClr w14:val="tx1"/>
            </w14:solidFill>
          </w14:textFill>
        </w:rPr>
        <w:t>甲方因地铁集团内部业务调整，需将本合同的权利义务一并转移给地铁集团内其他分子公司，乙方在收到甲方变更通知之日起30内拒不配合甲方完成相关变更事宜的（包括但不限于重新签订经营管理服务协议、补充协议、合同权利义务转让协议等相关协议）；</w:t>
      </w:r>
    </w:p>
    <w:p w14:paraId="13FE71C9">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（10）其他经甲方书面通知仍未按要求限期改正的情形；</w:t>
      </w:r>
    </w:p>
    <w:p w14:paraId="3FEB43AB">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（11）其他本合同约定视为乙方严重违约情形的。</w:t>
      </w:r>
    </w:p>
    <w:p w14:paraId="482E6038">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5</w:t>
      </w:r>
      <w:r>
        <w:rPr>
          <w:rFonts w:hint="eastAsia" w:ascii="仿宋_GB2312" w:hAnsi="仿宋_GB2312" w:eastAsia="仿宋_GB2312" w:cs="仿宋_GB2312"/>
          <w:color w:val="000000" w:themeColor="text1"/>
          <w:sz w:val="24"/>
          <w:highlight w:val="none"/>
          <w14:textFill>
            <w14:solidFill>
              <w14:schemeClr w14:val="tx1"/>
            </w14:solidFill>
          </w14:textFill>
        </w:rPr>
        <w:t>.3、鉴于租金、物业管理服务费、电费、水费等应付款项均为房屋租赁、管理及物业运行之所需，故乙方在逾期未缴纳上述任何项款项时，</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甲方除有权按本合同约定收取违约金外，</w:t>
      </w:r>
      <w:r>
        <w:rPr>
          <w:rFonts w:hint="eastAsia" w:ascii="仿宋_GB2312" w:hAnsi="仿宋_GB2312" w:eastAsia="仿宋_GB2312" w:cs="仿宋_GB2312"/>
          <w:color w:val="000000" w:themeColor="text1"/>
          <w:sz w:val="24"/>
          <w:highlight w:val="none"/>
          <w14:textFill>
            <w14:solidFill>
              <w14:schemeClr w14:val="tx1"/>
            </w14:solidFill>
          </w14:textFill>
        </w:rPr>
        <w:t>在向乙方发出书面欠费催缴通知，载明最后付款期限并告知将采取</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断电、断水等</w:t>
      </w:r>
      <w:r>
        <w:rPr>
          <w:rFonts w:hint="eastAsia" w:ascii="仿宋_GB2312" w:hAnsi="仿宋_GB2312" w:eastAsia="仿宋_GB2312" w:cs="仿宋_GB2312"/>
          <w:color w:val="000000" w:themeColor="text1"/>
          <w:sz w:val="24"/>
          <w:highlight w:val="none"/>
          <w14:textFill>
            <w14:solidFill>
              <w14:schemeClr w14:val="tx1"/>
            </w14:solidFill>
          </w14:textFill>
        </w:rPr>
        <w:t>措施，而乙方逾期仍未支付后，甲方有权采取断电、断水等措施，直到乙方付清全部租金及相关费用为止，由此而可能导致乙方的一切经济损失均由乙方自行承担。</w:t>
      </w:r>
    </w:p>
    <w:p w14:paraId="696211D8">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5</w:t>
      </w:r>
      <w:r>
        <w:rPr>
          <w:rFonts w:hint="eastAsia" w:ascii="仿宋_GB2312" w:hAnsi="仿宋_GB2312" w:eastAsia="仿宋_GB2312" w:cs="仿宋_GB2312"/>
          <w:color w:val="000000" w:themeColor="text1"/>
          <w:sz w:val="24"/>
          <w:highlight w:val="none"/>
          <w14:textFill>
            <w14:solidFill>
              <w14:schemeClr w14:val="tx1"/>
            </w14:solidFill>
          </w14:textFill>
        </w:rPr>
        <w:t>.4、</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因乙方违约导致甲方为实现债权而</w:t>
      </w:r>
      <w:r>
        <w:rPr>
          <w:rFonts w:hint="eastAsia" w:ascii="仿宋_GB2312" w:hAnsi="仿宋_GB2312" w:eastAsia="仿宋_GB2312" w:cs="仿宋_GB2312"/>
          <w:color w:val="000000" w:themeColor="text1"/>
          <w:sz w:val="24"/>
          <w:highlight w:val="none"/>
          <w14:textFill>
            <w14:solidFill>
              <w14:schemeClr w14:val="tx1"/>
            </w14:solidFill>
          </w14:textFill>
        </w:rPr>
        <w:t>通过法律途径追究乙方责任的，乙方应承担</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甲方</w:t>
      </w:r>
      <w:r>
        <w:rPr>
          <w:rFonts w:hint="eastAsia" w:ascii="仿宋_GB2312" w:hAnsi="仿宋_GB2312" w:eastAsia="仿宋_GB2312" w:cs="仿宋_GB2312"/>
          <w:color w:val="000000" w:themeColor="text1"/>
          <w:sz w:val="24"/>
          <w:highlight w:val="none"/>
          <w14:textFill>
            <w14:solidFill>
              <w14:schemeClr w14:val="tx1"/>
            </w14:solidFill>
          </w14:textFill>
        </w:rPr>
        <w:t>因此产生的诉讼费、仲裁费、保全费、办理财产保全保函费、鉴定费、公证费、律师费、差旅费等费用。</w:t>
      </w:r>
    </w:p>
    <w:p w14:paraId="6DB14B12">
      <w:pPr>
        <w:adjustRightInd w:val="0"/>
        <w:snapToGrid w:val="0"/>
        <w:spacing w:line="360" w:lineRule="auto"/>
        <w:ind w:firstLine="482" w:firstLineChars="200"/>
        <w:outlineLvl w:val="0"/>
        <w:rPr>
          <w:rFonts w:hint="eastAsia" w:ascii="仿宋_GB2312" w:hAnsi="仿宋_GB2312" w:eastAsia="仿宋_GB2312" w:cs="仿宋_GB2312"/>
          <w:b/>
          <w:bCs/>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第十</w:t>
      </w:r>
      <w:r>
        <w:rPr>
          <w:rFonts w:hint="eastAsia" w:ascii="仿宋_GB2312" w:hAnsi="仿宋_GB2312" w:eastAsia="仿宋_GB2312" w:cs="仿宋_GB2312"/>
          <w:b/>
          <w:bCs/>
          <w:color w:val="000000" w:themeColor="text1"/>
          <w:sz w:val="24"/>
          <w:highlight w:val="none"/>
          <w:lang w:eastAsia="zh"/>
          <w14:textFill>
            <w14:solidFill>
              <w14:schemeClr w14:val="tx1"/>
            </w14:solidFill>
          </w14:textFill>
        </w:rPr>
        <w:t>六</w:t>
      </w:r>
      <w:r>
        <w:rPr>
          <w:rFonts w:hint="eastAsia" w:ascii="仿宋_GB2312" w:hAnsi="仿宋_GB2312" w:eastAsia="仿宋_GB2312" w:cs="仿宋_GB2312"/>
          <w:b/>
          <w:bCs/>
          <w:color w:val="000000" w:themeColor="text1"/>
          <w:sz w:val="24"/>
          <w:highlight w:val="none"/>
          <w14:textFill>
            <w14:solidFill>
              <w14:schemeClr w14:val="tx1"/>
            </w14:solidFill>
          </w14:textFill>
        </w:rPr>
        <w:t>条  租赁房屋的返还及状态</w:t>
      </w:r>
    </w:p>
    <w:p w14:paraId="452F7892">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6</w:t>
      </w:r>
      <w:r>
        <w:rPr>
          <w:rFonts w:hint="eastAsia" w:ascii="仿宋_GB2312" w:hAnsi="仿宋_GB2312" w:eastAsia="仿宋_GB2312" w:cs="仿宋_GB2312"/>
          <w:color w:val="000000" w:themeColor="text1"/>
          <w:sz w:val="24"/>
          <w:highlight w:val="none"/>
          <w14:textFill>
            <w14:solidFill>
              <w14:schemeClr w14:val="tx1"/>
            </w14:solidFill>
          </w14:textFill>
        </w:rPr>
        <w:t>.1、本合同租期届满，</w:t>
      </w:r>
      <w:r>
        <w:rPr>
          <w:rFonts w:hint="eastAsia" w:ascii="仿宋_GB2312" w:hAnsi="仿宋_GB2312" w:eastAsia="仿宋_GB2312" w:cs="仿宋_GB2312"/>
          <w:color w:val="000000" w:themeColor="text1"/>
          <w:sz w:val="24"/>
          <w:highlight w:val="none"/>
          <w14:textFill>
            <w14:solidFill>
              <w14:schemeClr w14:val="tx1"/>
            </w14:solidFill>
          </w14:textFill>
        </w:rPr>
        <w:t>乙方的腾退交还房屋期限为：租赁期满之日起15日内；</w:t>
      </w:r>
      <w:r>
        <w:rPr>
          <w:rFonts w:hint="eastAsia" w:ascii="仿宋_GB2312" w:hAnsi="仿宋_GB2312" w:eastAsia="仿宋_GB2312" w:cs="仿宋_GB2312"/>
          <w:color w:val="000000" w:themeColor="text1"/>
          <w:sz w:val="24"/>
          <w:highlight w:val="none"/>
          <w14:textFill>
            <w14:solidFill>
              <w14:schemeClr w14:val="tx1"/>
            </w14:solidFill>
          </w14:textFill>
        </w:rPr>
        <w:t>非乙方原因导致本合同提前解除的，乙方的腾退交还房屋期限为：本合同提前解除在收到甲方书面通知之日起</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一</w:t>
      </w:r>
      <w:r>
        <w:rPr>
          <w:rFonts w:hint="eastAsia" w:ascii="仿宋_GB2312" w:hAnsi="仿宋_GB2312" w:eastAsia="仿宋_GB2312" w:cs="仿宋_GB2312"/>
          <w:color w:val="000000" w:themeColor="text1"/>
          <w:sz w:val="24"/>
          <w:highlight w:val="none"/>
          <w14:textFill>
            <w14:solidFill>
              <w14:schemeClr w14:val="tx1"/>
            </w14:solidFill>
          </w14:textFill>
        </w:rPr>
        <w:t>个月内</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腾退</w:t>
      </w:r>
      <w:r>
        <w:rPr>
          <w:rFonts w:hint="eastAsia" w:ascii="仿宋_GB2312" w:hAnsi="仿宋_GB2312" w:eastAsia="仿宋_GB2312" w:cs="仿宋_GB2312"/>
          <w:color w:val="000000" w:themeColor="text1"/>
          <w:sz w:val="24"/>
          <w:highlight w:val="none"/>
          <w14:textFill>
            <w14:solidFill>
              <w14:schemeClr w14:val="tx1"/>
            </w14:solidFill>
          </w14:textFill>
        </w:rPr>
        <w:t>完毕；租金以</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腾退</w:t>
      </w:r>
      <w:r>
        <w:rPr>
          <w:rFonts w:hint="eastAsia" w:ascii="仿宋_GB2312" w:hAnsi="仿宋_GB2312" w:eastAsia="仿宋_GB2312" w:cs="仿宋_GB2312"/>
          <w:color w:val="000000" w:themeColor="text1"/>
          <w:sz w:val="24"/>
          <w:highlight w:val="none"/>
          <w14:textFill>
            <w14:solidFill>
              <w14:schemeClr w14:val="tx1"/>
            </w14:solidFill>
          </w14:textFill>
        </w:rPr>
        <w:t>当天按实结算，多退（无息）少补。因乙方原因导致本合同提前解除的，乙方的腾退交还房屋期限为：合同提前解除之当日。</w:t>
      </w:r>
    </w:p>
    <w:p w14:paraId="066F6E23">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（1）在乙方的腾退交还房屋期限内，乙方应与甲方结清所有应付的款项，提供甲方认可的完成或办理以该房屋地址作为乙方相关准证（包括但不限于营业执照等）之注册地址的搬离或注销手续的书面证明文件，</w:t>
      </w:r>
      <w:r>
        <w:rPr>
          <w:rFonts w:hint="eastAsia" w:ascii="仿宋_GB2312" w:hAnsi="仿宋_GB2312" w:eastAsia="仿宋_GB2312" w:cs="仿宋_GB2312"/>
          <w:color w:val="000000" w:themeColor="text1"/>
          <w:sz w:val="24"/>
          <w:highlight w:val="none"/>
          <w14:textFill>
            <w14:solidFill>
              <w14:schemeClr w14:val="tx1"/>
            </w14:solidFill>
          </w14:textFill>
        </w:rPr>
        <w:t>并将房屋恢复至甲方交付时状态或</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甲乙双方协商一致的</w:t>
      </w:r>
      <w:r>
        <w:rPr>
          <w:rFonts w:hint="eastAsia" w:ascii="仿宋_GB2312" w:hAnsi="仿宋_GB2312" w:eastAsia="仿宋_GB2312" w:cs="仿宋_GB2312"/>
          <w:color w:val="000000" w:themeColor="text1"/>
          <w:sz w:val="24"/>
          <w:highlight w:val="none"/>
          <w14:textFill>
            <w14:solidFill>
              <w14:schemeClr w14:val="tx1"/>
            </w14:solidFill>
          </w14:textFill>
        </w:rPr>
        <w:t>标准。</w:t>
      </w:r>
      <w:r>
        <w:rPr>
          <w:rFonts w:hint="eastAsia" w:ascii="仿宋_GB2312" w:hAnsi="仿宋_GB2312" w:eastAsia="仿宋_GB2312" w:cs="仿宋_GB2312"/>
          <w:color w:val="000000" w:themeColor="text1"/>
          <w:sz w:val="24"/>
          <w:highlight w:val="none"/>
          <w14:textFill>
            <w14:solidFill>
              <w14:schemeClr w14:val="tx1"/>
            </w14:solidFill>
          </w14:textFill>
        </w:rPr>
        <w:t>乙方于迁出租赁</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房屋</w:t>
      </w:r>
      <w:r>
        <w:rPr>
          <w:rFonts w:hint="eastAsia" w:ascii="仿宋_GB2312" w:hAnsi="仿宋_GB2312" w:eastAsia="仿宋_GB2312" w:cs="仿宋_GB2312"/>
          <w:color w:val="000000" w:themeColor="text1"/>
          <w:sz w:val="24"/>
          <w:highlight w:val="none"/>
          <w14:textFill>
            <w14:solidFill>
              <w14:schemeClr w14:val="tx1"/>
            </w14:solidFill>
          </w14:textFill>
        </w:rPr>
        <w:t>的过程中，不得拆除或损坏租赁</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房屋</w:t>
      </w:r>
      <w:r>
        <w:rPr>
          <w:rFonts w:hint="eastAsia" w:ascii="仿宋_GB2312" w:hAnsi="仿宋_GB2312" w:eastAsia="仿宋_GB2312" w:cs="仿宋_GB2312"/>
          <w:color w:val="000000" w:themeColor="text1"/>
          <w:sz w:val="24"/>
          <w:highlight w:val="none"/>
          <w14:textFill>
            <w14:solidFill>
              <w14:schemeClr w14:val="tx1"/>
            </w14:solidFill>
          </w14:textFill>
        </w:rPr>
        <w:t>及甲方提供的任何设施设备，不得拆除或损坏任何可能损害建筑结构和安全的设施设备。甲方对房屋进行验收结束、收到该房屋所有钥匙、门禁卡等，且双方签署《房屋验收交接单》后视为乙方履行了将房屋返还甲方的义务。乙方在交还租赁</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房屋</w:t>
      </w:r>
      <w:r>
        <w:rPr>
          <w:rFonts w:hint="eastAsia" w:ascii="仿宋_GB2312" w:hAnsi="仿宋_GB2312" w:eastAsia="仿宋_GB2312" w:cs="仿宋_GB2312"/>
          <w:color w:val="000000" w:themeColor="text1"/>
          <w:sz w:val="24"/>
          <w:highlight w:val="none"/>
          <w14:textFill>
            <w14:solidFill>
              <w14:schemeClr w14:val="tx1"/>
            </w14:solidFill>
          </w14:textFill>
        </w:rPr>
        <w:t>时应该恢复至甲方交付时的状态或</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甲乙双方协商一致的</w:t>
      </w:r>
      <w:r>
        <w:rPr>
          <w:rFonts w:hint="eastAsia" w:ascii="仿宋_GB2312" w:hAnsi="仿宋_GB2312" w:eastAsia="仿宋_GB2312" w:cs="仿宋_GB2312"/>
          <w:color w:val="000000" w:themeColor="text1"/>
          <w:sz w:val="24"/>
          <w:highlight w:val="none"/>
          <w14:textFill>
            <w14:solidFill>
              <w14:schemeClr w14:val="tx1"/>
            </w14:solidFill>
          </w14:textFill>
        </w:rPr>
        <w:t>标准而不予恢复的，甲方有权自行委托别人恢复，所有费用甲方有权向乙方追索。</w:t>
      </w:r>
    </w:p>
    <w:p w14:paraId="7B80CB14">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（2）若乙方在腾退交还房屋期限内</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腾退</w:t>
      </w:r>
      <w:r>
        <w:rPr>
          <w:rFonts w:hint="eastAsia" w:ascii="仿宋_GB2312" w:hAnsi="仿宋_GB2312" w:eastAsia="仿宋_GB2312" w:cs="仿宋_GB2312"/>
          <w:color w:val="000000" w:themeColor="text1"/>
          <w:sz w:val="24"/>
          <w:highlight w:val="none"/>
          <w14:textFill>
            <w14:solidFill>
              <w14:schemeClr w14:val="tx1"/>
            </w14:solidFill>
          </w14:textFill>
        </w:rPr>
        <w:t>房屋存在困难，应提前向甲方提出书面申请，经甲方书面同意后，乙方应当在甲方给予的</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腾退</w:t>
      </w:r>
      <w:r>
        <w:rPr>
          <w:rFonts w:hint="eastAsia" w:ascii="仿宋_GB2312" w:hAnsi="仿宋_GB2312" w:eastAsia="仿宋_GB2312" w:cs="仿宋_GB2312"/>
          <w:color w:val="000000" w:themeColor="text1"/>
          <w:sz w:val="24"/>
          <w:highlight w:val="none"/>
          <w14:textFill>
            <w14:solidFill>
              <w14:schemeClr w14:val="tx1"/>
            </w14:solidFill>
          </w14:textFill>
        </w:rPr>
        <w:t>宽限期内进行</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腾退</w:t>
      </w:r>
      <w:r>
        <w:rPr>
          <w:rFonts w:hint="eastAsia" w:ascii="仿宋_GB2312" w:hAnsi="仿宋_GB2312" w:eastAsia="仿宋_GB2312" w:cs="仿宋_GB2312"/>
          <w:color w:val="000000" w:themeColor="text1"/>
          <w:sz w:val="24"/>
          <w:highlight w:val="none"/>
          <w14:textFill>
            <w14:solidFill>
              <w14:schemeClr w14:val="tx1"/>
            </w14:solidFill>
          </w14:textFill>
        </w:rPr>
        <w:t>，房屋占用费按原租金标准执行；若乙方未按时</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腾退</w:t>
      </w:r>
      <w:r>
        <w:rPr>
          <w:rFonts w:hint="eastAsia" w:ascii="仿宋_GB2312" w:hAnsi="仿宋_GB2312" w:eastAsia="仿宋_GB2312" w:cs="仿宋_GB2312"/>
          <w:color w:val="000000" w:themeColor="text1"/>
          <w:sz w:val="24"/>
          <w:highlight w:val="none"/>
          <w14:textFill>
            <w14:solidFill>
              <w14:schemeClr w14:val="tx1"/>
            </w14:solidFill>
          </w14:textFill>
        </w:rPr>
        <w:t>或未在甲方允许的宽限期内</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腾退</w:t>
      </w:r>
      <w:r>
        <w:rPr>
          <w:rFonts w:hint="eastAsia" w:ascii="仿宋_GB2312" w:hAnsi="仿宋_GB2312" w:eastAsia="仿宋_GB2312" w:cs="仿宋_GB2312"/>
          <w:color w:val="000000" w:themeColor="text1"/>
          <w:sz w:val="24"/>
          <w:highlight w:val="none"/>
          <w14:textFill>
            <w14:solidFill>
              <w14:schemeClr w14:val="tx1"/>
            </w14:solidFill>
          </w14:textFill>
        </w:rPr>
        <w:t>返还租赁房屋的，自腾退交还房屋期限届满之日或宽限期届满之日起，每日乙方应按合同终止或解除前日租金标准的二倍向甲方支付房屋占用费，并赔偿甲方因逾期收回房屋而遭受的其他损失，包括但不限于招租费用、法律服务费用、甲方因迟延向新租户交付租赁房屋而需承担的违约金等。</w:t>
      </w:r>
    </w:p>
    <w:p w14:paraId="112821BE">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6</w:t>
      </w:r>
      <w:r>
        <w:rPr>
          <w:rFonts w:hint="eastAsia" w:ascii="仿宋_GB2312" w:hAnsi="仿宋_GB2312" w:eastAsia="仿宋_GB2312" w:cs="仿宋_GB2312"/>
          <w:color w:val="000000" w:themeColor="text1"/>
          <w:sz w:val="24"/>
          <w:highlight w:val="none"/>
          <w14:textFill>
            <w14:solidFill>
              <w14:schemeClr w14:val="tx1"/>
            </w14:solidFill>
          </w14:textFill>
        </w:rPr>
        <w:t>.2、乙方须把租赁房屋连同其所有的（包括该房屋上一任租赁客户所留存的装修工程，如有）附属设施、装置、附加物等均须按本合同规定以本合同附件2《租赁</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房屋</w:t>
      </w:r>
      <w:r>
        <w:rPr>
          <w:rFonts w:hint="eastAsia" w:ascii="仿宋_GB2312" w:hAnsi="仿宋_GB2312" w:eastAsia="仿宋_GB2312" w:cs="仿宋_GB2312"/>
          <w:color w:val="000000" w:themeColor="text1"/>
          <w:sz w:val="24"/>
          <w:highlight w:val="none"/>
          <w14:textFill>
            <w14:solidFill>
              <w14:schemeClr w14:val="tx1"/>
            </w14:solidFill>
          </w14:textFill>
        </w:rPr>
        <w:t>交付条件》约定的状态交还甲方，交还时须经甲方认可，并由乙方承担一切的费用。若甲方发现交还的租赁</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房屋</w:t>
      </w:r>
      <w:r>
        <w:rPr>
          <w:rFonts w:hint="eastAsia" w:ascii="仿宋_GB2312" w:hAnsi="仿宋_GB2312" w:eastAsia="仿宋_GB2312" w:cs="仿宋_GB2312"/>
          <w:color w:val="000000" w:themeColor="text1"/>
          <w:sz w:val="24"/>
          <w:highlight w:val="none"/>
          <w14:textFill>
            <w14:solidFill>
              <w14:schemeClr w14:val="tx1"/>
            </w14:solidFill>
          </w14:textFill>
        </w:rPr>
        <w:t>建筑结构状况与甲方交付时的结构状况不同的，或建筑结构、消防系统及甲方提供的其他设施或设备有损坏的（使用期间的合理损耗除外），乙方应负责恢复原状或赔偿损失，并承担所有相关的费用；若在交还甲方后经鉴定发现系乙方租赁期间造成的上述损坏，甲方有权要求乙方恢复原状或赔偿损失。</w:t>
      </w:r>
    </w:p>
    <w:p w14:paraId="55233E83">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6</w:t>
      </w:r>
      <w:r>
        <w:rPr>
          <w:rFonts w:hint="eastAsia" w:ascii="仿宋_GB2312" w:hAnsi="仿宋_GB2312" w:eastAsia="仿宋_GB2312" w:cs="仿宋_GB2312"/>
          <w:color w:val="000000" w:themeColor="text1"/>
          <w:sz w:val="24"/>
          <w:highlight w:val="none"/>
          <w14:textFill>
            <w14:solidFill>
              <w14:schemeClr w14:val="tx1"/>
            </w14:solidFill>
          </w14:textFill>
        </w:rPr>
        <w:t>.3、乙方对该房屋作出任何修建，或安装任何附属物、装置、附加物，即使该等装修、改建或安装已得到甲方的书面同意，甲方仍有权要求乙方在返还该房屋给甲方之前，复原、移去或拆走该等改建、附属物、装置及附加物或其任何部分，并要求乙方承担一切的费用。</w:t>
      </w:r>
    </w:p>
    <w:p w14:paraId="3D329E65">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6</w:t>
      </w:r>
      <w:r>
        <w:rPr>
          <w:rFonts w:hint="eastAsia" w:ascii="仿宋_GB2312" w:hAnsi="仿宋_GB2312" w:eastAsia="仿宋_GB2312" w:cs="仿宋_GB2312"/>
          <w:color w:val="000000" w:themeColor="text1"/>
          <w:sz w:val="24"/>
          <w:highlight w:val="none"/>
          <w14:textFill>
            <w14:solidFill>
              <w14:schemeClr w14:val="tx1"/>
            </w14:solidFill>
          </w14:textFill>
        </w:rPr>
        <w:t>.4、乙方逾期腾退房屋的，甲方有权采取下列行为：</w:t>
      </w:r>
    </w:p>
    <w:p w14:paraId="63FB5EE0">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6</w:t>
      </w:r>
      <w:r>
        <w:rPr>
          <w:rFonts w:hint="eastAsia" w:ascii="仿宋_GB2312" w:hAnsi="仿宋_GB2312" w:eastAsia="仿宋_GB2312" w:cs="仿宋_GB2312"/>
          <w:color w:val="000000" w:themeColor="text1"/>
          <w:sz w:val="24"/>
          <w:highlight w:val="none"/>
          <w14:textFill>
            <w14:solidFill>
              <w14:schemeClr w14:val="tx1"/>
            </w14:solidFill>
          </w14:textFill>
        </w:rPr>
        <w:t>.4.1、乙方逾期腾退达</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15</w:t>
      </w:r>
      <w:r>
        <w:rPr>
          <w:rFonts w:hint="eastAsia" w:ascii="仿宋_GB2312" w:hAnsi="仿宋_GB2312" w:eastAsia="仿宋_GB2312" w:cs="仿宋_GB2312"/>
          <w:color w:val="000000" w:themeColor="text1"/>
          <w:sz w:val="24"/>
          <w:highlight w:val="none"/>
          <w14:textFill>
            <w14:solidFill>
              <w14:schemeClr w14:val="tx1"/>
            </w14:solidFill>
          </w14:textFill>
        </w:rPr>
        <w:t>天以上，则视为乙方放弃该房屋内遗留物品的包括所有权在内的一切权利，甲方可采取强制手段关闭营业入口、停止供水供电以及任意方式处置该房屋内的所有物品，处置方式包括但不限于变卖、丢弃、搬离等，处置所得归甲方所有。</w:t>
      </w:r>
    </w:p>
    <w:p w14:paraId="44C183BE">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6</w:t>
      </w:r>
      <w:r>
        <w:rPr>
          <w:rFonts w:hint="eastAsia" w:ascii="仿宋_GB2312" w:hAnsi="仿宋_GB2312" w:eastAsia="仿宋_GB2312" w:cs="仿宋_GB2312"/>
          <w:color w:val="000000" w:themeColor="text1"/>
          <w:sz w:val="24"/>
          <w:highlight w:val="none"/>
          <w14:textFill>
            <w14:solidFill>
              <w14:schemeClr w14:val="tx1"/>
            </w14:solidFill>
          </w14:textFill>
        </w:rPr>
        <w:t>.4.2、乙方拒不交还租赁</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房屋</w:t>
      </w:r>
      <w:r>
        <w:rPr>
          <w:rFonts w:hint="eastAsia" w:ascii="仿宋_GB2312" w:hAnsi="仿宋_GB2312" w:eastAsia="仿宋_GB2312" w:cs="仿宋_GB2312"/>
          <w:color w:val="000000" w:themeColor="text1"/>
          <w:sz w:val="24"/>
          <w:highlight w:val="none"/>
          <w14:textFill>
            <w14:solidFill>
              <w14:schemeClr w14:val="tx1"/>
            </w14:solidFill>
          </w14:textFill>
        </w:rPr>
        <w:t>的，甲方有权在发出书面强制清场通知后在通知的期限内自行或在公证人员或无关第三人见证之下采取任何必要措施进入租赁</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房屋</w:t>
      </w:r>
      <w:r>
        <w:rPr>
          <w:rFonts w:hint="eastAsia" w:ascii="仿宋_GB2312" w:hAnsi="仿宋_GB2312" w:eastAsia="仿宋_GB2312" w:cs="仿宋_GB2312"/>
          <w:color w:val="000000" w:themeColor="text1"/>
          <w:sz w:val="24"/>
          <w:highlight w:val="none"/>
          <w14:textFill>
            <w14:solidFill>
              <w14:schemeClr w14:val="tx1"/>
            </w14:solidFill>
          </w14:textFill>
        </w:rPr>
        <w:t>（包括但不限于自行进入、封铺等方式），按照</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甲方</w:t>
      </w:r>
      <w:r>
        <w:rPr>
          <w:rFonts w:hint="eastAsia" w:ascii="仿宋_GB2312" w:hAnsi="仿宋_GB2312" w:eastAsia="仿宋_GB2312" w:cs="仿宋_GB2312"/>
          <w:color w:val="000000" w:themeColor="text1"/>
          <w:sz w:val="24"/>
          <w:highlight w:val="none"/>
          <w14:textFill>
            <w14:solidFill>
              <w14:schemeClr w14:val="tx1"/>
            </w14:solidFill>
          </w14:textFill>
        </w:rPr>
        <w:t>认为适当的方式处理乙方遗留在租赁</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房屋</w:t>
      </w:r>
      <w:r>
        <w:rPr>
          <w:rFonts w:hint="eastAsia" w:ascii="仿宋_GB2312" w:hAnsi="仿宋_GB2312" w:eastAsia="仿宋_GB2312" w:cs="仿宋_GB2312"/>
          <w:color w:val="000000" w:themeColor="text1"/>
          <w:sz w:val="24"/>
          <w:highlight w:val="none"/>
          <w14:textFill>
            <w14:solidFill>
              <w14:schemeClr w14:val="tx1"/>
            </w14:solidFill>
          </w14:textFill>
        </w:rPr>
        <w:t>内的物品、货品，以便收回租赁</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房屋</w:t>
      </w:r>
      <w:r>
        <w:rPr>
          <w:rFonts w:hint="eastAsia" w:ascii="仿宋_GB2312" w:hAnsi="仿宋_GB2312" w:eastAsia="仿宋_GB2312" w:cs="仿宋_GB2312"/>
          <w:color w:val="000000" w:themeColor="text1"/>
          <w:sz w:val="24"/>
          <w:highlight w:val="none"/>
          <w14:textFill>
            <w14:solidFill>
              <w14:schemeClr w14:val="tx1"/>
            </w14:solidFill>
          </w14:textFill>
        </w:rPr>
        <w:t>。</w:t>
      </w:r>
    </w:p>
    <w:p w14:paraId="768B81CD">
      <w:pPr>
        <w:pStyle w:val="14"/>
        <w:ind w:firstLine="48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w:t>
      </w:r>
      <w:r>
        <w:rPr>
          <w:rFonts w:hint="eastAsia" w:ascii="仿宋_GB2312" w:hAnsi="仿宋_GB2312" w:eastAsia="仿宋_GB2312" w:cs="仿宋_GB2312"/>
          <w:color w:val="000000" w:themeColor="text1"/>
          <w:highlight w:val="none"/>
          <w:lang w:eastAsia="zh"/>
          <w14:textFill>
            <w14:solidFill>
              <w14:schemeClr w14:val="tx1"/>
            </w14:solidFill>
          </w14:textFill>
        </w:rPr>
        <w:t>6</w:t>
      </w:r>
      <w:r>
        <w:rPr>
          <w:rFonts w:hint="eastAsia" w:ascii="仿宋_GB2312" w:hAnsi="仿宋_GB2312" w:eastAsia="仿宋_GB2312" w:cs="仿宋_GB2312"/>
          <w:color w:val="000000" w:themeColor="text1"/>
          <w:highlight w:val="none"/>
          <w14:textFill>
            <w14:solidFill>
              <w14:schemeClr w14:val="tx1"/>
            </w14:solidFill>
          </w14:textFill>
        </w:rPr>
        <w:t>.4.3、甲方视乙方留存于房屋内之任何物品（包括但不限于办公用品和设备）为乙方废弃物，甲方有权进入该房屋并处置废弃物（如有），乙方同意不向甲方索赔，并承担甲方为清除上述物品的劳务费用、搬运费、仓储费和将房屋恢复原状所支付的费用等。</w:t>
      </w:r>
    </w:p>
    <w:p w14:paraId="6B0127E5">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由此所产生的所有损失，均由乙方自行承担，无权向甲方主张。甲方有权在没收履约保证金的同时，可将前述费用作为乙方的债务向乙方追偿。</w:t>
      </w:r>
    </w:p>
    <w:p w14:paraId="5B2E62A8">
      <w:pPr>
        <w:pStyle w:val="14"/>
        <w:ind w:firstLine="48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1</w:t>
      </w:r>
      <w:r>
        <w:rPr>
          <w:rFonts w:hint="eastAsia" w:ascii="仿宋_GB2312" w:hAnsi="仿宋_GB2312" w:eastAsia="仿宋_GB2312" w:cs="仿宋_GB2312"/>
          <w:color w:val="000000" w:themeColor="text1"/>
          <w:highlight w:val="none"/>
          <w:lang w:eastAsia="zh"/>
          <w14:textFill>
            <w14:solidFill>
              <w14:schemeClr w14:val="tx1"/>
            </w14:solidFill>
          </w14:textFill>
        </w:rPr>
        <w:t>6</w:t>
      </w:r>
      <w:r>
        <w:rPr>
          <w:rFonts w:hint="eastAsia" w:ascii="仿宋_GB2312" w:hAnsi="仿宋_GB2312" w:eastAsia="仿宋_GB2312" w:cs="仿宋_GB2312"/>
          <w:color w:val="000000" w:themeColor="text1"/>
          <w:highlight w:val="none"/>
          <w14:textFill>
            <w14:solidFill>
              <w14:schemeClr w14:val="tx1"/>
            </w14:solidFill>
          </w14:textFill>
        </w:rPr>
        <w:t>.5、乙方违反本条退还租赁</w:t>
      </w:r>
      <w:r>
        <w:rPr>
          <w:rFonts w:hint="eastAsia" w:ascii="仿宋_GB2312" w:hAnsi="仿宋_GB2312" w:eastAsia="仿宋_GB2312" w:cs="仿宋_GB2312"/>
          <w:color w:val="000000" w:themeColor="text1"/>
          <w:highlight w:val="none"/>
          <w:lang w:eastAsia="zh-CN"/>
          <w14:textFill>
            <w14:solidFill>
              <w14:schemeClr w14:val="tx1"/>
            </w14:solidFill>
          </w14:textFill>
        </w:rPr>
        <w:t>房屋</w:t>
      </w:r>
      <w:r>
        <w:rPr>
          <w:rFonts w:hint="eastAsia" w:ascii="仿宋_GB2312" w:hAnsi="仿宋_GB2312" w:eastAsia="仿宋_GB2312" w:cs="仿宋_GB2312"/>
          <w:color w:val="000000" w:themeColor="text1"/>
          <w:highlight w:val="none"/>
          <w14:textFill>
            <w14:solidFill>
              <w14:schemeClr w14:val="tx1"/>
            </w14:solidFill>
          </w14:textFill>
        </w:rPr>
        <w:t>约定义务未及时退还租赁</w:t>
      </w:r>
      <w:r>
        <w:rPr>
          <w:rFonts w:hint="eastAsia" w:ascii="仿宋_GB2312" w:hAnsi="仿宋_GB2312" w:eastAsia="仿宋_GB2312" w:cs="仿宋_GB2312"/>
          <w:color w:val="000000" w:themeColor="text1"/>
          <w:highlight w:val="none"/>
          <w:lang w:eastAsia="zh-CN"/>
          <w14:textFill>
            <w14:solidFill>
              <w14:schemeClr w14:val="tx1"/>
            </w14:solidFill>
          </w14:textFill>
        </w:rPr>
        <w:t>房屋</w:t>
      </w:r>
      <w:r>
        <w:rPr>
          <w:rFonts w:hint="eastAsia" w:ascii="仿宋_GB2312" w:hAnsi="仿宋_GB2312" w:eastAsia="仿宋_GB2312" w:cs="仿宋_GB2312"/>
          <w:color w:val="000000" w:themeColor="text1"/>
          <w:highlight w:val="none"/>
          <w14:textFill>
            <w14:solidFill>
              <w14:schemeClr w14:val="tx1"/>
            </w14:solidFill>
          </w14:textFill>
        </w:rPr>
        <w:t>的或租赁</w:t>
      </w:r>
      <w:r>
        <w:rPr>
          <w:rFonts w:hint="eastAsia" w:ascii="仿宋_GB2312" w:hAnsi="仿宋_GB2312" w:eastAsia="仿宋_GB2312" w:cs="仿宋_GB2312"/>
          <w:color w:val="000000" w:themeColor="text1"/>
          <w:highlight w:val="none"/>
          <w:lang w:eastAsia="zh-CN"/>
          <w14:textFill>
            <w14:solidFill>
              <w14:schemeClr w14:val="tx1"/>
            </w14:solidFill>
          </w14:textFill>
        </w:rPr>
        <w:t>房屋</w:t>
      </w:r>
      <w:r>
        <w:rPr>
          <w:rFonts w:hint="eastAsia" w:ascii="仿宋_GB2312" w:hAnsi="仿宋_GB2312" w:eastAsia="仿宋_GB2312" w:cs="仿宋_GB2312"/>
          <w:color w:val="000000" w:themeColor="text1"/>
          <w:highlight w:val="none"/>
          <w14:textFill>
            <w14:solidFill>
              <w14:schemeClr w14:val="tx1"/>
            </w14:solidFill>
          </w14:textFill>
        </w:rPr>
        <w:t>退还状态未经甲方验收合格的，甲方有权要求乙方按当期租金标准支付三个月的租金作为违约金。</w:t>
      </w:r>
    </w:p>
    <w:p w14:paraId="30EAAD9F">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6</w:t>
      </w:r>
      <w:r>
        <w:rPr>
          <w:rFonts w:hint="eastAsia" w:ascii="仿宋_GB2312" w:hAnsi="仿宋_GB2312" w:eastAsia="仿宋_GB2312" w:cs="仿宋_GB2312"/>
          <w:color w:val="000000" w:themeColor="text1"/>
          <w:sz w:val="24"/>
          <w:highlight w:val="none"/>
          <w14:textFill>
            <w14:solidFill>
              <w14:schemeClr w14:val="tx1"/>
            </w14:solidFill>
          </w14:textFill>
        </w:rPr>
        <w:t>.6、租赁期满或本合同因任何原因解除的，乙方应在腾退交还房屋期限届满前向甲方提供甲方认可的完成或办理以该房屋地址作为乙方相关准证（包括但不限于营业执照、税务登记证）之注册地址的搬离或注销手续的证明文件。否则，甲方有权没收本合同项下的履约保证金。若因乙方未按期完成证照注销，导致甲方无法将房屋出租给新租户或给甲方造成其他损失的，乙方应承担全部赔偿责任，甲方有权从履约保证金中直接扣除，不足部分有权继续追偿。</w:t>
      </w:r>
    </w:p>
    <w:p w14:paraId="1B83A359">
      <w:pPr>
        <w:adjustRightInd w:val="0"/>
        <w:snapToGrid w:val="0"/>
        <w:spacing w:line="360" w:lineRule="auto"/>
        <w:ind w:firstLine="482" w:firstLineChars="200"/>
        <w:outlineLvl w:val="0"/>
        <w:rPr>
          <w:rFonts w:hint="eastAsia"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第十</w:t>
      </w:r>
      <w:r>
        <w:rPr>
          <w:rFonts w:hint="eastAsia" w:ascii="仿宋_GB2312" w:hAnsi="仿宋_GB2312" w:eastAsia="仿宋_GB2312" w:cs="仿宋_GB2312"/>
          <w:b/>
          <w:bCs/>
          <w:color w:val="000000" w:themeColor="text1"/>
          <w:sz w:val="24"/>
          <w:highlight w:val="none"/>
          <w:lang w:eastAsia="zh"/>
          <w14:textFill>
            <w14:solidFill>
              <w14:schemeClr w14:val="tx1"/>
            </w14:solidFill>
          </w14:textFill>
        </w:rPr>
        <w:t>七</w:t>
      </w:r>
      <w:r>
        <w:rPr>
          <w:rFonts w:hint="eastAsia" w:ascii="仿宋_GB2312" w:hAnsi="仿宋_GB2312" w:eastAsia="仿宋_GB2312" w:cs="仿宋_GB2312"/>
          <w:b/>
          <w:bCs/>
          <w:color w:val="000000" w:themeColor="text1"/>
          <w:sz w:val="24"/>
          <w:highlight w:val="none"/>
          <w14:textFill>
            <w14:solidFill>
              <w14:schemeClr w14:val="tx1"/>
            </w14:solidFill>
          </w14:textFill>
        </w:rPr>
        <w:t>条  通知与送达</w:t>
      </w:r>
    </w:p>
    <w:p w14:paraId="13C4C831">
      <w:pPr>
        <w:spacing w:line="360" w:lineRule="auto"/>
        <w:ind w:firstLine="480" w:firstLineChars="200"/>
        <w:jc w:val="left"/>
        <w:rPr>
          <w:rFonts w:hint="eastAsia" w:ascii="仿宋" w:hAnsi="仿宋" w:eastAsia="仿宋"/>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7</w:t>
      </w:r>
      <w:r>
        <w:rPr>
          <w:rFonts w:hint="eastAsia" w:ascii="仿宋_GB2312" w:hAnsi="仿宋_GB2312" w:eastAsia="仿宋_GB2312" w:cs="仿宋_GB2312"/>
          <w:color w:val="000000" w:themeColor="text1"/>
          <w:sz w:val="24"/>
          <w:highlight w:val="none"/>
          <w14:textFill>
            <w14:solidFill>
              <w14:schemeClr w14:val="tx1"/>
            </w14:solidFill>
          </w14:textFill>
        </w:rPr>
        <w:t>.1、本合同的任何一方发出的通知，应以书面形式通过专人、快递、邮寄（包括挂号信或EMS）或传真送达。通知的送达日期按下列原则确定：以邮寄方式发送的通知，</w:t>
      </w:r>
      <w:r>
        <w:rPr>
          <w:rFonts w:hint="eastAsia" w:ascii="仿宋" w:hAnsi="仿宋" w:eastAsia="仿宋"/>
          <w:bCs/>
          <w:color w:val="000000" w:themeColor="text1"/>
          <w:sz w:val="24"/>
          <w:highlight w:val="none"/>
          <w14:textFill>
            <w14:solidFill>
              <w14:schemeClr w14:val="tx1"/>
            </w14:solidFill>
          </w14:textFill>
        </w:rPr>
        <w:t>若在三日内签收，则以签收日期作为送达日；若三日不签收，则以第三日作为送达日</w:t>
      </w:r>
      <w:r>
        <w:rPr>
          <w:rFonts w:hint="eastAsia" w:ascii="仿宋_GB2312" w:hAnsi="仿宋_GB2312" w:eastAsia="仿宋_GB2312" w:cs="仿宋_GB2312"/>
          <w:color w:val="000000" w:themeColor="text1"/>
          <w:sz w:val="24"/>
          <w:highlight w:val="none"/>
          <w14:textFill>
            <w14:solidFill>
              <w14:schemeClr w14:val="tx1"/>
            </w14:solidFill>
          </w14:textFill>
        </w:rPr>
        <w:t>。</w:t>
      </w:r>
      <w:r>
        <w:rPr>
          <w:rFonts w:hint="eastAsia" w:ascii="仿宋" w:hAnsi="仿宋" w:eastAsia="仿宋"/>
          <w:bCs/>
          <w:color w:val="000000" w:themeColor="text1"/>
          <w:sz w:val="24"/>
          <w:highlight w:val="none"/>
          <w14:textFill>
            <w14:solidFill>
              <w14:schemeClr w14:val="tx1"/>
            </w14:solidFill>
          </w14:textFill>
        </w:rPr>
        <w:t>甲方依法主张解除合同的，合同自通知到达乙方时解除；通知载明乙方在一定期限内不履行债务则合同自动解除，乙方在该期限内未履行债务的，合同自通知载明的期限届满时解除。</w:t>
      </w:r>
    </w:p>
    <w:p w14:paraId="32AF1FAF">
      <w:pPr>
        <w:spacing w:line="360" w:lineRule="auto"/>
        <w:ind w:firstLine="480" w:firstLineChars="200"/>
        <w:jc w:val="left"/>
        <w:rPr>
          <w:rFonts w:hint="eastAsia"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如乙方未通知地址变更导致送达不能或约定地址无人接收通知或信件的，则在甲方向约定地址寄送通知之日（以寄送单载明的日期为准）起第三天视为送达。</w:t>
      </w:r>
    </w:p>
    <w:p w14:paraId="43935212">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7</w:t>
      </w:r>
      <w:r>
        <w:rPr>
          <w:rFonts w:hint="eastAsia" w:ascii="仿宋_GB2312" w:hAnsi="仿宋_GB2312" w:eastAsia="仿宋_GB2312" w:cs="仿宋_GB2312"/>
          <w:color w:val="000000" w:themeColor="text1"/>
          <w:sz w:val="24"/>
          <w:highlight w:val="none"/>
          <w14:textFill>
            <w14:solidFill>
              <w14:schemeClr w14:val="tx1"/>
            </w14:solidFill>
          </w14:textFill>
        </w:rPr>
        <w:t>.2、给甲方的上述书面通知应按照如下地址发送：</w:t>
      </w:r>
    </w:p>
    <w:p w14:paraId="2CDBB763">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收件人：</w:t>
      </w:r>
    </w:p>
    <w:p w14:paraId="3DDEA797">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地址：</w:t>
      </w:r>
    </w:p>
    <w:p w14:paraId="1EA8368D">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电话：</w:t>
      </w:r>
    </w:p>
    <w:p w14:paraId="4024A884">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7</w:t>
      </w:r>
      <w:r>
        <w:rPr>
          <w:rFonts w:hint="eastAsia" w:ascii="仿宋_GB2312" w:hAnsi="仿宋_GB2312" w:eastAsia="仿宋_GB2312" w:cs="仿宋_GB2312"/>
          <w:color w:val="000000" w:themeColor="text1"/>
          <w:sz w:val="24"/>
          <w:highlight w:val="none"/>
          <w14:textFill>
            <w14:solidFill>
              <w14:schemeClr w14:val="tx1"/>
            </w14:solidFill>
          </w14:textFill>
        </w:rPr>
        <w:t>.3、给乙方的上述书面通知应按照如下地址发送：</w:t>
      </w:r>
    </w:p>
    <w:p w14:paraId="641AFCA8">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收件人：    </w:t>
      </w:r>
    </w:p>
    <w:p w14:paraId="7443EB59">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地址：</w:t>
      </w:r>
    </w:p>
    <w:p w14:paraId="35C076EA">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电话：</w:t>
      </w:r>
    </w:p>
    <w:p w14:paraId="1FC0DC09">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7</w:t>
      </w:r>
      <w:r>
        <w:rPr>
          <w:rFonts w:hint="eastAsia" w:ascii="仿宋_GB2312" w:hAnsi="仿宋_GB2312" w:eastAsia="仿宋_GB2312" w:cs="仿宋_GB2312"/>
          <w:color w:val="000000" w:themeColor="text1"/>
          <w:sz w:val="24"/>
          <w:highlight w:val="none"/>
          <w14:textFill>
            <w14:solidFill>
              <w14:schemeClr w14:val="tx1"/>
            </w14:solidFill>
          </w14:textFill>
        </w:rPr>
        <w:t>.4、但在该房屋交付日后，乙方同意，甲方有权选择将上述给乙方的书面通知发送至该租赁房屋地址。</w:t>
      </w:r>
    </w:p>
    <w:p w14:paraId="039B43C3">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7</w:t>
      </w:r>
      <w:r>
        <w:rPr>
          <w:rFonts w:hint="eastAsia" w:ascii="仿宋_GB2312" w:hAnsi="仿宋_GB2312" w:eastAsia="仿宋_GB2312" w:cs="仿宋_GB2312"/>
          <w:color w:val="000000" w:themeColor="text1"/>
          <w:sz w:val="24"/>
          <w:highlight w:val="none"/>
          <w14:textFill>
            <w14:solidFill>
              <w14:schemeClr w14:val="tx1"/>
            </w14:solidFill>
          </w14:textFill>
        </w:rPr>
        <w:t>.5、双方在合同中写明的通讯地址、联系电话和联系人视为本合同项下，合同双方有效的送达地址。如送达约定中任何内容发生变化，需提前三个工作日内以书面《送达地址变更函》的方式及时通知另一方当事人。如因一方约定联系方式变更后未及时通知另一方，导致另一方发出的通知无法按时送达，或者在收件地址未变更的情况下，书面通知被以任何原因退回的，退回之日视为送达之日，相应责任由未及时通知约定联系方式变更的责任方承担。该送达方式同样适用于司法机关、仲裁机构的法律文书送达。</w:t>
      </w:r>
    </w:p>
    <w:p w14:paraId="20BC607B">
      <w:pPr>
        <w:adjustRightInd w:val="0"/>
        <w:snapToGrid w:val="0"/>
        <w:spacing w:line="360" w:lineRule="auto"/>
        <w:ind w:firstLine="482" w:firstLineChars="200"/>
        <w:outlineLvl w:val="0"/>
        <w:rPr>
          <w:rFonts w:hint="eastAsia"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第十</w:t>
      </w:r>
      <w:r>
        <w:rPr>
          <w:rFonts w:hint="eastAsia" w:ascii="仿宋_GB2312" w:hAnsi="仿宋_GB2312" w:eastAsia="仿宋_GB2312" w:cs="仿宋_GB2312"/>
          <w:b/>
          <w:bCs/>
          <w:color w:val="000000" w:themeColor="text1"/>
          <w:sz w:val="24"/>
          <w:highlight w:val="none"/>
          <w:lang w:eastAsia="zh"/>
          <w14:textFill>
            <w14:solidFill>
              <w14:schemeClr w14:val="tx1"/>
            </w14:solidFill>
          </w14:textFill>
        </w:rPr>
        <w:t>八</w:t>
      </w:r>
      <w:r>
        <w:rPr>
          <w:rFonts w:hint="eastAsia" w:ascii="仿宋_GB2312" w:hAnsi="仿宋_GB2312" w:eastAsia="仿宋_GB2312" w:cs="仿宋_GB2312"/>
          <w:b/>
          <w:bCs/>
          <w:color w:val="000000" w:themeColor="text1"/>
          <w:sz w:val="24"/>
          <w:highlight w:val="none"/>
          <w14:textFill>
            <w14:solidFill>
              <w14:schemeClr w14:val="tx1"/>
            </w14:solidFill>
          </w14:textFill>
        </w:rPr>
        <w:t>条  合同争议处理方式</w:t>
      </w:r>
    </w:p>
    <w:p w14:paraId="75FD95F1">
      <w:pPr>
        <w:adjustRightInd w:val="0"/>
        <w:snapToGrid w:val="0"/>
        <w:spacing w:line="360" w:lineRule="auto"/>
        <w:ind w:firstLine="480" w:firstLineChars="200"/>
        <w:outlineLvl w:val="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因履行本合同发生的争议，由当事人协商解决，协商不成的依法向房屋所在地人民法院起诉。</w:t>
      </w:r>
    </w:p>
    <w:p w14:paraId="6F83400E">
      <w:pPr>
        <w:adjustRightInd w:val="0"/>
        <w:snapToGrid w:val="0"/>
        <w:spacing w:line="360" w:lineRule="auto"/>
        <w:ind w:firstLine="482" w:firstLineChars="200"/>
        <w:outlineLvl w:val="0"/>
        <w:rPr>
          <w:rFonts w:hint="eastAsia"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第十</w:t>
      </w:r>
      <w:r>
        <w:rPr>
          <w:rFonts w:hint="eastAsia" w:ascii="仿宋_GB2312" w:hAnsi="仿宋_GB2312" w:eastAsia="仿宋_GB2312" w:cs="仿宋_GB2312"/>
          <w:b/>
          <w:bCs/>
          <w:color w:val="000000" w:themeColor="text1"/>
          <w:sz w:val="24"/>
          <w:highlight w:val="none"/>
          <w:lang w:eastAsia="zh"/>
          <w14:textFill>
            <w14:solidFill>
              <w14:schemeClr w14:val="tx1"/>
            </w14:solidFill>
          </w14:textFill>
        </w:rPr>
        <w:t>九</w:t>
      </w:r>
      <w:r>
        <w:rPr>
          <w:rFonts w:hint="eastAsia" w:ascii="仿宋_GB2312" w:hAnsi="仿宋_GB2312" w:eastAsia="仿宋_GB2312" w:cs="仿宋_GB2312"/>
          <w:b/>
          <w:bCs/>
          <w:color w:val="000000" w:themeColor="text1"/>
          <w:sz w:val="24"/>
          <w:highlight w:val="none"/>
          <w14:textFill>
            <w14:solidFill>
              <w14:schemeClr w14:val="tx1"/>
            </w14:solidFill>
          </w14:textFill>
        </w:rPr>
        <w:t>条  其他</w:t>
      </w:r>
    </w:p>
    <w:p w14:paraId="593A6103">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9</w:t>
      </w:r>
      <w:r>
        <w:rPr>
          <w:rFonts w:hint="eastAsia" w:ascii="仿宋_GB2312" w:hAnsi="仿宋_GB2312" w:eastAsia="仿宋_GB2312" w:cs="仿宋_GB2312"/>
          <w:color w:val="000000" w:themeColor="text1"/>
          <w:sz w:val="24"/>
          <w:highlight w:val="none"/>
          <w14:textFill>
            <w14:solidFill>
              <w14:schemeClr w14:val="tx1"/>
            </w14:solidFill>
          </w14:textFill>
        </w:rPr>
        <w:t>.1、本合同的订立、履行和争议的解决均适用中华人民共和国的法律法规（不包括港澳台法律法规）。</w:t>
      </w:r>
    </w:p>
    <w:p w14:paraId="087C6C97">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9</w:t>
      </w:r>
      <w:r>
        <w:rPr>
          <w:rFonts w:hint="eastAsia" w:ascii="仿宋_GB2312" w:hAnsi="仿宋_GB2312" w:eastAsia="仿宋_GB2312" w:cs="仿宋_GB2312"/>
          <w:color w:val="000000" w:themeColor="text1"/>
          <w:sz w:val="24"/>
          <w:highlight w:val="none"/>
          <w14:textFill>
            <w14:solidFill>
              <w14:schemeClr w14:val="tx1"/>
            </w14:solidFill>
          </w14:textFill>
        </w:rPr>
        <w:t>.2、本合同未尽事宜，经甲、乙双方协商一致，可另行订立补充协议。补充协议与本合同具备同等法律效力。</w:t>
      </w:r>
    </w:p>
    <w:p w14:paraId="61A504C5">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r>
        <w:rPr>
          <w:rFonts w:hint="eastAsia" w:ascii="仿宋_GB2312" w:hAnsi="仿宋_GB2312" w:eastAsia="仿宋_GB2312" w:cs="仿宋_GB2312"/>
          <w:color w:val="000000" w:themeColor="text1"/>
          <w:sz w:val="24"/>
          <w:highlight w:val="none"/>
          <w:lang w:eastAsia="zh"/>
          <w14:textFill>
            <w14:solidFill>
              <w14:schemeClr w14:val="tx1"/>
            </w14:solidFill>
          </w14:textFill>
        </w:rPr>
        <w:t>9</w:t>
      </w:r>
      <w:r>
        <w:rPr>
          <w:rFonts w:hint="eastAsia" w:ascii="仿宋_GB2312" w:hAnsi="仿宋_GB2312" w:eastAsia="仿宋_GB2312" w:cs="仿宋_GB2312"/>
          <w:color w:val="000000" w:themeColor="text1"/>
          <w:sz w:val="24"/>
          <w:highlight w:val="none"/>
          <w14:textFill>
            <w14:solidFill>
              <w14:schemeClr w14:val="tx1"/>
            </w14:solidFill>
          </w14:textFill>
        </w:rPr>
        <w:t>.3、</w:t>
      </w:r>
      <w:r>
        <w:rPr>
          <w:rFonts w:hint="eastAsia" w:ascii="仿宋_GB2312" w:hAnsi="仿宋_GB2312" w:eastAsia="仿宋_GB2312" w:cs="仿宋_GB2312"/>
          <w:color w:val="000000" w:themeColor="text1"/>
          <w:kern w:val="0"/>
          <w:sz w:val="24"/>
          <w:highlight w:val="none"/>
          <w14:textFill>
            <w14:solidFill>
              <w14:schemeClr w14:val="tx1"/>
            </w14:solidFill>
          </w14:textFill>
        </w:rPr>
        <w:t>本合同附件作为本合同不可分割的组成部分，与本合同具有同等法律效力。</w:t>
      </w:r>
    </w:p>
    <w:p w14:paraId="18DC61C3">
      <w:pPr>
        <w:adjustRightInd w:val="0"/>
        <w:snapToGrid w:val="0"/>
        <w:spacing w:line="360" w:lineRule="auto"/>
        <w:ind w:firstLine="480" w:firstLineChars="200"/>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kern w:val="0"/>
          <w:sz w:val="24"/>
          <w:highlight w:val="none"/>
          <w14:textFill>
            <w14:solidFill>
              <w14:schemeClr w14:val="tx1"/>
            </w14:solidFill>
          </w14:textFill>
        </w:rPr>
        <w:t>1</w:t>
      </w:r>
      <w:r>
        <w:rPr>
          <w:rFonts w:hint="eastAsia" w:ascii="仿宋_GB2312" w:hAnsi="仿宋_GB2312" w:eastAsia="仿宋_GB2312" w:cs="仿宋_GB2312"/>
          <w:color w:val="000000" w:themeColor="text1"/>
          <w:kern w:val="0"/>
          <w:sz w:val="24"/>
          <w:highlight w:val="none"/>
          <w:lang w:eastAsia="zh"/>
          <w14:textFill>
            <w14:solidFill>
              <w14:schemeClr w14:val="tx1"/>
            </w14:solidFill>
          </w14:textFill>
        </w:rPr>
        <w:t>9</w:t>
      </w:r>
      <w:r>
        <w:rPr>
          <w:rFonts w:hint="eastAsia" w:ascii="仿宋_GB2312" w:hAnsi="仿宋_GB2312" w:eastAsia="仿宋_GB2312" w:cs="仿宋_GB2312"/>
          <w:color w:val="000000" w:themeColor="text1"/>
          <w:kern w:val="0"/>
          <w:sz w:val="24"/>
          <w:highlight w:val="none"/>
          <w14:textFill>
            <w14:solidFill>
              <w14:schemeClr w14:val="tx1"/>
            </w14:solidFill>
          </w14:textFill>
        </w:rPr>
        <w:t>.4、</w:t>
      </w:r>
      <w:r>
        <w:rPr>
          <w:rFonts w:hint="eastAsia" w:ascii="仿宋_GB2312" w:hAnsi="仿宋_GB2312" w:eastAsia="仿宋_GB2312" w:cs="仿宋_GB2312"/>
          <w:color w:val="000000" w:themeColor="text1"/>
          <w:sz w:val="24"/>
          <w:highlight w:val="none"/>
          <w14:textFill>
            <w14:solidFill>
              <w14:schemeClr w14:val="tx1"/>
            </w14:solidFill>
          </w14:textFill>
        </w:rPr>
        <w:t>本合同经甲、乙双方</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法定代表人或授权代表签字并</w:t>
      </w:r>
      <w:r>
        <w:rPr>
          <w:rFonts w:hint="eastAsia" w:ascii="仿宋_GB2312" w:hAnsi="仿宋_GB2312" w:eastAsia="仿宋_GB2312" w:cs="仿宋_GB2312"/>
          <w:color w:val="000000" w:themeColor="text1"/>
          <w:sz w:val="24"/>
          <w:highlight w:val="none"/>
          <w14:textFill>
            <w14:solidFill>
              <w14:schemeClr w14:val="tx1"/>
            </w14:solidFill>
          </w14:textFill>
        </w:rPr>
        <w:t>加盖单位公章或合同专用章后生效。本合同一式</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柒</w:t>
      </w:r>
      <w:r>
        <w:rPr>
          <w:rFonts w:hint="eastAsia" w:ascii="仿宋_GB2312" w:hAnsi="仿宋_GB2312" w:eastAsia="仿宋_GB2312" w:cs="仿宋_GB2312"/>
          <w:color w:val="000000" w:themeColor="text1"/>
          <w:sz w:val="24"/>
          <w:highlight w:val="none"/>
          <w14:textFill>
            <w14:solidFill>
              <w14:schemeClr w14:val="tx1"/>
            </w14:solidFill>
          </w14:textFill>
        </w:rPr>
        <w:t>份，甲方执伍份，乙方执壹份，</w:t>
      </w:r>
      <w:r>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t>杭交所留存壹份，</w:t>
      </w:r>
      <w:r>
        <w:rPr>
          <w:rFonts w:hint="eastAsia" w:ascii="仿宋_GB2312" w:hAnsi="仿宋_GB2312" w:eastAsia="仿宋_GB2312" w:cs="仿宋_GB2312"/>
          <w:color w:val="000000" w:themeColor="text1"/>
          <w:sz w:val="24"/>
          <w:highlight w:val="none"/>
          <w14:textFill>
            <w14:solidFill>
              <w14:schemeClr w14:val="tx1"/>
            </w14:solidFill>
          </w14:textFill>
        </w:rPr>
        <w:t>均具有同等法律效力。</w:t>
      </w:r>
    </w:p>
    <w:p w14:paraId="50F4ABB8">
      <w:pPr>
        <w:adjustRightInd w:val="0"/>
        <w:snapToGrid w:val="0"/>
        <w:spacing w:line="360" w:lineRule="auto"/>
        <w:ind w:firstLine="480" w:firstLineChars="200"/>
        <w:jc w:val="center"/>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（以下无正文）</w:t>
      </w:r>
    </w:p>
    <w:p w14:paraId="54CB82FF">
      <w:pPr>
        <w:adjustRightInd w:val="0"/>
        <w:snapToGrid w:val="0"/>
        <w:spacing w:line="360" w:lineRule="auto"/>
        <w:rPr>
          <w:rFonts w:hint="eastAsia" w:ascii="仿宋_GB2312" w:hAnsi="仿宋_GB2312" w:eastAsia="仿宋_GB2312" w:cs="仿宋_GB2312"/>
          <w:color w:val="000000" w:themeColor="text1"/>
          <w:sz w:val="24"/>
          <w:highlight w:val="none"/>
          <w14:textFill>
            <w14:solidFill>
              <w14:schemeClr w14:val="tx1"/>
            </w14:solidFill>
          </w14:textFill>
        </w:rPr>
      </w:pPr>
    </w:p>
    <w:p w14:paraId="5A1BD4CF">
      <w:pPr>
        <w:adjustRightInd w:val="0"/>
        <w:snapToGrid w:val="0"/>
        <w:spacing w:line="360" w:lineRule="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甲方（盖章）：                              乙方（盖章）：</w:t>
      </w:r>
    </w:p>
    <w:p w14:paraId="3DEF6135">
      <w:pPr>
        <w:adjustRightInd w:val="0"/>
        <w:snapToGrid w:val="0"/>
        <w:spacing w:line="360" w:lineRule="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法定代表人或授权代表                       法定代表人或授权代表</w:t>
      </w:r>
    </w:p>
    <w:p w14:paraId="592AAEED">
      <w:pPr>
        <w:adjustRightInd w:val="0"/>
        <w:snapToGrid w:val="0"/>
        <w:spacing w:line="360" w:lineRule="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（签名）：                                  （签名）：</w:t>
      </w:r>
    </w:p>
    <w:p w14:paraId="59F220F3">
      <w:pPr>
        <w:adjustRightInd w:val="0"/>
        <w:snapToGrid w:val="0"/>
        <w:spacing w:line="360" w:lineRule="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签约日期：    年    月    日               签约日期：    年    月    日   </w:t>
      </w:r>
    </w:p>
    <w:p w14:paraId="00078408">
      <w:pPr>
        <w:adjustRightInd w:val="0"/>
        <w:snapToGrid w:val="0"/>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p>
    <w:p w14:paraId="584E8D7D">
      <w:pPr>
        <w:adjustRightInd w:val="0"/>
        <w:snapToGrid w:val="0"/>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p>
    <w:p w14:paraId="7E4E0144">
      <w:pPr>
        <w:widowControl/>
        <w:jc w:val="left"/>
        <w:rPr>
          <w:rFonts w:hint="eastAsia" w:ascii="仿宋_GB2312" w:hAnsi="仿宋_GB2312" w:eastAsia="仿宋_GB2312" w:cs="仿宋_GB2312"/>
          <w:b/>
          <w:color w:val="000000" w:themeColor="text1"/>
          <w:szCs w:val="21"/>
          <w:highlight w:val="none"/>
          <w14:textFill>
            <w14:solidFill>
              <w14:schemeClr w14:val="tx1"/>
            </w14:solidFill>
          </w14:textFill>
        </w:rPr>
      </w:pPr>
      <w:r>
        <w:rPr>
          <w:rFonts w:hint="eastAsia" w:ascii="仿宋_GB2312" w:hAnsi="仿宋_GB2312" w:eastAsia="仿宋_GB2312" w:cs="仿宋_GB2312"/>
          <w:b/>
          <w:color w:val="000000" w:themeColor="text1"/>
          <w:szCs w:val="21"/>
          <w:highlight w:val="none"/>
          <w14:textFill>
            <w14:solidFill>
              <w14:schemeClr w14:val="tx1"/>
            </w14:solidFill>
          </w14:textFill>
        </w:rPr>
        <w:br w:type="page"/>
      </w:r>
    </w:p>
    <w:p w14:paraId="41F7E9DE">
      <w:pPr>
        <w:adjustRightInd w:val="0"/>
        <w:snapToGrid w:val="0"/>
        <w:spacing w:line="360" w:lineRule="auto"/>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Cs w:val="21"/>
          <w:highlight w:val="none"/>
          <w14:textFill>
            <w14:solidFill>
              <w14:schemeClr w14:val="tx1"/>
            </w14:solidFill>
          </w14:textFill>
        </w:rPr>
        <w:t>附件1：</w:t>
      </w:r>
    </w:p>
    <w:p w14:paraId="0E6D696D">
      <w:pPr>
        <w:adjustRightInd w:val="0"/>
        <w:snapToGrid w:val="0"/>
        <w:spacing w:line="240" w:lineRule="auto"/>
        <w:jc w:val="center"/>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租赁房屋交付通知书</w:t>
      </w:r>
    </w:p>
    <w:p w14:paraId="125B1B57">
      <w:pPr>
        <w:adjustRightInd w:val="0"/>
        <w:snapToGrid w:val="0"/>
        <w:spacing w:line="24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p>
    <w:p w14:paraId="514055CD">
      <w:pPr>
        <w:adjustRightInd w:val="0"/>
        <w:snapToGrid w:val="0"/>
        <w:spacing w:line="24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尊贵的</w:t>
      </w:r>
      <w:r>
        <w:rPr>
          <w:rFonts w:hint="eastAsia" w:ascii="仿宋_GB2312" w:hAnsi="仿宋_GB2312" w:eastAsia="仿宋_GB2312" w:cs="仿宋_GB2312"/>
          <w:color w:val="000000" w:themeColor="text1"/>
          <w:szCs w:val="2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Cs w:val="21"/>
          <w:highlight w:val="none"/>
          <w14:textFill>
            <w14:solidFill>
              <w14:schemeClr w14:val="tx1"/>
            </w14:solidFill>
          </w14:textFill>
        </w:rPr>
        <w:t>公司：</w:t>
      </w:r>
    </w:p>
    <w:p w14:paraId="7BB40C59">
      <w:pPr>
        <w:adjustRightInd w:val="0"/>
        <w:snapToGrid w:val="0"/>
        <w:spacing w:line="240" w:lineRule="auto"/>
        <w:rPr>
          <w:rFonts w:hint="eastAsia" w:ascii="仿宋_GB2312" w:hAnsi="仿宋_GB2312" w:eastAsia="仿宋_GB2312" w:cs="仿宋_GB2312"/>
          <w:color w:val="000000" w:themeColor="text1"/>
          <w:szCs w:val="21"/>
          <w:highlight w:val="none"/>
          <w14:textFill>
            <w14:solidFill>
              <w14:schemeClr w14:val="tx1"/>
            </w14:solidFill>
          </w14:textFill>
        </w:rPr>
      </w:pPr>
    </w:p>
    <w:p w14:paraId="6CF726F1">
      <w:pPr>
        <w:adjustRightInd w:val="0"/>
        <w:snapToGrid w:val="0"/>
        <w:spacing w:line="240" w:lineRule="auto"/>
        <w:ind w:firstLine="56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感谢贵司承租我公司经营管理的</w:t>
      </w:r>
      <w:r>
        <w:rPr>
          <w:rFonts w:hint="eastAsia" w:ascii="仿宋_GB2312" w:hAnsi="仿宋_GB2312" w:eastAsia="仿宋_GB2312" w:cs="仿宋_GB2312"/>
          <w:color w:val="000000" w:themeColor="text1"/>
          <w:szCs w:val="2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Cs w:val="21"/>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Cs w:val="2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Cs w:val="21"/>
          <w:highlight w:val="none"/>
          <w14:textFill>
            <w14:solidFill>
              <w14:schemeClr w14:val="tx1"/>
            </w14:solidFill>
          </w14:textFill>
        </w:rPr>
        <w:t>项目，按照贵司与我公司签订的《房屋租赁合同》约定，贵司所承租的</w:t>
      </w:r>
      <w:r>
        <w:rPr>
          <w:rFonts w:hint="eastAsia" w:ascii="仿宋_GB2312" w:hAnsi="仿宋_GB2312" w:eastAsia="仿宋_GB2312" w:cs="仿宋_GB2312"/>
          <w:color w:val="000000" w:themeColor="text1"/>
          <w:szCs w:val="21"/>
          <w:highlight w:val="none"/>
          <w:u w:val="single"/>
          <w14:textFill>
            <w14:solidFill>
              <w14:schemeClr w14:val="tx1"/>
            </w14:solidFill>
          </w14:textFill>
        </w:rPr>
        <w:t xml:space="preserve">  幢    </w:t>
      </w:r>
      <w:r>
        <w:rPr>
          <w:rFonts w:hint="eastAsia" w:ascii="仿宋_GB2312" w:hAnsi="仿宋_GB2312" w:eastAsia="仿宋_GB2312" w:cs="仿宋_GB2312"/>
          <w:color w:val="000000" w:themeColor="text1"/>
          <w:szCs w:val="21"/>
          <w:highlight w:val="none"/>
          <w14:textFill>
            <w14:solidFill>
              <w14:schemeClr w14:val="tx1"/>
            </w14:solidFill>
          </w14:textFill>
        </w:rPr>
        <w:t>室已具备交付使用条件，交付日期为</w:t>
      </w:r>
      <w:r>
        <w:rPr>
          <w:rFonts w:hint="eastAsia" w:ascii="仿宋_GB2312" w:hAnsi="仿宋_GB2312" w:eastAsia="仿宋_GB2312" w:cs="仿宋_GB2312"/>
          <w:color w:val="000000" w:themeColor="text1"/>
          <w:szCs w:val="2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Cs w:val="21"/>
          <w:highlight w:val="none"/>
          <w14:textFill>
            <w14:solidFill>
              <w14:schemeClr w14:val="tx1"/>
            </w14:solidFill>
          </w14:textFill>
        </w:rPr>
        <w:t>年</w:t>
      </w:r>
      <w:r>
        <w:rPr>
          <w:rFonts w:hint="eastAsia" w:ascii="仿宋_GB2312" w:hAnsi="仿宋_GB2312" w:eastAsia="仿宋_GB2312" w:cs="仿宋_GB2312"/>
          <w:color w:val="000000" w:themeColor="text1"/>
          <w:szCs w:val="2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Cs w:val="21"/>
          <w:highlight w:val="none"/>
          <w14:textFill>
            <w14:solidFill>
              <w14:schemeClr w14:val="tx1"/>
            </w14:solidFill>
          </w14:textFill>
        </w:rPr>
        <w:t>月</w:t>
      </w:r>
      <w:r>
        <w:rPr>
          <w:rFonts w:hint="eastAsia" w:ascii="仿宋_GB2312" w:hAnsi="仿宋_GB2312" w:eastAsia="仿宋_GB2312" w:cs="仿宋_GB2312"/>
          <w:color w:val="000000" w:themeColor="text1"/>
          <w:szCs w:val="2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Cs w:val="21"/>
          <w:highlight w:val="none"/>
          <w14:textFill>
            <w14:solidFill>
              <w14:schemeClr w14:val="tx1"/>
            </w14:solidFill>
          </w14:textFill>
        </w:rPr>
        <w:t>日。该物业的</w:t>
      </w:r>
      <w:r>
        <w:rPr>
          <w:rFonts w:hint="eastAsia" w:ascii="仿宋_GB2312" w:hAnsi="仿宋_GB2312" w:eastAsia="仿宋_GB2312" w:cs="仿宋_GB2312"/>
          <w:color w:val="000000" w:themeColor="text1"/>
          <w:szCs w:val="21"/>
          <w:highlight w:val="none"/>
          <w:lang w:val="en-US" w:eastAsia="zh-CN"/>
          <w14:textFill>
            <w14:solidFill>
              <w14:schemeClr w14:val="tx1"/>
            </w14:solidFill>
          </w14:textFill>
        </w:rPr>
        <w:t>租金</w:t>
      </w:r>
      <w:r>
        <w:rPr>
          <w:rFonts w:hint="eastAsia" w:ascii="仿宋_GB2312" w:hAnsi="仿宋_GB2312" w:eastAsia="仿宋_GB2312" w:cs="仿宋_GB2312"/>
          <w:color w:val="000000" w:themeColor="text1"/>
          <w:szCs w:val="21"/>
          <w:highlight w:val="none"/>
          <w14:textFill>
            <w14:solidFill>
              <w14:schemeClr w14:val="tx1"/>
            </w14:solidFill>
          </w14:textFill>
        </w:rPr>
        <w:t>自</w:t>
      </w:r>
      <w:r>
        <w:rPr>
          <w:rFonts w:hint="eastAsia" w:ascii="仿宋_GB2312" w:hAnsi="仿宋_GB2312" w:eastAsia="仿宋_GB2312" w:cs="仿宋_GB2312"/>
          <w:color w:val="000000" w:themeColor="text1"/>
          <w:szCs w:val="2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Cs w:val="21"/>
          <w:highlight w:val="none"/>
          <w14:textFill>
            <w14:solidFill>
              <w14:schemeClr w14:val="tx1"/>
            </w14:solidFill>
          </w14:textFill>
        </w:rPr>
        <w:t>年</w:t>
      </w:r>
      <w:r>
        <w:rPr>
          <w:rFonts w:hint="eastAsia" w:ascii="仿宋_GB2312" w:hAnsi="仿宋_GB2312" w:eastAsia="仿宋_GB2312" w:cs="仿宋_GB2312"/>
          <w:color w:val="000000" w:themeColor="text1"/>
          <w:szCs w:val="2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Cs w:val="21"/>
          <w:highlight w:val="none"/>
          <w14:textFill>
            <w14:solidFill>
              <w14:schemeClr w14:val="tx1"/>
            </w14:solidFill>
          </w14:textFill>
        </w:rPr>
        <w:t>月</w:t>
      </w:r>
      <w:r>
        <w:rPr>
          <w:rFonts w:hint="eastAsia" w:ascii="仿宋_GB2312" w:hAnsi="仿宋_GB2312" w:eastAsia="仿宋_GB2312" w:cs="仿宋_GB2312"/>
          <w:color w:val="000000" w:themeColor="text1"/>
          <w:szCs w:val="2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Cs w:val="21"/>
          <w:highlight w:val="none"/>
          <w14:textFill>
            <w14:solidFill>
              <w14:schemeClr w14:val="tx1"/>
            </w14:solidFill>
          </w14:textFill>
        </w:rPr>
        <w:t>日开始计收。</w:t>
      </w:r>
    </w:p>
    <w:p w14:paraId="6306B1AD">
      <w:pPr>
        <w:adjustRightInd w:val="0"/>
        <w:snapToGrid w:val="0"/>
        <w:spacing w:line="240" w:lineRule="auto"/>
        <w:ind w:firstLine="56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为了贵司能顺利办理交付手续，请仔细阅读本通知书及后附的《房屋交付办理流程》，并携带下述资料及款项按流程指引办理：</w:t>
      </w:r>
    </w:p>
    <w:p w14:paraId="4FB3C6EC">
      <w:pPr>
        <w:numPr>
          <w:ilvl w:val="0"/>
          <w:numId w:val="2"/>
        </w:numPr>
        <w:adjustRightInd w:val="0"/>
        <w:snapToGrid w:val="0"/>
        <w:spacing w:line="240" w:lineRule="auto"/>
        <w:ind w:firstLine="56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租赁房屋交付通知书原件。</w:t>
      </w:r>
    </w:p>
    <w:p w14:paraId="5E63C8D3">
      <w:pPr>
        <w:adjustRightInd w:val="0"/>
        <w:snapToGrid w:val="0"/>
        <w:spacing w:line="240" w:lineRule="auto"/>
        <w:ind w:firstLine="56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2、《房屋租赁合同》原件。</w:t>
      </w:r>
    </w:p>
    <w:p w14:paraId="49664AFC">
      <w:pPr>
        <w:numPr>
          <w:ilvl w:val="0"/>
          <w:numId w:val="3"/>
        </w:numPr>
        <w:adjustRightInd w:val="0"/>
        <w:snapToGrid w:val="0"/>
        <w:spacing w:line="240" w:lineRule="auto"/>
        <w:ind w:firstLine="56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已缴纳的租赁款项发票/收据原件。</w:t>
      </w:r>
    </w:p>
    <w:p w14:paraId="7CE8EE4C">
      <w:pPr>
        <w:adjustRightInd w:val="0"/>
        <w:snapToGrid w:val="0"/>
        <w:spacing w:line="240" w:lineRule="auto"/>
        <w:ind w:firstLine="56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4、《房屋租赁合同》上承租企业的有效营业执照。</w:t>
      </w:r>
    </w:p>
    <w:p w14:paraId="1247397F">
      <w:pPr>
        <w:adjustRightInd w:val="0"/>
        <w:snapToGrid w:val="0"/>
        <w:spacing w:line="240" w:lineRule="auto"/>
        <w:ind w:firstLine="56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5、承租企业法定代表人身份证原件及复印件。</w:t>
      </w:r>
    </w:p>
    <w:p w14:paraId="5CE46CE0">
      <w:pPr>
        <w:numPr>
          <w:ilvl w:val="0"/>
          <w:numId w:val="4"/>
        </w:numPr>
        <w:adjustRightInd w:val="0"/>
        <w:snapToGrid w:val="0"/>
        <w:spacing w:line="240" w:lineRule="auto"/>
        <w:ind w:firstLine="56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委托他人办理交付手续，须出具授权委托书（法人签名并加盖企业公章）、受委托人身份证原件及复印件。</w:t>
      </w:r>
    </w:p>
    <w:p w14:paraId="0F022DD0">
      <w:pPr>
        <w:numPr>
          <w:ilvl w:val="0"/>
          <w:numId w:val="4"/>
        </w:numPr>
        <w:adjustRightInd w:val="0"/>
        <w:snapToGrid w:val="0"/>
        <w:spacing w:line="240" w:lineRule="auto"/>
        <w:ind w:firstLine="56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所有复印件需加盖企业公章。</w:t>
      </w:r>
    </w:p>
    <w:p w14:paraId="58F1100F">
      <w:pPr>
        <w:numPr>
          <w:ilvl w:val="0"/>
          <w:numId w:val="4"/>
        </w:numPr>
        <w:adjustRightInd w:val="0"/>
        <w:snapToGrid w:val="0"/>
        <w:spacing w:line="240" w:lineRule="auto"/>
        <w:ind w:firstLine="56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贵司需入驻本项目办公人员车辆的有效行驶证（原件及复印件）。</w:t>
      </w:r>
    </w:p>
    <w:p w14:paraId="2D0E1B56">
      <w:pPr>
        <w:adjustRightInd w:val="0"/>
        <w:snapToGrid w:val="0"/>
        <w:spacing w:line="240" w:lineRule="auto"/>
        <w:ind w:firstLine="56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请贵司务必按照本通知日期办理交付手续，否则将按照《房屋租赁合同》的约定视为贵司已接受了该物业，即通知的交付之日起，该物业的一切风险及有关的物业服务费将转由贵司承担。</w:t>
      </w:r>
    </w:p>
    <w:p w14:paraId="76D37544">
      <w:pPr>
        <w:adjustRightInd w:val="0"/>
        <w:snapToGrid w:val="0"/>
        <w:spacing w:line="240" w:lineRule="auto"/>
        <w:ind w:firstLine="56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再次感谢贵司选择</w:t>
      </w:r>
      <w:r>
        <w:rPr>
          <w:rFonts w:hint="eastAsia" w:ascii="仿宋_GB2312" w:hAnsi="仿宋_GB2312" w:eastAsia="仿宋_GB2312" w:cs="仿宋_GB2312"/>
          <w:color w:val="000000" w:themeColor="text1"/>
          <w:szCs w:val="2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Cs w:val="21"/>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Cs w:val="2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Cs w:val="21"/>
          <w:highlight w:val="none"/>
          <w14:textFill>
            <w14:solidFill>
              <w14:schemeClr w14:val="tx1"/>
            </w14:solidFill>
          </w14:textFill>
        </w:rPr>
        <w:t>项目，衷心希望在后续服务中得到贵司的信任和支持。</w:t>
      </w:r>
    </w:p>
    <w:p w14:paraId="11677D5D">
      <w:pPr>
        <w:adjustRightInd w:val="0"/>
        <w:snapToGrid w:val="0"/>
        <w:spacing w:line="240" w:lineRule="auto"/>
        <w:ind w:firstLine="560"/>
        <w:rPr>
          <w:rFonts w:hint="eastAsia" w:ascii="仿宋_GB2312" w:hAnsi="仿宋_GB2312" w:eastAsia="仿宋_GB2312" w:cs="仿宋_GB2312"/>
          <w:color w:val="000000" w:themeColor="text1"/>
          <w:szCs w:val="21"/>
          <w:highlight w:val="none"/>
          <w14:textFill>
            <w14:solidFill>
              <w14:schemeClr w14:val="tx1"/>
            </w14:solidFill>
          </w14:textFill>
        </w:rPr>
      </w:pPr>
    </w:p>
    <w:p w14:paraId="6DE1FA4B">
      <w:pPr>
        <w:adjustRightInd w:val="0"/>
        <w:snapToGrid w:val="0"/>
        <w:spacing w:line="240" w:lineRule="auto"/>
        <w:ind w:firstLine="560"/>
        <w:jc w:val="right"/>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杭州南泰置业有限公司</w:t>
      </w:r>
    </w:p>
    <w:p w14:paraId="3FD1CA3E">
      <w:pPr>
        <w:adjustRightInd w:val="0"/>
        <w:snapToGrid w:val="0"/>
        <w:spacing w:line="240" w:lineRule="auto"/>
        <w:ind w:firstLine="560"/>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 xml:space="preserve">                                                         年    月    日</w:t>
      </w:r>
      <w:r>
        <w:rPr>
          <w:rFonts w:hint="eastAsia" w:ascii="仿宋_GB2312" w:hAnsi="仿宋_GB2312" w:eastAsia="仿宋_GB2312" w:cs="仿宋_GB2312"/>
          <w:b/>
          <w:color w:val="000000" w:themeColor="text1"/>
          <w:sz w:val="28"/>
          <w:szCs w:val="28"/>
          <w:highlight w:val="none"/>
          <w14:textFill>
            <w14:solidFill>
              <w14:schemeClr w14:val="tx1"/>
            </w14:solidFill>
          </w14:textFill>
        </w:rPr>
        <w:br w:type="page"/>
      </w:r>
    </w:p>
    <w:p w14:paraId="6714537A">
      <w:pPr>
        <w:adjustRightInd w:val="0"/>
        <w:snapToGrid w:val="0"/>
        <w:spacing w:line="360" w:lineRule="auto"/>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Cs w:val="21"/>
          <w:highlight w:val="none"/>
          <w14:textFill>
            <w14:solidFill>
              <w14:schemeClr w14:val="tx1"/>
            </w14:solidFill>
          </w14:textFill>
        </w:rPr>
        <w:t>附件2：</w:t>
      </w:r>
    </w:p>
    <w:p w14:paraId="2009074C">
      <w:pPr>
        <w:adjustRightInd w:val="0"/>
        <w:snapToGrid w:val="0"/>
        <w:spacing w:line="360" w:lineRule="auto"/>
        <w:jc w:val="center"/>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《租赁</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房屋</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交付条件》</w:t>
      </w:r>
    </w:p>
    <w:p w14:paraId="7A1FDBE4">
      <w:pPr>
        <w:adjustRightInd w:val="0"/>
        <w:snapToGrid w:val="0"/>
        <w:spacing w:line="360" w:lineRule="auto"/>
        <w:rPr>
          <w:rFonts w:hint="eastAsia"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租赁</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房屋</w:t>
      </w:r>
      <w:r>
        <w:rPr>
          <w:rFonts w:hint="eastAsia" w:ascii="仿宋_GB2312" w:hAnsi="仿宋_GB2312" w:eastAsia="仿宋_GB2312" w:cs="仿宋_GB2312"/>
          <w:color w:val="000000" w:themeColor="text1"/>
          <w:sz w:val="21"/>
          <w:szCs w:val="21"/>
          <w:highlight w:val="none"/>
          <w14:textFill>
            <w14:solidFill>
              <w14:schemeClr w14:val="tx1"/>
            </w14:solidFill>
          </w14:textFill>
        </w:rPr>
        <w:t>及配套设施设备交付标准</w:t>
      </w:r>
      <w:r>
        <w:rPr>
          <w:rFonts w:hint="eastAsia" w:ascii="仿宋_GB2312" w:hAnsi="仿宋_GB2312" w:eastAsia="仿宋_GB2312" w:cs="仿宋_GB2312"/>
          <w:color w:val="000000" w:themeColor="text1"/>
          <w:sz w:val="21"/>
          <w:szCs w:val="21"/>
          <w:highlight w:val="none"/>
          <w:lang w:eastAsia="zh"/>
          <w14:textFill>
            <w14:solidFill>
              <w14:schemeClr w14:val="tx1"/>
            </w14:solidFill>
          </w14:textFill>
        </w:rPr>
        <w:t>：</w:t>
      </w:r>
    </w:p>
    <w:tbl>
      <w:tblPr>
        <w:tblStyle w:val="1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993"/>
        <w:gridCol w:w="5528"/>
      </w:tblGrid>
      <w:tr w14:paraId="4CD6B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756" w:type="pct"/>
            <w:tcBorders>
              <w:top w:val="single" w:color="auto" w:sz="4" w:space="0"/>
              <w:left w:val="single" w:color="auto" w:sz="4" w:space="0"/>
              <w:bottom w:val="single" w:color="auto" w:sz="4" w:space="0"/>
              <w:right w:val="single" w:color="auto" w:sz="4" w:space="0"/>
            </w:tcBorders>
            <w:shd w:val="clear" w:color="auto" w:fill="auto"/>
            <w:vAlign w:val="top"/>
          </w:tcPr>
          <w:p w14:paraId="1053F40A">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项目</w:t>
            </w:r>
          </w:p>
        </w:tc>
        <w:tc>
          <w:tcPr>
            <w:tcW w:w="3243" w:type="pct"/>
            <w:tcBorders>
              <w:top w:val="single" w:color="auto" w:sz="4" w:space="0"/>
              <w:left w:val="single" w:color="auto" w:sz="4" w:space="0"/>
              <w:bottom w:val="single" w:color="auto" w:sz="4" w:space="0"/>
              <w:right w:val="single" w:color="auto" w:sz="4" w:space="0"/>
            </w:tcBorders>
            <w:shd w:val="clear" w:color="auto" w:fill="auto"/>
            <w:vAlign w:val="top"/>
          </w:tcPr>
          <w:p w14:paraId="59E2DF89">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标准</w:t>
            </w:r>
          </w:p>
        </w:tc>
      </w:tr>
      <w:tr w14:paraId="2D3E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756" w:type="pct"/>
            <w:tcBorders>
              <w:top w:val="single" w:color="auto" w:sz="4" w:space="0"/>
              <w:left w:val="single" w:color="auto" w:sz="4" w:space="0"/>
              <w:bottom w:val="single" w:color="auto" w:sz="4" w:space="0"/>
              <w:right w:val="single" w:color="auto" w:sz="4" w:space="0"/>
            </w:tcBorders>
            <w:shd w:val="clear" w:color="auto" w:fill="auto"/>
            <w:vAlign w:val="top"/>
          </w:tcPr>
          <w:p w14:paraId="51800C77">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外墙</w:t>
            </w:r>
          </w:p>
        </w:tc>
        <w:tc>
          <w:tcPr>
            <w:tcW w:w="3243" w:type="pct"/>
            <w:tcBorders>
              <w:top w:val="single" w:color="auto" w:sz="4" w:space="0"/>
              <w:left w:val="single" w:color="auto" w:sz="4" w:space="0"/>
              <w:bottom w:val="single" w:color="auto" w:sz="4" w:space="0"/>
              <w:right w:val="single" w:color="auto" w:sz="4" w:space="0"/>
            </w:tcBorders>
            <w:shd w:val="clear" w:color="auto" w:fill="auto"/>
            <w:vAlign w:val="top"/>
          </w:tcPr>
          <w:p w14:paraId="775B858B">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按照现场实际情况交付</w:t>
            </w:r>
          </w:p>
        </w:tc>
      </w:tr>
      <w:tr w14:paraId="641A6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756" w:type="pct"/>
            <w:tcBorders>
              <w:top w:val="single" w:color="auto" w:sz="4" w:space="0"/>
              <w:left w:val="single" w:color="auto" w:sz="4" w:space="0"/>
              <w:bottom w:val="single" w:color="auto" w:sz="4" w:space="0"/>
              <w:right w:val="single" w:color="auto" w:sz="4" w:space="0"/>
            </w:tcBorders>
            <w:shd w:val="clear" w:color="auto" w:fill="auto"/>
            <w:vAlign w:val="top"/>
          </w:tcPr>
          <w:p w14:paraId="620C2065">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铺间墙</w:t>
            </w:r>
          </w:p>
        </w:tc>
        <w:tc>
          <w:tcPr>
            <w:tcW w:w="3243" w:type="pct"/>
            <w:tcBorders>
              <w:top w:val="single" w:color="auto" w:sz="4" w:space="0"/>
              <w:left w:val="single" w:color="auto" w:sz="4" w:space="0"/>
              <w:bottom w:val="single" w:color="auto" w:sz="4" w:space="0"/>
              <w:right w:val="single" w:color="auto" w:sz="4" w:space="0"/>
            </w:tcBorders>
            <w:shd w:val="clear" w:color="auto" w:fill="auto"/>
            <w:vAlign w:val="top"/>
          </w:tcPr>
          <w:p w14:paraId="48FCED1D">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按照现场实际情况交付</w:t>
            </w:r>
          </w:p>
        </w:tc>
      </w:tr>
      <w:tr w14:paraId="78FFB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756" w:type="pct"/>
            <w:tcBorders>
              <w:top w:val="single" w:color="auto" w:sz="4" w:space="0"/>
              <w:left w:val="single" w:color="auto" w:sz="4" w:space="0"/>
              <w:bottom w:val="single" w:color="auto" w:sz="4" w:space="0"/>
              <w:right w:val="single" w:color="auto" w:sz="4" w:space="0"/>
            </w:tcBorders>
            <w:shd w:val="clear" w:color="auto" w:fill="auto"/>
            <w:vAlign w:val="top"/>
          </w:tcPr>
          <w:p w14:paraId="2AE64D07">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商铺门</w:t>
            </w:r>
          </w:p>
        </w:tc>
        <w:tc>
          <w:tcPr>
            <w:tcW w:w="3243" w:type="pct"/>
            <w:tcBorders>
              <w:top w:val="single" w:color="auto" w:sz="4" w:space="0"/>
              <w:left w:val="single" w:color="auto" w:sz="4" w:space="0"/>
              <w:bottom w:val="single" w:color="auto" w:sz="4" w:space="0"/>
              <w:right w:val="single" w:color="auto" w:sz="4" w:space="0"/>
            </w:tcBorders>
            <w:shd w:val="clear" w:color="auto" w:fill="auto"/>
            <w:vAlign w:val="top"/>
          </w:tcPr>
          <w:p w14:paraId="746C5860">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按照现场实际情况交付</w:t>
            </w:r>
          </w:p>
        </w:tc>
      </w:tr>
      <w:tr w14:paraId="019A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756" w:type="pct"/>
            <w:tcBorders>
              <w:top w:val="single" w:color="auto" w:sz="4" w:space="0"/>
              <w:left w:val="single" w:color="auto" w:sz="4" w:space="0"/>
              <w:bottom w:val="single" w:color="auto" w:sz="4" w:space="0"/>
              <w:right w:val="single" w:color="auto" w:sz="4" w:space="0"/>
            </w:tcBorders>
            <w:shd w:val="clear" w:color="auto" w:fill="auto"/>
            <w:vAlign w:val="top"/>
          </w:tcPr>
          <w:p w14:paraId="06CE40AB">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商铺内墙体、柱子表面处理</w:t>
            </w:r>
          </w:p>
        </w:tc>
        <w:tc>
          <w:tcPr>
            <w:tcW w:w="3243" w:type="pct"/>
            <w:tcBorders>
              <w:top w:val="single" w:color="auto" w:sz="4" w:space="0"/>
              <w:left w:val="single" w:color="auto" w:sz="4" w:space="0"/>
              <w:bottom w:val="single" w:color="auto" w:sz="4" w:space="0"/>
              <w:right w:val="single" w:color="auto" w:sz="4" w:space="0"/>
            </w:tcBorders>
            <w:shd w:val="clear" w:color="auto" w:fill="auto"/>
            <w:vAlign w:val="top"/>
          </w:tcPr>
          <w:p w14:paraId="440539D4">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按照现场实际情况交付</w:t>
            </w:r>
          </w:p>
        </w:tc>
      </w:tr>
      <w:tr w14:paraId="0525A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756" w:type="pct"/>
            <w:tcBorders>
              <w:top w:val="single" w:color="auto" w:sz="4" w:space="0"/>
              <w:left w:val="single" w:color="auto" w:sz="4" w:space="0"/>
              <w:bottom w:val="single" w:color="auto" w:sz="4" w:space="0"/>
              <w:right w:val="single" w:color="auto" w:sz="4" w:space="0"/>
            </w:tcBorders>
            <w:shd w:val="clear" w:color="auto" w:fill="auto"/>
            <w:vAlign w:val="top"/>
          </w:tcPr>
          <w:p w14:paraId="75ECBE23">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商铺内楼地面、天花顶棚</w:t>
            </w:r>
          </w:p>
        </w:tc>
        <w:tc>
          <w:tcPr>
            <w:tcW w:w="3243" w:type="pct"/>
            <w:tcBorders>
              <w:top w:val="single" w:color="auto" w:sz="4" w:space="0"/>
              <w:left w:val="single" w:color="auto" w:sz="4" w:space="0"/>
              <w:bottom w:val="single" w:color="auto" w:sz="4" w:space="0"/>
              <w:right w:val="single" w:color="auto" w:sz="4" w:space="0"/>
            </w:tcBorders>
            <w:shd w:val="clear" w:color="auto" w:fill="auto"/>
            <w:vAlign w:val="top"/>
          </w:tcPr>
          <w:p w14:paraId="330E67BB">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按照现场实际情况交付</w:t>
            </w:r>
          </w:p>
        </w:tc>
      </w:tr>
      <w:tr w14:paraId="4091C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756" w:type="pct"/>
            <w:tcBorders>
              <w:top w:val="single" w:color="auto" w:sz="4" w:space="0"/>
              <w:left w:val="single" w:color="auto" w:sz="4" w:space="0"/>
              <w:bottom w:val="single" w:color="auto" w:sz="4" w:space="0"/>
              <w:right w:val="single" w:color="auto" w:sz="4" w:space="0"/>
            </w:tcBorders>
            <w:shd w:val="clear" w:color="auto" w:fill="auto"/>
            <w:vAlign w:val="top"/>
          </w:tcPr>
          <w:p w14:paraId="025B89C4">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消防系统</w:t>
            </w:r>
          </w:p>
        </w:tc>
        <w:tc>
          <w:tcPr>
            <w:tcW w:w="3243" w:type="pct"/>
            <w:tcBorders>
              <w:top w:val="single" w:color="auto" w:sz="4" w:space="0"/>
              <w:left w:val="single" w:color="auto" w:sz="4" w:space="0"/>
              <w:bottom w:val="single" w:color="auto" w:sz="4" w:space="0"/>
              <w:right w:val="single" w:color="auto" w:sz="4" w:space="0"/>
            </w:tcBorders>
            <w:shd w:val="clear" w:color="auto" w:fill="auto"/>
            <w:vAlign w:val="top"/>
          </w:tcPr>
          <w:p w14:paraId="1DFE6BC5">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消防设施按现场实际情况交付，涉及商铺二次装修消防改造由承租方自行负责完成，甲方配合。</w:t>
            </w:r>
          </w:p>
        </w:tc>
      </w:tr>
      <w:tr w14:paraId="1929E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756" w:type="pct"/>
            <w:tcBorders>
              <w:top w:val="single" w:color="auto" w:sz="4" w:space="0"/>
              <w:left w:val="single" w:color="auto" w:sz="4" w:space="0"/>
              <w:bottom w:val="single" w:color="auto" w:sz="4" w:space="0"/>
              <w:right w:val="single" w:color="auto" w:sz="4" w:space="0"/>
            </w:tcBorders>
            <w:shd w:val="clear" w:color="auto" w:fill="auto"/>
            <w:vAlign w:val="top"/>
          </w:tcPr>
          <w:p w14:paraId="17706A93">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空调</w:t>
            </w:r>
          </w:p>
        </w:tc>
        <w:tc>
          <w:tcPr>
            <w:tcW w:w="3243" w:type="pct"/>
            <w:tcBorders>
              <w:top w:val="single" w:color="auto" w:sz="4" w:space="0"/>
              <w:left w:val="single" w:color="auto" w:sz="4" w:space="0"/>
              <w:bottom w:val="single" w:color="auto" w:sz="4" w:space="0"/>
              <w:right w:val="single" w:color="auto" w:sz="4" w:space="0"/>
            </w:tcBorders>
            <w:shd w:val="clear" w:color="auto" w:fill="auto"/>
            <w:vAlign w:val="top"/>
          </w:tcPr>
          <w:p w14:paraId="1DB61468">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按现状交付</w:t>
            </w:r>
          </w:p>
        </w:tc>
      </w:tr>
      <w:tr w14:paraId="2DFB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756" w:type="pct"/>
            <w:tcBorders>
              <w:top w:val="single" w:color="auto" w:sz="4" w:space="0"/>
              <w:left w:val="single" w:color="auto" w:sz="4" w:space="0"/>
              <w:bottom w:val="single" w:color="auto" w:sz="4" w:space="0"/>
              <w:right w:val="single" w:color="auto" w:sz="4" w:space="0"/>
            </w:tcBorders>
            <w:shd w:val="clear" w:color="auto" w:fill="auto"/>
            <w:vAlign w:val="top"/>
          </w:tcPr>
          <w:p w14:paraId="14592C2E">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通风</w:t>
            </w:r>
          </w:p>
        </w:tc>
        <w:tc>
          <w:tcPr>
            <w:tcW w:w="3243" w:type="pct"/>
            <w:tcBorders>
              <w:top w:val="single" w:color="auto" w:sz="4" w:space="0"/>
              <w:left w:val="single" w:color="auto" w:sz="4" w:space="0"/>
              <w:bottom w:val="single" w:color="auto" w:sz="4" w:space="0"/>
              <w:right w:val="single" w:color="auto" w:sz="4" w:space="0"/>
            </w:tcBorders>
            <w:shd w:val="clear" w:color="auto" w:fill="auto"/>
            <w:vAlign w:val="top"/>
          </w:tcPr>
          <w:p w14:paraId="14E0D702">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按照现场实际情况交付</w:t>
            </w:r>
          </w:p>
        </w:tc>
      </w:tr>
      <w:tr w14:paraId="01434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756" w:type="pct"/>
            <w:tcBorders>
              <w:top w:val="single" w:color="auto" w:sz="4" w:space="0"/>
              <w:left w:val="single" w:color="auto" w:sz="4" w:space="0"/>
              <w:bottom w:val="single" w:color="auto" w:sz="4" w:space="0"/>
              <w:right w:val="single" w:color="auto" w:sz="4" w:space="0"/>
            </w:tcBorders>
            <w:shd w:val="clear" w:color="auto" w:fill="auto"/>
            <w:vAlign w:val="top"/>
          </w:tcPr>
          <w:p w14:paraId="7E5E0A56">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配电系统</w:t>
            </w:r>
          </w:p>
        </w:tc>
        <w:tc>
          <w:tcPr>
            <w:tcW w:w="3243" w:type="pct"/>
            <w:tcBorders>
              <w:top w:val="single" w:color="auto" w:sz="4" w:space="0"/>
              <w:left w:val="single" w:color="auto" w:sz="4" w:space="0"/>
              <w:bottom w:val="single" w:color="auto" w:sz="4" w:space="0"/>
              <w:right w:val="single" w:color="auto" w:sz="4" w:space="0"/>
            </w:tcBorders>
            <w:shd w:val="clear" w:color="auto" w:fill="auto"/>
            <w:vAlign w:val="top"/>
          </w:tcPr>
          <w:p w14:paraId="3FBAB3CA">
            <w:pPr>
              <w:keepNext w:val="0"/>
              <w:keepLines w:val="0"/>
              <w:suppressLineNumbers w:val="0"/>
              <w:adjustRightInd w:val="0"/>
              <w:snapToGrid w:val="0"/>
              <w:spacing w:before="0" w:beforeAutospacing="0" w:afterAutospacing="0" w:line="360" w:lineRule="auto"/>
              <w:ind w:left="0" w:right="0"/>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户内：</w:t>
            </w: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甲方将弱电箱接入商户租赁范围内，提供强电6KW,弱电：超5类网线、光纤各一根。后续电话、网络开通由商户自行负责。</w:t>
            </w:r>
          </w:p>
          <w:p w14:paraId="78E6D8EA">
            <w:pPr>
              <w:keepNext w:val="0"/>
              <w:keepLines w:val="0"/>
              <w:suppressLineNumbers w:val="0"/>
              <w:adjustRightInd w:val="0"/>
              <w:snapToGrid w:val="0"/>
              <w:spacing w:before="0" w:beforeAutospacing="0" w:afterAutospacing="0" w:line="360" w:lineRule="auto"/>
              <w:ind w:left="0" w:right="0"/>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其他部分均按现状交付</w:t>
            </w:r>
          </w:p>
        </w:tc>
      </w:tr>
      <w:tr w14:paraId="50994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756" w:type="pct"/>
            <w:tcBorders>
              <w:top w:val="single" w:color="auto" w:sz="4" w:space="0"/>
              <w:left w:val="single" w:color="auto" w:sz="4" w:space="0"/>
              <w:bottom w:val="single" w:color="auto" w:sz="4" w:space="0"/>
              <w:right w:val="single" w:color="auto" w:sz="4" w:space="0"/>
            </w:tcBorders>
            <w:shd w:val="clear" w:color="auto" w:fill="auto"/>
            <w:vAlign w:val="top"/>
          </w:tcPr>
          <w:p w14:paraId="4F77C99D">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给水系统</w:t>
            </w:r>
          </w:p>
        </w:tc>
        <w:tc>
          <w:tcPr>
            <w:tcW w:w="3243" w:type="pct"/>
            <w:tcBorders>
              <w:top w:val="single" w:color="auto" w:sz="4" w:space="0"/>
              <w:left w:val="single" w:color="auto" w:sz="4" w:space="0"/>
              <w:bottom w:val="single" w:color="auto" w:sz="4" w:space="0"/>
              <w:right w:val="single" w:color="auto" w:sz="4" w:space="0"/>
            </w:tcBorders>
            <w:shd w:val="clear" w:color="auto" w:fill="auto"/>
            <w:vAlign w:val="top"/>
          </w:tcPr>
          <w:p w14:paraId="722CFF48">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按照现场实际情况交付</w:t>
            </w:r>
          </w:p>
        </w:tc>
      </w:tr>
      <w:tr w14:paraId="41670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1756" w:type="pct"/>
            <w:tcBorders>
              <w:top w:val="single" w:color="auto" w:sz="4" w:space="0"/>
              <w:left w:val="single" w:color="auto" w:sz="4" w:space="0"/>
              <w:bottom w:val="single" w:color="auto" w:sz="4" w:space="0"/>
              <w:right w:val="single" w:color="auto" w:sz="4" w:space="0"/>
            </w:tcBorders>
            <w:shd w:val="clear" w:color="auto" w:fill="auto"/>
            <w:vAlign w:val="top"/>
          </w:tcPr>
          <w:p w14:paraId="331F7CEF">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排水系统</w:t>
            </w:r>
          </w:p>
        </w:tc>
        <w:tc>
          <w:tcPr>
            <w:tcW w:w="3243" w:type="pct"/>
            <w:tcBorders>
              <w:top w:val="single" w:color="auto" w:sz="4" w:space="0"/>
              <w:left w:val="single" w:color="auto" w:sz="4" w:space="0"/>
              <w:bottom w:val="single" w:color="auto" w:sz="4" w:space="0"/>
              <w:right w:val="single" w:color="auto" w:sz="4" w:space="0"/>
            </w:tcBorders>
            <w:shd w:val="clear" w:color="auto" w:fill="auto"/>
            <w:vAlign w:val="top"/>
          </w:tcPr>
          <w:p w14:paraId="2A6A6D2D">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按照现场实际情况交付</w:t>
            </w:r>
          </w:p>
        </w:tc>
      </w:tr>
      <w:tr w14:paraId="34A1C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3" w:hRule="atLeast"/>
        </w:trPr>
        <w:tc>
          <w:tcPr>
            <w:tcW w:w="1756" w:type="pct"/>
            <w:tcBorders>
              <w:top w:val="single" w:color="auto" w:sz="4" w:space="0"/>
              <w:left w:val="single" w:color="auto" w:sz="4" w:space="0"/>
              <w:bottom w:val="single" w:color="auto" w:sz="4" w:space="0"/>
              <w:right w:val="single" w:color="auto" w:sz="4" w:space="0"/>
            </w:tcBorders>
            <w:shd w:val="clear" w:color="auto" w:fill="auto"/>
            <w:vAlign w:val="top"/>
          </w:tcPr>
          <w:p w14:paraId="70118B73">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楼层净高</w:t>
            </w:r>
          </w:p>
        </w:tc>
        <w:tc>
          <w:tcPr>
            <w:tcW w:w="3243" w:type="pct"/>
            <w:tcBorders>
              <w:top w:val="single" w:color="auto" w:sz="4" w:space="0"/>
              <w:left w:val="single" w:color="auto" w:sz="4" w:space="0"/>
              <w:bottom w:val="single" w:color="auto" w:sz="4" w:space="0"/>
              <w:right w:val="single" w:color="auto" w:sz="4" w:space="0"/>
            </w:tcBorders>
            <w:shd w:val="clear" w:color="auto" w:fill="auto"/>
            <w:vAlign w:val="top"/>
          </w:tcPr>
          <w:p w14:paraId="0A3149B7">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按设计交付</w:t>
            </w:r>
          </w:p>
        </w:tc>
      </w:tr>
      <w:tr w14:paraId="7A2C6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3" w:hRule="atLeast"/>
        </w:trPr>
        <w:tc>
          <w:tcPr>
            <w:tcW w:w="1756" w:type="pct"/>
            <w:tcBorders>
              <w:top w:val="single" w:color="auto" w:sz="4" w:space="0"/>
              <w:left w:val="single" w:color="auto" w:sz="4" w:space="0"/>
              <w:bottom w:val="single" w:color="auto" w:sz="4" w:space="0"/>
              <w:right w:val="single" w:color="auto" w:sz="4" w:space="0"/>
            </w:tcBorders>
            <w:shd w:val="clear" w:color="auto" w:fill="auto"/>
            <w:vAlign w:val="top"/>
          </w:tcPr>
          <w:p w14:paraId="2AFA7107">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燃气</w:t>
            </w:r>
          </w:p>
        </w:tc>
        <w:tc>
          <w:tcPr>
            <w:tcW w:w="3243" w:type="pct"/>
            <w:tcBorders>
              <w:top w:val="single" w:color="auto" w:sz="4" w:space="0"/>
              <w:left w:val="single" w:color="auto" w:sz="4" w:space="0"/>
              <w:bottom w:val="single" w:color="auto" w:sz="4" w:space="0"/>
              <w:right w:val="single" w:color="auto" w:sz="4" w:space="0"/>
            </w:tcBorders>
            <w:shd w:val="clear" w:color="auto" w:fill="auto"/>
            <w:vAlign w:val="top"/>
          </w:tcPr>
          <w:p w14:paraId="75200FD8">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按照现场实际情况交付</w:t>
            </w:r>
          </w:p>
        </w:tc>
      </w:tr>
      <w:tr w14:paraId="5ECD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3" w:hRule="atLeast"/>
        </w:trPr>
        <w:tc>
          <w:tcPr>
            <w:tcW w:w="1756" w:type="pct"/>
            <w:tcBorders>
              <w:top w:val="single" w:color="auto" w:sz="4" w:space="0"/>
              <w:left w:val="single" w:color="auto" w:sz="4" w:space="0"/>
              <w:bottom w:val="single" w:color="auto" w:sz="4" w:space="0"/>
              <w:right w:val="single" w:color="auto" w:sz="4" w:space="0"/>
            </w:tcBorders>
            <w:shd w:val="clear" w:color="auto" w:fill="auto"/>
            <w:vAlign w:val="top"/>
          </w:tcPr>
          <w:p w14:paraId="31CF5BCE">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其他</w:t>
            </w:r>
          </w:p>
        </w:tc>
        <w:tc>
          <w:tcPr>
            <w:tcW w:w="3243" w:type="pct"/>
            <w:tcBorders>
              <w:top w:val="single" w:color="auto" w:sz="4" w:space="0"/>
              <w:left w:val="single" w:color="auto" w:sz="4" w:space="0"/>
              <w:bottom w:val="single" w:color="auto" w:sz="4" w:space="0"/>
              <w:right w:val="single" w:color="auto" w:sz="4" w:space="0"/>
            </w:tcBorders>
            <w:shd w:val="clear" w:color="auto" w:fill="auto"/>
            <w:vAlign w:val="top"/>
          </w:tcPr>
          <w:p w14:paraId="755937EF">
            <w:pPr>
              <w:keepNext w:val="0"/>
              <w:keepLines w:val="0"/>
              <w:suppressLineNumbers w:val="0"/>
              <w:adjustRightInd w:val="0"/>
              <w:snapToGrid w:val="0"/>
              <w:spacing w:before="0" w:beforeAutospacing="0" w:afterAutospacing="0" w:line="360" w:lineRule="auto"/>
              <w:ind w:left="0" w:right="0"/>
              <w:rPr>
                <w:rFonts w:hint="default"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按照现场实际情况交付</w:t>
            </w:r>
          </w:p>
        </w:tc>
      </w:tr>
    </w:tbl>
    <w:p w14:paraId="72F681E2">
      <w:pPr>
        <w:adjustRightInd w:val="0"/>
        <w:snapToGrid w:val="0"/>
        <w:spacing w:line="360" w:lineRule="auto"/>
        <w:rPr>
          <w:rFonts w:hint="eastAsia" w:ascii="仿宋_GB2312" w:hAnsi="仿宋_GB2312" w:eastAsia="仿宋_GB2312" w:cs="仿宋_GB2312"/>
          <w:color w:val="000000" w:themeColor="text1"/>
          <w:sz w:val="24"/>
          <w:highlight w:val="none"/>
          <w:lang w:eastAsia="zh"/>
          <w14:textFill>
            <w14:solidFill>
              <w14:schemeClr w14:val="tx1"/>
            </w14:solidFill>
          </w14:textFill>
        </w:rPr>
      </w:pPr>
    </w:p>
    <w:p w14:paraId="1C8FB5C7">
      <w:pPr>
        <w:adjustRightInd w:val="0"/>
        <w:snapToGrid w:val="0"/>
        <w:spacing w:line="360" w:lineRule="auto"/>
        <w:rPr>
          <w:rFonts w:hint="eastAsia" w:ascii="仿宋_GB2312" w:hAnsi="仿宋_GB2312" w:eastAsia="仿宋_GB2312" w:cs="仿宋_GB2312"/>
          <w:color w:val="000000" w:themeColor="text1"/>
          <w:sz w:val="24"/>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14:textFill>
            <w14:solidFill>
              <w14:schemeClr w14:val="tx1"/>
            </w14:solidFill>
          </w14:textFill>
        </w:rPr>
        <w:t>租赁</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房屋</w:t>
      </w:r>
      <w:r>
        <w:rPr>
          <w:rFonts w:hint="eastAsia" w:ascii="仿宋_GB2312" w:hAnsi="仿宋_GB2312" w:eastAsia="仿宋_GB2312" w:cs="仿宋_GB2312"/>
          <w:color w:val="000000" w:themeColor="text1"/>
          <w:sz w:val="21"/>
          <w:szCs w:val="21"/>
          <w:highlight w:val="none"/>
          <w14:textFill>
            <w14:solidFill>
              <w14:schemeClr w14:val="tx1"/>
            </w14:solidFill>
          </w14:textFill>
        </w:rPr>
        <w:t>及配套设施设备恢复标准</w:t>
      </w:r>
      <w:r>
        <w:rPr>
          <w:rFonts w:hint="eastAsia" w:ascii="仿宋_GB2312" w:hAnsi="仿宋_GB2312" w:eastAsia="仿宋_GB2312" w:cs="仿宋_GB2312"/>
          <w:color w:val="000000" w:themeColor="text1"/>
          <w:sz w:val="21"/>
          <w:szCs w:val="21"/>
          <w:highlight w:val="none"/>
          <w:lang w:eastAsia="zh"/>
          <w14:textFill>
            <w14:solidFill>
              <w14:schemeClr w14:val="tx1"/>
            </w14:solidFill>
          </w14:textFill>
        </w:rPr>
        <w:t>：</w:t>
      </w:r>
    </w:p>
    <w:p w14:paraId="4BC019C2">
      <w:pPr>
        <w:adjustRightInd w:val="0"/>
        <w:snapToGrid w:val="0"/>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结构：拆除室内分隔墙体，门，吊顶。拆除时注意保护原建筑承重墙、剪力墙、结构柱、房梁、空调，消防线路及管路等重要结构和设施。恢复原结构墙体、隔断、门等结构，尺寸和位置保持和原建设竣工图纸一致。</w:t>
      </w:r>
    </w:p>
    <w:p w14:paraId="5DE033C1">
      <w:pPr>
        <w:adjustRightInd w:val="0"/>
        <w:snapToGrid w:val="0"/>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2、地面：拆除装修时敷设的地毯、地板等地面装饰，地面恢复为静电地板地面。如在装修过程中有对原有静电地板进行切割、开孔的必须更换修复。</w:t>
      </w:r>
    </w:p>
    <w:p w14:paraId="2264B463">
      <w:pPr>
        <w:adjustRightInd w:val="0"/>
        <w:snapToGrid w:val="0"/>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3、墙体：拆除墙体装饰，如墙体因装修有大面积破损的应予以修补刮平。玻璃幕墙清除贴膜。</w:t>
      </w:r>
    </w:p>
    <w:p w14:paraId="24213718">
      <w:pPr>
        <w:adjustRightInd w:val="0"/>
        <w:snapToGrid w:val="0"/>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4、喷淋系统：如装修过程中将原喷淋头改为上喷的必须恢复为下喷。喷淋覆盖范围满足国家消防设计要求。</w:t>
      </w:r>
    </w:p>
    <w:p w14:paraId="5C39FAE6">
      <w:pPr>
        <w:adjustRightInd w:val="0"/>
        <w:snapToGrid w:val="0"/>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5、消火栓系统：房间中增加或者位移的消火栓必须拆除或者复位。</w:t>
      </w:r>
    </w:p>
    <w:p w14:paraId="577DF8F2">
      <w:pPr>
        <w:adjustRightInd w:val="0"/>
        <w:snapToGrid w:val="0"/>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6、烟感系统：装修中烟感改至吊顶下方的必须将烟感恢复至顶面。</w:t>
      </w:r>
    </w:p>
    <w:p w14:paraId="4108A57A">
      <w:pPr>
        <w:adjustRightInd w:val="0"/>
        <w:snapToGrid w:val="0"/>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7、空调系统：装修过程中如有增加或位移空调的必须拆除或者复位。</w:t>
      </w:r>
    </w:p>
    <w:p w14:paraId="66EE2FAF">
      <w:pPr>
        <w:adjustRightInd w:val="0"/>
        <w:snapToGrid w:val="0"/>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8、强弱电配电系统：有对强弱电进户线、箱改造或位移的必须进行复位。</w:t>
      </w:r>
    </w:p>
    <w:p w14:paraId="003F199D">
      <w:pPr>
        <w:adjustRightInd w:val="0"/>
        <w:snapToGrid w:val="0"/>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9、给排水系统：室内有新增给排水系统必须予以拆除。</w:t>
      </w:r>
    </w:p>
    <w:p w14:paraId="7335AB66">
      <w:pPr>
        <w:adjustRightInd w:val="0"/>
        <w:snapToGrid w:val="0"/>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lang w:val="en-US" w:eastAsia="zh-CN"/>
          <w14:textFill>
            <w14:solidFill>
              <w14:schemeClr w14:val="tx1"/>
            </w14:solidFill>
          </w14:textFill>
        </w:rPr>
        <w:t>特殊约定：乙方装修改造恢复时需满足现行规范要求</w:t>
      </w:r>
    </w:p>
    <w:p w14:paraId="7D7AC666">
      <w:pPr>
        <w:adjustRightInd/>
        <w:snapToGrid/>
        <w:spacing w:line="24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br w:type="page"/>
      </w:r>
    </w:p>
    <w:p w14:paraId="0107C0E1">
      <w:pPr>
        <w:adjustRightInd w:val="0"/>
        <w:snapToGrid w:val="0"/>
        <w:spacing w:line="360" w:lineRule="auto"/>
        <w:rPr>
          <w:rFonts w:hint="eastAsia" w:ascii="仿宋_GB2312" w:hAnsi="仿宋_GB2312" w:eastAsia="仿宋_GB2312" w:cs="仿宋_GB2312"/>
          <w:b/>
          <w:color w:val="000000" w:themeColor="text1"/>
          <w:szCs w:val="21"/>
          <w:highlight w:val="none"/>
          <w14:textFill>
            <w14:solidFill>
              <w14:schemeClr w14:val="tx1"/>
            </w14:solidFill>
          </w14:textFill>
        </w:rPr>
      </w:pPr>
      <w:r>
        <w:rPr>
          <w:rFonts w:hint="eastAsia" w:ascii="仿宋_GB2312" w:hAnsi="仿宋_GB2312" w:eastAsia="仿宋_GB2312" w:cs="仿宋_GB2312"/>
          <w:b/>
          <w:color w:val="000000" w:themeColor="text1"/>
          <w:szCs w:val="21"/>
          <w:highlight w:val="none"/>
          <w14:textFill>
            <w14:solidFill>
              <w14:schemeClr w14:val="tx1"/>
            </w14:solidFill>
          </w14:textFill>
        </w:rPr>
        <w:t>附件</w:t>
      </w:r>
      <w:r>
        <w:rPr>
          <w:rFonts w:ascii="仿宋_GB2312" w:hAnsi="仿宋_GB2312" w:eastAsia="仿宋_GB2312" w:cs="仿宋_GB2312"/>
          <w:b/>
          <w:color w:val="000000" w:themeColor="text1"/>
          <w:szCs w:val="21"/>
          <w:highlight w:val="none"/>
          <w14:textFill>
            <w14:solidFill>
              <w14:schemeClr w14:val="tx1"/>
            </w14:solidFill>
          </w14:textFill>
        </w:rPr>
        <w:t>3</w:t>
      </w:r>
      <w:r>
        <w:rPr>
          <w:rFonts w:hint="eastAsia" w:ascii="仿宋_GB2312" w:hAnsi="仿宋_GB2312" w:eastAsia="仿宋_GB2312" w:cs="仿宋_GB2312"/>
          <w:b/>
          <w:color w:val="000000" w:themeColor="text1"/>
          <w:szCs w:val="21"/>
          <w:highlight w:val="none"/>
          <w14:textFill>
            <w14:solidFill>
              <w14:schemeClr w14:val="tx1"/>
            </w14:solidFill>
          </w14:textFill>
        </w:rPr>
        <w:t>：</w:t>
      </w:r>
    </w:p>
    <w:p w14:paraId="7F1989BC">
      <w:pPr>
        <w:spacing w:line="300" w:lineRule="auto"/>
        <w:jc w:val="center"/>
        <w:rPr>
          <w:rFonts w:hint="eastAsia"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安全管理责任书</w:t>
      </w:r>
    </w:p>
    <w:p w14:paraId="00121260">
      <w:pPr>
        <w:spacing w:line="30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甲方：</w:t>
      </w:r>
      <w:r>
        <w:rPr>
          <w:rFonts w:hint="eastAsia" w:ascii="仿宋_GB2312" w:hAnsi="仿宋_GB2312" w:eastAsia="仿宋_GB2312" w:cs="仿宋_GB2312"/>
          <w:color w:val="000000" w:themeColor="text1"/>
          <w:szCs w:val="21"/>
          <w:highlight w:val="none"/>
          <w:u w:val="single"/>
          <w14:textFill>
            <w14:solidFill>
              <w14:schemeClr w14:val="tx1"/>
            </w14:solidFill>
          </w14:textFill>
        </w:rPr>
        <w:t xml:space="preserve">杭州南泰置业有限公司  </w:t>
      </w:r>
      <w:r>
        <w:rPr>
          <w:rFonts w:ascii="仿宋_GB2312" w:hAnsi="仿宋_GB2312" w:eastAsia="仿宋_GB2312" w:cs="仿宋_GB2312"/>
          <w:color w:val="000000" w:themeColor="text1"/>
          <w:szCs w:val="21"/>
          <w:highlight w:val="none"/>
          <w14:textFill>
            <w14:solidFill>
              <w14:schemeClr w14:val="tx1"/>
            </w14:solidFill>
          </w14:textFill>
        </w:rPr>
        <w:t xml:space="preserve">                                 </w:t>
      </w:r>
    </w:p>
    <w:p w14:paraId="50F02488">
      <w:pPr>
        <w:spacing w:line="30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 xml:space="preserve">乙方： </w:t>
      </w:r>
      <w:r>
        <w:rPr>
          <w:rFonts w:ascii="仿宋_GB2312" w:hAnsi="仿宋_GB2312" w:eastAsia="仿宋_GB2312" w:cs="仿宋_GB2312"/>
          <w:color w:val="000000" w:themeColor="text1"/>
          <w:szCs w:val="21"/>
          <w:highlight w:val="none"/>
          <w:u w:val="single"/>
          <w14:textFill>
            <w14:solidFill>
              <w14:schemeClr w14:val="tx1"/>
            </w14:solidFill>
          </w14:textFill>
        </w:rPr>
        <w:t xml:space="preserve">    </w:t>
      </w:r>
    </w:p>
    <w:p w14:paraId="09A4A6EE">
      <w:pPr>
        <w:spacing w:line="276"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p>
    <w:p w14:paraId="113287B9">
      <w:pPr>
        <w:spacing w:line="276"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为了创造良好的经营环境和经营秩序，促进社会治安和两个文明建设，依据《中华人民共和国安全生产法》《中华人民共和国消防法》《浙江省消防条例》《人员密集场所消防安全管理》《机关、团体、企业、事业单位消防安全管理规定》《中华人民共和国治安管理处罚法》《杭州市城市市容和环境卫生管理条例》及《杭州市环境卫生管理细则》等法律法规、国家规范、行业规范及部委文件中的有关规定，就安全经营管理、治安、消防、环境、卫生、用电等方面的管理责任，双方签订经营安全协议，具体约定如下：</w:t>
      </w:r>
    </w:p>
    <w:p w14:paraId="625194F3">
      <w:pPr>
        <w:widowControl/>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一、经营项目概况</w:t>
      </w:r>
    </w:p>
    <w:p w14:paraId="4CD30B9F">
      <w:pPr>
        <w:widowControl/>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 xml:space="preserve">项目合同：《地铁东城广场项目房屋整体租赁合同》                                                      </w:t>
      </w:r>
    </w:p>
    <w:p w14:paraId="00253856">
      <w:pPr>
        <w:widowControl/>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 xml:space="preserve">经营地点： </w:t>
      </w:r>
      <w:r>
        <w:rPr>
          <w:rFonts w:hint="eastAsia" w:ascii="仿宋_GB2312" w:hAnsi="仿宋_GB2312" w:eastAsia="仿宋_GB2312" w:cs="仿宋_GB2312"/>
          <w:color w:val="000000" w:themeColor="text1"/>
          <w:highlight w:val="none"/>
          <w14:textFill>
            <w14:solidFill>
              <w14:schemeClr w14:val="tx1"/>
            </w14:solidFill>
          </w14:textFill>
        </w:rPr>
        <w:t>与合同租赁经营范围一致</w:t>
      </w:r>
      <w:r>
        <w:rPr>
          <w:rFonts w:hint="eastAsia" w:ascii="仿宋_GB2312" w:hAnsi="仿宋_GB2312" w:eastAsia="仿宋_GB2312" w:cs="仿宋_GB2312"/>
          <w:color w:val="000000" w:themeColor="text1"/>
          <w:szCs w:val="21"/>
          <w:highlight w:val="none"/>
          <w14:textFill>
            <w14:solidFill>
              <w14:schemeClr w14:val="tx1"/>
            </w14:solidFill>
          </w14:textFill>
        </w:rPr>
        <w:t xml:space="preserve">                                                            </w:t>
      </w:r>
    </w:p>
    <w:p w14:paraId="6979BFC2">
      <w:pPr>
        <w:adjustRightInd w:val="0"/>
        <w:spacing w:line="360" w:lineRule="auto"/>
        <w:ind w:firstLine="420" w:firstLineChars="200"/>
        <w:textAlignment w:val="baseline"/>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 xml:space="preserve">经营期限： </w:t>
      </w:r>
      <w:r>
        <w:rPr>
          <w:rFonts w:hint="eastAsia" w:ascii="仿宋_GB2312" w:hAnsi="仿宋_GB2312" w:eastAsia="仿宋_GB2312" w:cs="仿宋_GB2312"/>
          <w:color w:val="000000" w:themeColor="text1"/>
          <w:highlight w:val="none"/>
          <w14:textFill>
            <w14:solidFill>
              <w14:schemeClr w14:val="tx1"/>
            </w14:solidFill>
          </w14:textFill>
        </w:rPr>
        <w:t>与合同租赁经营期限一致</w:t>
      </w:r>
      <w:r>
        <w:rPr>
          <w:rFonts w:hint="eastAsia" w:ascii="仿宋_GB2312" w:hAnsi="仿宋_GB2312" w:eastAsia="仿宋_GB2312" w:cs="仿宋_GB2312"/>
          <w:color w:val="000000" w:themeColor="text1"/>
          <w:szCs w:val="21"/>
          <w:highlight w:val="none"/>
          <w14:textFill>
            <w14:solidFill>
              <w14:schemeClr w14:val="tx1"/>
            </w14:solidFill>
          </w14:textFill>
        </w:rPr>
        <w:t xml:space="preserve">     </w:t>
      </w:r>
    </w:p>
    <w:p w14:paraId="3833478A">
      <w:pPr>
        <w:widowControl/>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二、安全目标</w:t>
      </w:r>
    </w:p>
    <w:p w14:paraId="69E0F087">
      <w:pPr>
        <w:widowControl/>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不发生责任安全事故（事件）；</w:t>
      </w:r>
    </w:p>
    <w:p w14:paraId="0106C08C">
      <w:pPr>
        <w:widowControl/>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不发生火灾；</w:t>
      </w:r>
    </w:p>
    <w:p w14:paraId="1B8244B3">
      <w:pPr>
        <w:widowControl/>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不发生治安事件；</w:t>
      </w:r>
    </w:p>
    <w:p w14:paraId="591ED42E">
      <w:pPr>
        <w:widowControl/>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不发生环境卫生事件；</w:t>
      </w:r>
    </w:p>
    <w:p w14:paraId="47231844">
      <w:pPr>
        <w:widowControl/>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不发生严重舆论影响事件；</w:t>
      </w:r>
    </w:p>
    <w:p w14:paraId="48043EFA">
      <w:pPr>
        <w:widowControl/>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不出现重大安全隐患；</w:t>
      </w:r>
    </w:p>
    <w:p w14:paraId="5CA29F4E">
      <w:pPr>
        <w:widowControl/>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不影响相关单位安全生产经营。</w:t>
      </w:r>
    </w:p>
    <w:p w14:paraId="13346165">
      <w:pPr>
        <w:widowControl/>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三、安全经营管理要求</w:t>
      </w:r>
    </w:p>
    <w:p w14:paraId="7903B1E3">
      <w:pPr>
        <w:adjustRightInd w:val="0"/>
        <w:spacing w:line="360" w:lineRule="auto"/>
        <w:ind w:firstLine="420" w:firstLineChars="200"/>
        <w:textAlignment w:val="baseline"/>
        <w:rPr>
          <w:rFonts w:hint="eastAsia" w:ascii="仿宋_GB2312" w:hAnsi="仿宋_GB2312" w:eastAsia="仿宋_GB2312" w:cs="仿宋_GB2312"/>
          <w:color w:val="000000" w:themeColor="text1"/>
          <w:sz w:val="20"/>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1、甲方责任</w:t>
      </w:r>
    </w:p>
    <w:p w14:paraId="074C5E7F">
      <w:pPr>
        <w:adjustRightInd w:val="0"/>
        <w:spacing w:line="360" w:lineRule="auto"/>
        <w:ind w:left="342" w:leftChars="163"/>
        <w:textAlignment w:val="baseline"/>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1.甲方在乙方承租物业前，向其交清承租物业环境和重要部位等消防注意事项。</w:t>
      </w:r>
    </w:p>
    <w:p w14:paraId="2C71DD6C">
      <w:pPr>
        <w:adjustRightInd w:val="0"/>
        <w:spacing w:line="360" w:lineRule="auto"/>
        <w:ind w:left="342" w:leftChars="163"/>
        <w:textAlignment w:val="baseline"/>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2．甲方应在经营区域内做好各项配合工作，为乙方经营创造有利条件。</w:t>
      </w:r>
    </w:p>
    <w:p w14:paraId="1C95C688">
      <w:pPr>
        <w:adjustRightInd w:val="0"/>
        <w:spacing w:line="360" w:lineRule="auto"/>
        <w:ind w:left="342" w:leftChars="163"/>
        <w:textAlignment w:val="baseline"/>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2.乙方责任</w:t>
      </w:r>
    </w:p>
    <w:p w14:paraId="189AA8EB">
      <w:pPr>
        <w:widowControl/>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1.乙方承担承租物业区域安全主体责任，落实国家和地方相关安全法律法规和规范标准的要求，乙方在甲方经营区域内的各类经营活动，受经营合同及本协议的约束。</w:t>
      </w:r>
    </w:p>
    <w:p w14:paraId="5F16AF1B">
      <w:pPr>
        <w:widowControl/>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w:t>
      </w:r>
      <w:r>
        <w:rPr>
          <w:rFonts w:ascii="仿宋_GB2312" w:hAnsi="仿宋_GB2312" w:eastAsia="仿宋_GB2312" w:cs="仿宋_GB2312"/>
          <w:color w:val="000000" w:themeColor="text1"/>
          <w:highlight w:val="none"/>
          <w14:textFill>
            <w14:solidFill>
              <w14:schemeClr w14:val="tx1"/>
            </w14:solidFill>
          </w14:textFill>
        </w:rPr>
        <w:t xml:space="preserve"> </w:t>
      </w:r>
      <w:r>
        <w:rPr>
          <w:rFonts w:hint="eastAsia" w:ascii="仿宋_GB2312" w:hAnsi="仿宋_GB2312" w:eastAsia="仿宋_GB2312" w:cs="仿宋_GB2312"/>
          <w:color w:val="000000" w:themeColor="text1"/>
          <w:szCs w:val="21"/>
          <w:highlight w:val="none"/>
          <w14:textFill>
            <w14:solidFill>
              <w14:schemeClr w14:val="tx1"/>
            </w14:solidFill>
          </w14:textFill>
        </w:rPr>
        <w:t>甲方管理人员出示证件后有权进入乙方承租物业，对治安、消防、卫生及商品等情况进行检查，乙方应根据甲方的要求及时落实整改，且乙方有责任配合工商、税务、公安、消防等部门依法处理各种违法违规行为。</w:t>
      </w:r>
    </w:p>
    <w:p w14:paraId="2AABFD19">
      <w:pPr>
        <w:widowControl/>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3.乙方在承租物业区域进行经营活动前须认真学习甲方的经营规范，并遵照规定严格执行。</w:t>
      </w:r>
    </w:p>
    <w:p w14:paraId="17A55429">
      <w:pPr>
        <w:widowControl/>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4.乙方指定_</w:t>
      </w:r>
      <w:r>
        <w:rPr>
          <w:rFonts w:hint="eastAsia" w:ascii="仿宋_GB2312" w:hAnsi="仿宋_GB2312" w:eastAsia="仿宋_GB2312" w:cs="仿宋_GB2312"/>
          <w:color w:val="000000" w:themeColor="text1"/>
          <w:szCs w:val="2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Cs w:val="21"/>
          <w:highlight w:val="none"/>
          <w14:textFill>
            <w14:solidFill>
              <w14:schemeClr w14:val="tx1"/>
            </w14:solidFill>
          </w14:textFill>
        </w:rPr>
        <w:t>_同志（身份证号码：_</w:t>
      </w:r>
      <w:r>
        <w:rPr>
          <w:rFonts w:hint="eastAsia" w:ascii="仿宋_GB2312" w:hAnsi="仿宋_GB2312" w:eastAsia="仿宋_GB2312" w:cs="仿宋_GB2312"/>
          <w:color w:val="000000" w:themeColor="text1"/>
          <w:szCs w:val="21"/>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Cs w:val="21"/>
          <w:highlight w:val="none"/>
          <w14:textFill>
            <w14:solidFill>
              <w14:schemeClr w14:val="tx1"/>
            </w14:solidFill>
          </w14:textFill>
        </w:rPr>
        <w:t>）负责承租物业区域内的安全、消防、治安等方面的管理，人员名单及通讯档案需上交甲方及物业公司存档，如发生变更，则应提前书面通知甲方及物业公司。</w:t>
      </w:r>
    </w:p>
    <w:p w14:paraId="175ACF93">
      <w:pPr>
        <w:widowControl/>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5.乙方的所有经营行为不得影响楼宇的正常运营，不得干扰楼宇消防、监控等设施设备的正常运行；</w:t>
      </w:r>
    </w:p>
    <w:p w14:paraId="28BF32BA">
      <w:pPr>
        <w:widowControl/>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6.乙方不得制作和售卖超经营范围和国家、地方政府明令禁止销售的物品，以及可能对楼宇安全造成隐患的物品。如：管制刀具、鞭炮、易燃易爆物品、违禁书刊杂志等；</w:t>
      </w:r>
    </w:p>
    <w:p w14:paraId="0F58B6FB">
      <w:pPr>
        <w:widowControl/>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7.乙方不得利用承租物业从事非法生产、加工、储存、经营爆炸性、毒害性、放射性、腐蚀性物质或者传染病病原体等危险物质和其他违法活动。</w:t>
      </w:r>
    </w:p>
    <w:p w14:paraId="5C31BB54">
      <w:pPr>
        <w:widowControl/>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8.乙方不得使用客梯搬运货物。</w:t>
      </w:r>
    </w:p>
    <w:p w14:paraId="3DE07E49">
      <w:pPr>
        <w:spacing w:line="360" w:lineRule="auto"/>
        <w:ind w:firstLine="420" w:firstLineChars="200"/>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highlight w:val="none"/>
          <w14:textFill>
            <w14:solidFill>
              <w14:schemeClr w14:val="tx1"/>
            </w14:solidFill>
          </w14:textFill>
        </w:rPr>
        <w:t>9.乙方应根据甲方的要求定期进行安全运营检查、用电设备安全专项检查及设备设施维护保养，及时发现经营过程中存在的安全隐患并及时进行优化调整，并做好存档备查。</w:t>
      </w:r>
    </w:p>
    <w:p w14:paraId="0575BD61">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治安、消防工作要求</w:t>
      </w:r>
    </w:p>
    <w:p w14:paraId="0453330D">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10、乙方应全面负责承租物业的消防安全管理工作，建立消防档案台账和防火设备检查记录，制定各项消防安全管理制度和应急处置预案并定期演练，做到责任到人。同时要经常对承租物业人员进行防火安全教育，做到“四懂四会”。</w:t>
      </w:r>
    </w:p>
    <w:p w14:paraId="59985F8E">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11.乙方应经消防部门批准，经开业前安全检查后方可开业，并负责承租物业区域内的消防安全管理工作，严格遵守国家和地方有关消防法律法规和规范标准的要求。</w:t>
      </w:r>
    </w:p>
    <w:p w14:paraId="351C0979">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12.乙方应明确消防安全管理人员、落实消防安全责任、开展消防安全巡查、组织防火检查、开展员工消防安全教育、组织应急演练等消防法律法规规定的要求。乙方从业人员必须会使用有关消防器材，并做好相关培训记录。</w:t>
      </w:r>
    </w:p>
    <w:p w14:paraId="3B79352A">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13、乙方应严格遵守各项消防法规及有关防火规定，承租物业及其周边消防疏散门、疏散楼梯、消防通道、安全出口等不得堆放杂物占用、堵塞或锁闭，必须保持畅通。承租物业内应按国家标准及相关规定设置消防器材、安全疏散指示标志和应急照明设施，禁止违章用火、用电，禁止遮挡消防设施设备，禁止放置易爆物品、堆积易燃物品，禁止在防火卷帘下堆积物品。</w:t>
      </w:r>
    </w:p>
    <w:p w14:paraId="18605C0A">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14、承租物业内禁止使用明火。乙方因特殊情况需要进行电、气焊等明火作业的，应当向甲方及物业公司办理审批手续，经批准并出具 “动火证”后，方可动火施工。动火施工人员应当遵守消防安全规定，并落实消防安全措施。</w:t>
      </w:r>
    </w:p>
    <w:p w14:paraId="73717F34">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15、承租物业内的消防设备、设施必须符合消防要求，始终保持完整、好用、正常的工作状态，严禁遮挡或挪作他用，如有丢失损坏应及时购置或维修。</w:t>
      </w:r>
    </w:p>
    <w:p w14:paraId="13319AB5">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16、乙方负责承租物业区域内消防器材的配置、维修、更换的费用。消防器材要适用场所、数量足够、摆放合理、专人保管、定期检测，确保其完好有效。</w:t>
      </w:r>
    </w:p>
    <w:p w14:paraId="0D0F2322">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17.乙方须积极配合甲方和物业公司开展的各类消防巡检、消防检测、安全检査、应急演练等。</w:t>
      </w:r>
    </w:p>
    <w:p w14:paraId="23769856">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18.乙方应组织从业人员进行上岗前及定期的安全培训及安全交底，增强消防安全意识。</w:t>
      </w:r>
    </w:p>
    <w:p w14:paraId="3AAF2230">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19.如果承租物业内要设置储物间，必须符合相关国家规范，储物间内严禁吸烟，储物间内严禁使用电炉、电烙铁、电熨斗等电热器具和电视机、电冰箱等家用电器。</w:t>
      </w:r>
    </w:p>
    <w:p w14:paraId="0BF1B2DF">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20.乙方必须落实治安反恐相关法律法规规定的要求，加强对从业人员的治安反恐法律宣传教育和管理，防止违反治安管理的行为发生。</w:t>
      </w:r>
    </w:p>
    <w:p w14:paraId="15DC2376">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21.乙方举办大型活动前，应事先通知甲方，并向公安、消防等主管部门备案并取得同意后，方可举办。</w:t>
      </w:r>
    </w:p>
    <w:p w14:paraId="205DD2F6">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22.乙方负责从业人员安全管理责任，及时提报从业人员身份信息，积极配合甲方及相关政府部门进行的从业人员背景审查工作。</w:t>
      </w:r>
    </w:p>
    <w:p w14:paraId="4292C148">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23.</w:t>
      </w:r>
      <w:r>
        <w:rPr>
          <w:rFonts w:ascii="仿宋_GB2312" w:hAnsi="仿宋_GB2312" w:eastAsia="仿宋_GB2312" w:cs="仿宋_GB2312"/>
          <w:color w:val="000000" w:themeColor="text1"/>
          <w:highlight w:val="none"/>
          <w14:textFill>
            <w14:solidFill>
              <w14:schemeClr w14:val="tx1"/>
            </w14:solidFill>
          </w14:textFill>
        </w:rPr>
        <w:t xml:space="preserve"> </w:t>
      </w:r>
      <w:r>
        <w:rPr>
          <w:rFonts w:hint="eastAsia" w:ascii="仿宋_GB2312" w:hAnsi="仿宋_GB2312" w:eastAsia="仿宋_GB2312" w:cs="仿宋_GB2312"/>
          <w:color w:val="000000" w:themeColor="text1"/>
          <w:szCs w:val="21"/>
          <w:highlight w:val="none"/>
          <w14:textFill>
            <w14:solidFill>
              <w14:schemeClr w14:val="tx1"/>
            </w14:solidFill>
          </w14:textFill>
        </w:rPr>
        <w:t>乙方必须加强对职工、从业人员的法律宣传教育和管理，防止违反治安管理的行为发生，如：扰乱公共秩序的行为；妨碍公共安全的行为；侵犯他人人身权利的行为；侵犯公共财物的行为；妨碍社会管理秩序的行为；违反消防管理的行为；严重妨碍社会管理秩序危害公民身心健康的行为。若有上述行为发生须追究乙方主管人员的责任，视情节严重，将依法处理并终止租赁合同。</w:t>
      </w:r>
    </w:p>
    <w:p w14:paraId="4006E2AD">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24.乙方负责承租物业区域内的安全管理，制订安全管理等相关规章制度，协助公安机关做好经营区域存在的刑事、治安案件的调查处理。</w:t>
      </w:r>
    </w:p>
    <w:p w14:paraId="10BB8F19">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25.</w:t>
      </w:r>
      <w:r>
        <w:rPr>
          <w:rFonts w:hint="eastAsia" w:ascii="仿宋_GB2312" w:hAnsi="仿宋_GB2312" w:eastAsia="仿宋_GB2312" w:cs="仿宋_GB2312"/>
          <w:color w:val="000000" w:themeColor="text1"/>
          <w:highlight w:val="none"/>
          <w14:textFill>
            <w14:solidFill>
              <w14:schemeClr w14:val="tx1"/>
            </w14:solidFill>
          </w14:textFill>
        </w:rPr>
        <w:t xml:space="preserve"> 乙方</w:t>
      </w:r>
      <w:r>
        <w:rPr>
          <w:rFonts w:hint="eastAsia" w:ascii="仿宋_GB2312" w:hAnsi="仿宋_GB2312" w:eastAsia="仿宋_GB2312" w:cs="仿宋_GB2312"/>
          <w:color w:val="000000" w:themeColor="text1"/>
          <w:szCs w:val="21"/>
          <w:highlight w:val="none"/>
          <w14:textFill>
            <w14:solidFill>
              <w14:schemeClr w14:val="tx1"/>
            </w14:solidFill>
          </w14:textFill>
        </w:rPr>
        <w:t>在承租物业内，禁止人员居住、生活（除经过政府职能部门审批取得相关证照的酒店、公寓等），禁止出现住宿与生产、仓储、经营“三合一”的情况。</w:t>
      </w:r>
    </w:p>
    <w:p w14:paraId="4BDB4133">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26.</w:t>
      </w:r>
      <w:r>
        <w:rPr>
          <w:rFonts w:hint="eastAsia" w:ascii="仿宋_GB2312" w:hAnsi="仿宋_GB2312" w:eastAsia="仿宋_GB2312" w:cs="仿宋_GB2312"/>
          <w:color w:val="000000" w:themeColor="text1"/>
          <w:highlight w:val="none"/>
          <w14:textFill>
            <w14:solidFill>
              <w14:schemeClr w14:val="tx1"/>
            </w14:solidFill>
          </w14:textFill>
        </w:rPr>
        <w:t xml:space="preserve"> 乙方</w:t>
      </w:r>
      <w:r>
        <w:rPr>
          <w:rFonts w:hint="eastAsia" w:ascii="仿宋_GB2312" w:hAnsi="仿宋_GB2312" w:eastAsia="仿宋_GB2312" w:cs="仿宋_GB2312"/>
          <w:color w:val="000000" w:themeColor="text1"/>
          <w:szCs w:val="21"/>
          <w:highlight w:val="none"/>
          <w14:textFill>
            <w14:solidFill>
              <w14:schemeClr w14:val="tx1"/>
            </w14:solidFill>
          </w14:textFill>
        </w:rPr>
        <w:t>在该租赁物业内，禁止用火或设置厨房；</w:t>
      </w:r>
    </w:p>
    <w:p w14:paraId="323E5D92">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用水用电安全管理要求</w:t>
      </w:r>
    </w:p>
    <w:p w14:paraId="010133A3">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27.未经甲方书面许可，乙方不得擅自更改所承租物业区域的使用功能，房屋、水、电结构。未经公安消防部门批准，不得擅自搭建临时建筑， 已经批准搭建的临时建筑使用到期后必须拆除。</w:t>
      </w:r>
    </w:p>
    <w:p w14:paraId="657DBC27">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28.对承租物业进行改造或装修时，必须经甲方同意，经审批后方可施工，并确保施工期间的消防安全。工程竣工后经验收合格后方可使用。如依据相关法律法规需报消防部门审批和验收的，需按照法规要求进行上报和验收，</w:t>
      </w:r>
    </w:p>
    <w:p w14:paraId="24178FD3">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29.乙方用电必须遵守甲方和物业公司发布的相关设施设备及用电规章。如需装修或改变用电设施，须报甲方审批，乙方承担相应费用，严禁私自拉电线、装灯、违规使用拖线板或转换插座，严禁擅自使用电加热设备，严禁超负荷用电。电气线路和电气设备的功率、保险装置应当与额定负荷相匹配，不得用其他金属丝代替保险丝等。</w:t>
      </w:r>
    </w:p>
    <w:p w14:paraId="1A154C53">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30.</w:t>
      </w:r>
      <w:r>
        <w:rPr>
          <w:rFonts w:ascii="仿宋_GB2312" w:hAnsi="仿宋_GB2312" w:eastAsia="仿宋_GB2312" w:cs="仿宋_GB2312"/>
          <w:color w:val="000000" w:themeColor="text1"/>
          <w:highlight w:val="none"/>
          <w14:textFill>
            <w14:solidFill>
              <w14:schemeClr w14:val="tx1"/>
            </w14:solidFill>
          </w14:textFill>
        </w:rPr>
        <w:t xml:space="preserve"> </w:t>
      </w:r>
      <w:r>
        <w:rPr>
          <w:rFonts w:hint="eastAsia" w:ascii="仿宋_GB2312" w:hAnsi="仿宋_GB2312" w:eastAsia="仿宋_GB2312" w:cs="仿宋_GB2312"/>
          <w:color w:val="000000" w:themeColor="text1"/>
          <w:szCs w:val="21"/>
          <w:highlight w:val="none"/>
          <w14:textFill>
            <w14:solidFill>
              <w14:schemeClr w14:val="tx1"/>
            </w14:solidFill>
          </w14:textFill>
        </w:rPr>
        <w:t>乙方不准随意触动楼宇内的各种水、电、风口、喷淋、消防报警等设备装置。严禁擅自装接给、排水设施，若有违反，由此造成的损失由乙方承担全部法律和经济赔偿责任。</w:t>
      </w:r>
    </w:p>
    <w:p w14:paraId="6F00091F">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环境、卫生工作要求</w:t>
      </w:r>
    </w:p>
    <w:p w14:paraId="732D9DEC">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31.乙方须根据相关法律法规、甲方及物业公司发布的相关规定妥善处理经营垃圾、废水等，做好垃圾分类工作。</w:t>
      </w:r>
    </w:p>
    <w:p w14:paraId="7381C460">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32.乙方须保证承租物业场地及门前区域内的清洁卫生，定期做好“四害”消杀工作。</w:t>
      </w:r>
    </w:p>
    <w:p w14:paraId="7D4B8584">
      <w:pPr>
        <w:widowControl/>
        <w:numPr>
          <w:ilvl w:val="255"/>
          <w:numId w:val="0"/>
        </w:numPr>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33.为确保经营场所空气清新，乙方应及时清除或妥善处理散发异味、腥味的物品。</w:t>
      </w:r>
    </w:p>
    <w:p w14:paraId="70352D88">
      <w:pPr>
        <w:widowControl/>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四、责任追究</w:t>
      </w:r>
    </w:p>
    <w:p w14:paraId="630BA08A">
      <w:pPr>
        <w:widowControl/>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1.乙方违反甲方发布的相关规定的，甲方有权要求乙方整改，同时按相关制度对乙方进行考核。</w:t>
      </w:r>
    </w:p>
    <w:p w14:paraId="4B8AD04D">
      <w:pPr>
        <w:widowControl/>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2.乙方违反经营合同或本协议相关条款的，甲方有权对乙方违规行为通过口头、书面形式要求乙方进行整改，同时可以按经营合同相关约定或甲方有关规定对乙方进行考核。</w:t>
      </w:r>
    </w:p>
    <w:p w14:paraId="624845DD">
      <w:pPr>
        <w:widowControl/>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3.乙方未实现本协议安全目标，或发生其他影响较坏、性质较恶劣的不安全情况的，甲方有权终止合同，并按照相关规定或约定追究相应赔偿。</w:t>
      </w:r>
    </w:p>
    <w:p w14:paraId="33112DFF">
      <w:pPr>
        <w:widowControl/>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4.乙方行为造成甲方或其他人员伤亡或财产损失的，全部后果与责任均由乙方自行承担，且甲方有权按照相关规定和约定给予处罚；发生事故构成犯罪的，将移交司法机关依法追究刑事责任。</w:t>
      </w:r>
    </w:p>
    <w:p w14:paraId="15E53D7B">
      <w:pPr>
        <w:widowControl/>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5.如同一行为同时违反多个考核或处罚依据的，甲方有权以处罚标准较高的条款为准进行考核。</w:t>
      </w:r>
    </w:p>
    <w:p w14:paraId="4807097E">
      <w:pPr>
        <w:widowControl/>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6.</w:t>
      </w:r>
      <w:r>
        <w:rPr>
          <w:rFonts w:ascii="仿宋_GB2312" w:hAnsi="仿宋_GB2312" w:eastAsia="仿宋_GB2312" w:cs="仿宋_GB2312"/>
          <w:color w:val="000000" w:themeColor="text1"/>
          <w:highlight w:val="none"/>
          <w14:textFill>
            <w14:solidFill>
              <w14:schemeClr w14:val="tx1"/>
            </w14:solidFill>
          </w14:textFill>
        </w:rPr>
        <w:t xml:space="preserve"> </w:t>
      </w:r>
      <w:r>
        <w:rPr>
          <w:rFonts w:hint="eastAsia" w:ascii="仿宋_GB2312" w:hAnsi="仿宋_GB2312" w:eastAsia="仿宋_GB2312" w:cs="仿宋_GB2312"/>
          <w:color w:val="000000" w:themeColor="text1"/>
          <w:szCs w:val="21"/>
          <w:highlight w:val="none"/>
          <w14:textFill>
            <w14:solidFill>
              <w14:schemeClr w14:val="tx1"/>
            </w14:solidFill>
          </w14:textFill>
        </w:rPr>
        <w:t>已缴纳履约保证金的不再单独缴纳安全保证金，如乙方违反本协议规定进行处罚的，甲方有权在履约保证金中进行考核。</w:t>
      </w:r>
    </w:p>
    <w:p w14:paraId="14831DEC">
      <w:pPr>
        <w:widowControl/>
        <w:spacing w:line="360" w:lineRule="auto"/>
        <w:ind w:firstLine="420" w:firstLineChars="200"/>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五、附则</w:t>
      </w:r>
    </w:p>
    <w:p w14:paraId="29C34F0F">
      <w:pPr>
        <w:widowControl/>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 xml:space="preserve">    本协议书自签订之日起生效至</w:t>
      </w:r>
      <w:r>
        <w:rPr>
          <w:rFonts w:hint="eastAsia" w:ascii="仿宋_GB2312" w:hAnsi="仿宋_GB2312" w:eastAsia="仿宋_GB2312" w:cs="仿宋_GB2312"/>
          <w:color w:val="000000" w:themeColor="text1"/>
          <w:szCs w:val="21"/>
          <w:highlight w:val="none"/>
          <w:lang w:val="en-US" w:eastAsia="zh-CN"/>
          <w14:textFill>
            <w14:solidFill>
              <w14:schemeClr w14:val="tx1"/>
            </w14:solidFill>
          </w14:textFill>
        </w:rPr>
        <w:t>租赁</w:t>
      </w:r>
      <w:r>
        <w:rPr>
          <w:rFonts w:hint="eastAsia" w:ascii="仿宋_GB2312" w:hAnsi="仿宋_GB2312" w:eastAsia="仿宋_GB2312" w:cs="仿宋_GB2312"/>
          <w:color w:val="000000" w:themeColor="text1"/>
          <w:szCs w:val="21"/>
          <w:highlight w:val="none"/>
          <w14:textFill>
            <w14:solidFill>
              <w14:schemeClr w14:val="tx1"/>
            </w14:solidFill>
          </w14:textFill>
        </w:rPr>
        <w:t>期限</w:t>
      </w:r>
      <w:r>
        <w:rPr>
          <w:rFonts w:hint="eastAsia" w:ascii="仿宋_GB2312" w:hAnsi="仿宋_GB2312" w:eastAsia="仿宋_GB2312" w:cs="仿宋_GB2312"/>
          <w:color w:val="000000" w:themeColor="text1"/>
          <w:szCs w:val="21"/>
          <w:highlight w:val="none"/>
          <w:lang w:val="en-US" w:eastAsia="zh-CN"/>
          <w14:textFill>
            <w14:solidFill>
              <w14:schemeClr w14:val="tx1"/>
            </w14:solidFill>
          </w14:textFill>
        </w:rPr>
        <w:t>届满</w:t>
      </w:r>
      <w:r>
        <w:rPr>
          <w:rFonts w:hint="eastAsia" w:ascii="仿宋_GB2312" w:hAnsi="仿宋_GB2312" w:eastAsia="仿宋_GB2312" w:cs="仿宋_GB2312"/>
          <w:color w:val="000000" w:themeColor="text1"/>
          <w:szCs w:val="21"/>
          <w:highlight w:val="none"/>
          <w14:textFill>
            <w14:solidFill>
              <w14:schemeClr w14:val="tx1"/>
            </w14:solidFill>
          </w14:textFill>
        </w:rPr>
        <w:t>时终止。</w:t>
      </w:r>
    </w:p>
    <w:p w14:paraId="4AC2C740">
      <w:pPr>
        <w:widowControl/>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p>
    <w:p w14:paraId="508575DC">
      <w:pPr>
        <w:widowControl/>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p>
    <w:p w14:paraId="4DB50953">
      <w:pPr>
        <w:widowControl/>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p>
    <w:p w14:paraId="73D13153">
      <w:pPr>
        <w:widowControl/>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p>
    <w:p w14:paraId="621EF592">
      <w:pPr>
        <w:widowControl/>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p>
    <w:p w14:paraId="23C5D7B9">
      <w:pPr>
        <w:widowControl/>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出租人（盖章）：                                承租人（盖章）：</w:t>
      </w:r>
    </w:p>
    <w:p w14:paraId="6DE9B867">
      <w:pPr>
        <w:widowControl/>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 xml:space="preserve">         </w:t>
      </w:r>
    </w:p>
    <w:p w14:paraId="77F8AB70">
      <w:pPr>
        <w:widowControl/>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法定代表人或授权代表：  　　　　　           法定代表人或授权代表：</w:t>
      </w:r>
    </w:p>
    <w:p w14:paraId="36ECE0D8">
      <w:pPr>
        <w:widowControl/>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p>
    <w:p w14:paraId="1C59040E">
      <w:pPr>
        <w:widowControl/>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日期：</w:t>
      </w:r>
      <w:r>
        <w:rPr>
          <w:rFonts w:hint="eastAsia" w:ascii="仿宋_GB2312" w:hAnsi="仿宋_GB2312" w:eastAsia="仿宋_GB2312" w:cs="仿宋_GB2312"/>
          <w:color w:val="000000" w:themeColor="text1"/>
          <w:szCs w:val="21"/>
          <w:highlight w:val="none"/>
          <w14:textFill>
            <w14:solidFill>
              <w14:schemeClr w14:val="tx1"/>
            </w14:solidFill>
          </w14:textFill>
        </w:rPr>
        <w:tab/>
      </w:r>
      <w:r>
        <w:rPr>
          <w:rFonts w:hint="eastAsia" w:ascii="仿宋_GB2312" w:hAnsi="仿宋_GB2312" w:eastAsia="仿宋_GB2312" w:cs="仿宋_GB2312"/>
          <w:color w:val="000000" w:themeColor="text1"/>
          <w:szCs w:val="21"/>
          <w:highlight w:val="none"/>
          <w14:textFill>
            <w14:solidFill>
              <w14:schemeClr w14:val="tx1"/>
            </w14:solidFill>
          </w14:textFill>
        </w:rPr>
        <w:t xml:space="preserve">                                        日期：</w:t>
      </w:r>
    </w:p>
    <w:p w14:paraId="21619D69">
      <w:pPr>
        <w:widowControl/>
        <w:jc w:val="left"/>
        <w:rPr>
          <w:rFonts w:hint="eastAsia" w:ascii="仿宋_GB2312" w:hAnsi="仿宋_GB2312" w:eastAsia="仿宋_GB2312" w:cs="仿宋_GB2312"/>
          <w:b/>
          <w:color w:val="000000" w:themeColor="text1"/>
          <w:sz w:val="28"/>
          <w:szCs w:val="28"/>
          <w:highlight w:val="none"/>
          <w14:textFill>
            <w14:solidFill>
              <w14:schemeClr w14:val="tx1"/>
            </w14:solidFill>
          </w14:textFill>
        </w:rPr>
      </w:pPr>
    </w:p>
    <w:p w14:paraId="2AB2731E">
      <w:pPr>
        <w:widowControl/>
        <w:jc w:val="left"/>
        <w:rPr>
          <w:rFonts w:hint="eastAsia" w:ascii="仿宋_GB2312" w:hAnsi="仿宋_GB2312" w:eastAsia="仿宋_GB2312" w:cs="仿宋_GB2312"/>
          <w:b/>
          <w:color w:val="000000" w:themeColor="text1"/>
          <w:sz w:val="28"/>
          <w:szCs w:val="28"/>
          <w:highlight w:val="none"/>
          <w14:textFill>
            <w14:solidFill>
              <w14:schemeClr w14:val="tx1"/>
            </w14:solidFill>
          </w14:textFill>
        </w:rPr>
      </w:pPr>
    </w:p>
    <w:p w14:paraId="3D409E35">
      <w:pPr>
        <w:widowControl/>
        <w:jc w:val="left"/>
        <w:rPr>
          <w:rFonts w:hint="eastAsia" w:ascii="仿宋_GB2312" w:hAnsi="仿宋_GB2312" w:eastAsia="仿宋_GB2312" w:cs="仿宋_GB2312"/>
          <w:b/>
          <w:color w:val="000000" w:themeColor="text1"/>
          <w:sz w:val="28"/>
          <w:szCs w:val="28"/>
          <w:highlight w:val="none"/>
          <w14:textFill>
            <w14:solidFill>
              <w14:schemeClr w14:val="tx1"/>
            </w14:solidFill>
          </w14:textFill>
        </w:rPr>
      </w:pPr>
    </w:p>
    <w:p w14:paraId="50022A63">
      <w:pPr>
        <w:widowControl/>
        <w:jc w:val="left"/>
        <w:rPr>
          <w:rFonts w:hint="eastAsia" w:ascii="仿宋_GB2312" w:hAnsi="仿宋_GB2312" w:eastAsia="仿宋_GB2312" w:cs="仿宋_GB2312"/>
          <w:b/>
          <w:color w:val="000000" w:themeColor="text1"/>
          <w:sz w:val="21"/>
          <w:szCs w:val="21"/>
          <w:highlight w:val="none"/>
          <w14:textFill>
            <w14:solidFill>
              <w14:schemeClr w14:val="tx1"/>
            </w14:solidFill>
          </w14:textFill>
        </w:rPr>
      </w:pPr>
      <w:r>
        <w:rPr>
          <w:rFonts w:hint="eastAsia" w:ascii="仿宋_GB2312" w:hAnsi="仿宋_GB2312" w:eastAsia="仿宋_GB2312" w:cs="仿宋_GB2312"/>
          <w:b/>
          <w:color w:val="000000" w:themeColor="text1"/>
          <w:sz w:val="21"/>
          <w:szCs w:val="21"/>
          <w:highlight w:val="none"/>
          <w14:textFill>
            <w14:solidFill>
              <w14:schemeClr w14:val="tx1"/>
            </w14:solidFill>
          </w14:textFill>
        </w:rPr>
        <w:t>附件4：</w:t>
      </w:r>
    </w:p>
    <w:p w14:paraId="691DB6C3">
      <w:pPr>
        <w:widowControl/>
        <w:jc w:val="center"/>
        <w:rPr>
          <w:rFonts w:hint="eastAsia"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《装修设计文件要求》</w:t>
      </w:r>
    </w:p>
    <w:p w14:paraId="31993189">
      <w:pPr>
        <w:widowControl/>
        <w:jc w:val="left"/>
        <w:rPr>
          <w:rFonts w:hint="eastAsia" w:ascii="仿宋_GB2312" w:hAnsi="仿宋_GB2312" w:eastAsia="仿宋_GB2312" w:cs="仿宋_GB2312"/>
          <w:b/>
          <w:color w:val="000000" w:themeColor="text1"/>
          <w:sz w:val="28"/>
          <w:szCs w:val="28"/>
          <w:highlight w:val="none"/>
          <w14:textFill>
            <w14:solidFill>
              <w14:schemeClr w14:val="tx1"/>
            </w14:solidFill>
          </w14:textFill>
        </w:rPr>
      </w:pPr>
    </w:p>
    <w:p w14:paraId="293AF5C2">
      <w:pPr>
        <w:keepNext w:val="0"/>
        <w:keepLines w:val="0"/>
        <w:widowControl w:val="0"/>
        <w:suppressLineNumbers w:val="0"/>
        <w:spacing w:before="0" w:beforeAutospacing="0" w:after="0" w:afterAutospacing="0" w:line="300" w:lineRule="auto"/>
        <w:ind w:left="0" w:right="0"/>
        <w:jc w:val="both"/>
        <w:rPr>
          <w:rFonts w:ascii="仿宋_GB2312" w:hAnsi="仿宋_GB2312" w:eastAsia="仿宋_GB2312" w:cs="仿宋_GB2312"/>
          <w:b/>
          <w:color w:val="000000" w:themeColor="text1"/>
          <w:szCs w:val="21"/>
          <w:highlight w:val="none"/>
          <w14:textFill>
            <w14:solidFill>
              <w14:schemeClr w14:val="tx1"/>
            </w14:solidFill>
          </w14:textFill>
        </w:rPr>
      </w:pPr>
      <w:r>
        <w:rPr>
          <w:rFonts w:hint="eastAsia" w:ascii="仿宋_GB2312" w:hAnsi="仿宋_GB2312" w:eastAsia="仿宋_GB2312" w:cs="仿宋_GB2312"/>
          <w:b/>
          <w:color w:val="000000" w:themeColor="text1"/>
          <w:szCs w:val="21"/>
          <w:highlight w:val="none"/>
          <w:lang w:val="en-US" w:eastAsia="zh-CN"/>
          <w14:textFill>
            <w14:solidFill>
              <w14:schemeClr w14:val="tx1"/>
            </w14:solidFill>
          </w14:textFill>
        </w:rPr>
        <w:t>乙方应向甲方提供的装修设计文件包括：</w:t>
      </w:r>
    </w:p>
    <w:p w14:paraId="78FE5686">
      <w:pPr>
        <w:keepNext w:val="0"/>
        <w:keepLines w:val="0"/>
        <w:widowControl w:val="0"/>
        <w:suppressLineNumbers w:val="0"/>
        <w:spacing w:before="0" w:beforeAutospacing="0" w:after="0" w:afterAutospacing="0" w:line="300" w:lineRule="auto"/>
        <w:ind w:left="0" w:right="0"/>
        <w:jc w:val="both"/>
        <w:rPr>
          <w:rFonts w:ascii="仿宋_GB2312" w:hAnsi="仿宋_GB2312" w:eastAsia="仿宋_GB2312" w:cs="仿宋_GB2312"/>
          <w:b/>
          <w:color w:val="000000" w:themeColor="text1"/>
          <w:szCs w:val="21"/>
          <w:highlight w:val="none"/>
          <w14:textFill>
            <w14:solidFill>
              <w14:schemeClr w14:val="tx1"/>
            </w14:solidFill>
          </w14:textFill>
        </w:rPr>
      </w:pPr>
      <w:r>
        <w:rPr>
          <w:rFonts w:ascii="仿宋_GB2312" w:hAnsi="仿宋_GB2312" w:eastAsia="仿宋_GB2312" w:cs="仿宋_GB2312"/>
          <w:b/>
          <w:color w:val="000000" w:themeColor="text1"/>
          <w:szCs w:val="21"/>
          <w:highlight w:val="none"/>
          <w:lang w:val="en-US" w:eastAsia="zh-CN"/>
          <w14:textFill>
            <w14:solidFill>
              <w14:schemeClr w14:val="tx1"/>
            </w14:solidFill>
          </w14:textFill>
        </w:rPr>
        <w:t xml:space="preserve"> </w:t>
      </w:r>
    </w:p>
    <w:p w14:paraId="4D2C6842">
      <w:pPr>
        <w:keepNext w:val="0"/>
        <w:keepLines w:val="0"/>
        <w:widowControl w:val="0"/>
        <w:suppressLineNumbers w:val="0"/>
        <w:spacing w:before="0" w:beforeAutospacing="0" w:after="0" w:afterAutospacing="0" w:line="300" w:lineRule="auto"/>
        <w:ind w:left="0" w:right="0"/>
        <w:jc w:val="both"/>
        <w:rPr>
          <w:rFonts w:hint="eastAsia" w:ascii="仿宋_GB2312" w:hAnsi="仿宋_GB2312" w:eastAsia="仿宋_GB2312" w:cs="仿宋_GB2312"/>
          <w:b/>
          <w:color w:val="000000" w:themeColor="text1"/>
          <w:szCs w:val="21"/>
          <w:highlight w:val="none"/>
          <w:lang w:eastAsia="zh"/>
          <w14:textFill>
            <w14:solidFill>
              <w14:schemeClr w14:val="tx1"/>
            </w14:solidFill>
          </w14:textFill>
        </w:rPr>
      </w:pPr>
      <w:r>
        <w:rPr>
          <w:rFonts w:hint="eastAsia" w:ascii="仿宋_GB2312" w:hAnsi="仿宋_GB2312" w:eastAsia="仿宋_GB2312" w:cs="仿宋_GB2312"/>
          <w:b/>
          <w:color w:val="000000" w:themeColor="text1"/>
          <w:szCs w:val="21"/>
          <w:highlight w:val="none"/>
          <w:lang w:val="en-US" w:eastAsia="zh-CN"/>
          <w14:textFill>
            <w14:solidFill>
              <w14:schemeClr w14:val="tx1"/>
            </w14:solidFill>
          </w14:textFill>
        </w:rPr>
        <w:t>装修平面图</w:t>
      </w:r>
      <w:r>
        <w:rPr>
          <w:rFonts w:hint="eastAsia" w:ascii="仿宋_GB2312" w:hAnsi="仿宋_GB2312" w:eastAsia="仿宋_GB2312" w:cs="仿宋_GB2312"/>
          <w:b/>
          <w:color w:val="000000" w:themeColor="text1"/>
          <w:szCs w:val="21"/>
          <w:highlight w:val="none"/>
          <w:lang w:val="en-US" w:eastAsia="zh"/>
          <w14:textFill>
            <w14:solidFill>
              <w14:schemeClr w14:val="tx1"/>
            </w14:solidFill>
          </w14:textFill>
        </w:rPr>
        <w:t>：</w:t>
      </w:r>
    </w:p>
    <w:p w14:paraId="6F022818">
      <w:pPr>
        <w:keepNext w:val="0"/>
        <w:keepLines w:val="0"/>
        <w:widowControl w:val="0"/>
        <w:suppressLineNumbers w:val="0"/>
        <w:spacing w:before="0" w:beforeAutospacing="0" w:after="0" w:afterAutospacing="0" w:line="300" w:lineRule="auto"/>
        <w:ind w:left="0" w:right="0"/>
        <w:jc w:val="both"/>
        <w:rPr>
          <w:rFonts w:ascii="仿宋_GB2312" w:hAnsi="仿宋_GB2312" w:eastAsia="仿宋_GB2312" w:cs="仿宋_GB2312"/>
          <w:b/>
          <w:color w:val="000000" w:themeColor="text1"/>
          <w:szCs w:val="21"/>
          <w:highlight w:val="none"/>
          <w14:textFill>
            <w14:solidFill>
              <w14:schemeClr w14:val="tx1"/>
            </w14:solidFill>
          </w14:textFill>
        </w:rPr>
      </w:pPr>
      <w:r>
        <w:rPr>
          <w:rFonts w:hint="eastAsia" w:ascii="仿宋_GB2312" w:hAnsi="仿宋_GB2312" w:eastAsia="仿宋_GB2312" w:cs="仿宋_GB2312"/>
          <w:b/>
          <w:color w:val="000000" w:themeColor="text1"/>
          <w:szCs w:val="21"/>
          <w:highlight w:val="none"/>
          <w:lang w:val="en-US" w:eastAsia="zh-CN"/>
          <w14:textFill>
            <w14:solidFill>
              <w14:schemeClr w14:val="tx1"/>
            </w14:solidFill>
          </w14:textFill>
        </w:rPr>
        <w:t>装修平面图需注明所有间隔、柜台货架位置；装饰用料及其施工方法，防火材料还需提供合格证和准用证；标明重型设备、详细尺寸及安装位置、负荷数据；注明地面施工方案。</w:t>
      </w:r>
    </w:p>
    <w:p w14:paraId="050AB202">
      <w:pPr>
        <w:keepNext w:val="0"/>
        <w:keepLines w:val="0"/>
        <w:widowControl w:val="0"/>
        <w:suppressLineNumbers w:val="0"/>
        <w:spacing w:before="0" w:beforeAutospacing="0" w:after="0" w:afterAutospacing="0" w:line="300" w:lineRule="auto"/>
        <w:ind w:left="0" w:right="0"/>
        <w:jc w:val="both"/>
        <w:rPr>
          <w:rFonts w:ascii="仿宋_GB2312" w:hAnsi="仿宋_GB2312" w:eastAsia="仿宋_GB2312" w:cs="仿宋_GB2312"/>
          <w:b/>
          <w:color w:val="000000" w:themeColor="text1"/>
          <w:szCs w:val="21"/>
          <w:highlight w:val="none"/>
          <w14:textFill>
            <w14:solidFill>
              <w14:schemeClr w14:val="tx1"/>
            </w14:solidFill>
          </w14:textFill>
        </w:rPr>
      </w:pPr>
      <w:r>
        <w:rPr>
          <w:rFonts w:ascii="仿宋_GB2312" w:hAnsi="仿宋_GB2312" w:eastAsia="仿宋_GB2312" w:cs="仿宋_GB2312"/>
          <w:b/>
          <w:color w:val="000000" w:themeColor="text1"/>
          <w:szCs w:val="21"/>
          <w:highlight w:val="none"/>
          <w:lang w:val="en-US" w:eastAsia="zh-CN"/>
          <w14:textFill>
            <w14:solidFill>
              <w14:schemeClr w14:val="tx1"/>
            </w14:solidFill>
          </w14:textFill>
        </w:rPr>
        <w:t xml:space="preserve"> </w:t>
      </w:r>
    </w:p>
    <w:p w14:paraId="77E4EC0E">
      <w:pPr>
        <w:keepNext w:val="0"/>
        <w:keepLines w:val="0"/>
        <w:widowControl w:val="0"/>
        <w:suppressLineNumbers w:val="0"/>
        <w:spacing w:before="0" w:beforeAutospacing="0" w:after="0" w:afterAutospacing="0" w:line="300" w:lineRule="auto"/>
        <w:ind w:left="0" w:right="0"/>
        <w:jc w:val="both"/>
        <w:rPr>
          <w:rFonts w:ascii="仿宋_GB2312" w:hAnsi="仿宋_GB2312" w:eastAsia="仿宋_GB2312" w:cs="仿宋_GB2312"/>
          <w:b/>
          <w:color w:val="000000" w:themeColor="text1"/>
          <w:szCs w:val="21"/>
          <w:highlight w:val="none"/>
          <w14:textFill>
            <w14:solidFill>
              <w14:schemeClr w14:val="tx1"/>
            </w14:solidFill>
          </w14:textFill>
        </w:rPr>
      </w:pPr>
      <w:r>
        <w:rPr>
          <w:rFonts w:hint="eastAsia" w:ascii="仿宋_GB2312" w:hAnsi="仿宋_GB2312" w:eastAsia="仿宋_GB2312" w:cs="仿宋_GB2312"/>
          <w:b/>
          <w:color w:val="000000" w:themeColor="text1"/>
          <w:szCs w:val="21"/>
          <w:highlight w:val="none"/>
          <w:lang w:val="en-US" w:eastAsia="zh-CN"/>
          <w14:textFill>
            <w14:solidFill>
              <w14:schemeClr w14:val="tx1"/>
            </w14:solidFill>
          </w14:textFill>
        </w:rPr>
        <w:t>各立面图；</w:t>
      </w:r>
    </w:p>
    <w:p w14:paraId="309AE1D7">
      <w:pPr>
        <w:keepNext w:val="0"/>
        <w:keepLines w:val="0"/>
        <w:widowControl w:val="0"/>
        <w:suppressLineNumbers w:val="0"/>
        <w:spacing w:before="0" w:beforeAutospacing="0" w:after="0" w:afterAutospacing="0" w:line="300" w:lineRule="auto"/>
        <w:ind w:left="0" w:right="0"/>
        <w:jc w:val="both"/>
        <w:rPr>
          <w:rFonts w:ascii="仿宋_GB2312" w:hAnsi="仿宋_GB2312" w:eastAsia="仿宋_GB2312" w:cs="仿宋_GB2312"/>
          <w:b/>
          <w:color w:val="000000" w:themeColor="text1"/>
          <w:szCs w:val="21"/>
          <w:highlight w:val="none"/>
          <w14:textFill>
            <w14:solidFill>
              <w14:schemeClr w14:val="tx1"/>
            </w14:solidFill>
          </w14:textFill>
        </w:rPr>
      </w:pPr>
      <w:r>
        <w:rPr>
          <w:rFonts w:ascii="仿宋_GB2312" w:hAnsi="仿宋_GB2312" w:eastAsia="仿宋_GB2312" w:cs="仿宋_GB2312"/>
          <w:b/>
          <w:color w:val="000000" w:themeColor="text1"/>
          <w:szCs w:val="21"/>
          <w:highlight w:val="none"/>
          <w:lang w:val="en-US" w:eastAsia="zh-CN"/>
          <w14:textFill>
            <w14:solidFill>
              <w14:schemeClr w14:val="tx1"/>
            </w14:solidFill>
          </w14:textFill>
        </w:rPr>
        <w:t xml:space="preserve"> </w:t>
      </w:r>
    </w:p>
    <w:p w14:paraId="17D62E3F">
      <w:pPr>
        <w:keepNext w:val="0"/>
        <w:keepLines w:val="0"/>
        <w:widowControl w:val="0"/>
        <w:suppressLineNumbers w:val="0"/>
        <w:spacing w:before="0" w:beforeAutospacing="0" w:after="0" w:afterAutospacing="0" w:line="300" w:lineRule="auto"/>
        <w:ind w:left="0" w:right="0"/>
        <w:jc w:val="both"/>
        <w:rPr>
          <w:rFonts w:ascii="仿宋_GB2312" w:hAnsi="仿宋_GB2312" w:eastAsia="仿宋_GB2312" w:cs="仿宋_GB2312"/>
          <w:b/>
          <w:color w:val="000000" w:themeColor="text1"/>
          <w:szCs w:val="21"/>
          <w:highlight w:val="none"/>
          <w14:textFill>
            <w14:solidFill>
              <w14:schemeClr w14:val="tx1"/>
            </w14:solidFill>
          </w14:textFill>
        </w:rPr>
      </w:pPr>
      <w:r>
        <w:rPr>
          <w:rFonts w:hint="eastAsia" w:ascii="仿宋_GB2312" w:hAnsi="仿宋_GB2312" w:eastAsia="仿宋_GB2312" w:cs="仿宋_GB2312"/>
          <w:b/>
          <w:color w:val="000000" w:themeColor="text1"/>
          <w:szCs w:val="21"/>
          <w:highlight w:val="none"/>
          <w:lang w:val="en-US" w:eastAsia="zh-CN"/>
          <w14:textFill>
            <w14:solidFill>
              <w14:schemeClr w14:val="tx1"/>
            </w14:solidFill>
          </w14:textFill>
        </w:rPr>
        <w:t>天花平面设计图；</w:t>
      </w:r>
    </w:p>
    <w:p w14:paraId="77502759">
      <w:pPr>
        <w:keepNext w:val="0"/>
        <w:keepLines w:val="0"/>
        <w:widowControl w:val="0"/>
        <w:suppressLineNumbers w:val="0"/>
        <w:spacing w:before="0" w:beforeAutospacing="0" w:after="0" w:afterAutospacing="0" w:line="300" w:lineRule="auto"/>
        <w:ind w:left="0" w:right="0"/>
        <w:jc w:val="both"/>
        <w:rPr>
          <w:rFonts w:ascii="仿宋_GB2312" w:hAnsi="仿宋_GB2312" w:eastAsia="仿宋_GB2312" w:cs="仿宋_GB2312"/>
          <w:b/>
          <w:color w:val="000000" w:themeColor="text1"/>
          <w:szCs w:val="21"/>
          <w:highlight w:val="none"/>
          <w14:textFill>
            <w14:solidFill>
              <w14:schemeClr w14:val="tx1"/>
            </w14:solidFill>
          </w14:textFill>
        </w:rPr>
      </w:pPr>
      <w:r>
        <w:rPr>
          <w:rFonts w:ascii="仿宋_GB2312" w:hAnsi="仿宋_GB2312" w:eastAsia="仿宋_GB2312" w:cs="仿宋_GB2312"/>
          <w:b/>
          <w:color w:val="000000" w:themeColor="text1"/>
          <w:szCs w:val="21"/>
          <w:highlight w:val="none"/>
          <w:lang w:val="en-US" w:eastAsia="zh-CN"/>
          <w14:textFill>
            <w14:solidFill>
              <w14:schemeClr w14:val="tx1"/>
            </w14:solidFill>
          </w14:textFill>
        </w:rPr>
        <w:t xml:space="preserve"> </w:t>
      </w:r>
    </w:p>
    <w:p w14:paraId="6F9C09BD">
      <w:pPr>
        <w:keepNext w:val="0"/>
        <w:keepLines w:val="0"/>
        <w:widowControl w:val="0"/>
        <w:suppressLineNumbers w:val="0"/>
        <w:spacing w:before="0" w:beforeAutospacing="0" w:after="0" w:afterAutospacing="0" w:line="300" w:lineRule="auto"/>
        <w:ind w:left="0" w:right="0"/>
        <w:jc w:val="both"/>
        <w:rPr>
          <w:rFonts w:ascii="仿宋_GB2312" w:hAnsi="仿宋_GB2312" w:eastAsia="仿宋_GB2312" w:cs="仿宋_GB2312"/>
          <w:b/>
          <w:color w:val="000000" w:themeColor="text1"/>
          <w:szCs w:val="21"/>
          <w:highlight w:val="none"/>
          <w14:textFill>
            <w14:solidFill>
              <w14:schemeClr w14:val="tx1"/>
            </w14:solidFill>
          </w14:textFill>
        </w:rPr>
      </w:pPr>
      <w:r>
        <w:rPr>
          <w:rFonts w:hint="eastAsia" w:ascii="仿宋_GB2312" w:hAnsi="仿宋_GB2312" w:eastAsia="仿宋_GB2312" w:cs="仿宋_GB2312"/>
          <w:b/>
          <w:color w:val="000000" w:themeColor="text1"/>
          <w:szCs w:val="21"/>
          <w:highlight w:val="none"/>
          <w:lang w:val="en-US" w:eastAsia="zh-CN"/>
          <w14:textFill>
            <w14:solidFill>
              <w14:schemeClr w14:val="tx1"/>
            </w14:solidFill>
          </w14:textFill>
        </w:rPr>
        <w:t>橱窗及店招、招牌的设计，包括字体、店徽的设计和用料；</w:t>
      </w:r>
    </w:p>
    <w:p w14:paraId="2A588C48">
      <w:pPr>
        <w:keepNext w:val="0"/>
        <w:keepLines w:val="0"/>
        <w:widowControl w:val="0"/>
        <w:suppressLineNumbers w:val="0"/>
        <w:spacing w:before="0" w:beforeAutospacing="0" w:after="0" w:afterAutospacing="0" w:line="300" w:lineRule="auto"/>
        <w:ind w:left="0" w:right="0"/>
        <w:jc w:val="both"/>
        <w:rPr>
          <w:rFonts w:ascii="仿宋_GB2312" w:hAnsi="仿宋_GB2312" w:eastAsia="仿宋_GB2312" w:cs="仿宋_GB2312"/>
          <w:b/>
          <w:color w:val="000000" w:themeColor="text1"/>
          <w:szCs w:val="21"/>
          <w:highlight w:val="none"/>
          <w14:textFill>
            <w14:solidFill>
              <w14:schemeClr w14:val="tx1"/>
            </w14:solidFill>
          </w14:textFill>
        </w:rPr>
      </w:pPr>
      <w:r>
        <w:rPr>
          <w:rFonts w:ascii="仿宋_GB2312" w:hAnsi="仿宋_GB2312" w:eastAsia="仿宋_GB2312" w:cs="仿宋_GB2312"/>
          <w:b/>
          <w:color w:val="000000" w:themeColor="text1"/>
          <w:szCs w:val="21"/>
          <w:highlight w:val="none"/>
          <w:lang w:val="en-US" w:eastAsia="zh-CN"/>
          <w14:textFill>
            <w14:solidFill>
              <w14:schemeClr w14:val="tx1"/>
            </w14:solidFill>
          </w14:textFill>
        </w:rPr>
        <w:t xml:space="preserve"> </w:t>
      </w:r>
    </w:p>
    <w:p w14:paraId="11A49737">
      <w:pPr>
        <w:keepNext w:val="0"/>
        <w:keepLines w:val="0"/>
        <w:widowControl w:val="0"/>
        <w:suppressLineNumbers w:val="0"/>
        <w:spacing w:before="0" w:beforeAutospacing="0" w:after="0" w:afterAutospacing="0" w:line="300" w:lineRule="auto"/>
        <w:ind w:left="0" w:right="0"/>
        <w:jc w:val="both"/>
        <w:rPr>
          <w:rFonts w:hint="eastAsia" w:ascii="仿宋_GB2312" w:hAnsi="仿宋_GB2312" w:eastAsia="仿宋_GB2312" w:cs="仿宋_GB2312"/>
          <w:b/>
          <w:color w:val="000000" w:themeColor="text1"/>
          <w:szCs w:val="21"/>
          <w:highlight w:val="none"/>
          <w:lang w:eastAsia="zh"/>
          <w14:textFill>
            <w14:solidFill>
              <w14:schemeClr w14:val="tx1"/>
            </w14:solidFill>
          </w14:textFill>
        </w:rPr>
      </w:pPr>
      <w:r>
        <w:rPr>
          <w:rFonts w:hint="eastAsia" w:ascii="仿宋_GB2312" w:hAnsi="仿宋_GB2312" w:eastAsia="仿宋_GB2312" w:cs="仿宋_GB2312"/>
          <w:b/>
          <w:color w:val="000000" w:themeColor="text1"/>
          <w:szCs w:val="21"/>
          <w:highlight w:val="none"/>
          <w:lang w:val="en-US" w:eastAsia="zh-CN"/>
          <w14:textFill>
            <w14:solidFill>
              <w14:schemeClr w14:val="tx1"/>
            </w14:solidFill>
          </w14:textFill>
        </w:rPr>
        <w:t>电气系统图、电气施工平面图</w:t>
      </w:r>
      <w:r>
        <w:rPr>
          <w:rFonts w:hint="eastAsia" w:ascii="仿宋_GB2312" w:hAnsi="仿宋_GB2312" w:eastAsia="仿宋_GB2312" w:cs="仿宋_GB2312"/>
          <w:b/>
          <w:color w:val="000000" w:themeColor="text1"/>
          <w:szCs w:val="21"/>
          <w:highlight w:val="none"/>
          <w:lang w:val="en-US" w:eastAsia="zh"/>
          <w14:textFill>
            <w14:solidFill>
              <w14:schemeClr w14:val="tx1"/>
            </w14:solidFill>
          </w14:textFill>
        </w:rPr>
        <w:t>：</w:t>
      </w:r>
    </w:p>
    <w:p w14:paraId="65D147EA">
      <w:pPr>
        <w:keepNext w:val="0"/>
        <w:keepLines w:val="0"/>
        <w:widowControl w:val="0"/>
        <w:suppressLineNumbers w:val="0"/>
        <w:spacing w:before="0" w:beforeAutospacing="0" w:after="0" w:afterAutospacing="0" w:line="300" w:lineRule="auto"/>
        <w:ind w:left="0" w:right="0"/>
        <w:jc w:val="both"/>
        <w:rPr>
          <w:rFonts w:ascii="仿宋_GB2312" w:hAnsi="仿宋_GB2312" w:eastAsia="仿宋_GB2312" w:cs="仿宋_GB2312"/>
          <w:b/>
          <w:color w:val="000000" w:themeColor="text1"/>
          <w:szCs w:val="21"/>
          <w:highlight w:val="none"/>
          <w14:textFill>
            <w14:solidFill>
              <w14:schemeClr w14:val="tx1"/>
            </w14:solidFill>
          </w14:textFill>
        </w:rPr>
      </w:pPr>
      <w:r>
        <w:rPr>
          <w:rFonts w:hint="eastAsia" w:ascii="仿宋_GB2312" w:hAnsi="仿宋_GB2312" w:eastAsia="仿宋_GB2312" w:cs="仿宋_GB2312"/>
          <w:b/>
          <w:color w:val="000000" w:themeColor="text1"/>
          <w:szCs w:val="21"/>
          <w:highlight w:val="none"/>
          <w:lang w:val="en-US" w:eastAsia="zh-CN"/>
          <w14:textFill>
            <w14:solidFill>
              <w14:schemeClr w14:val="tx1"/>
            </w14:solidFill>
          </w14:textFill>
        </w:rPr>
        <w:t>需注明灯具、电脑、网络、厨具等各类电器设备型号、功率、功率因数、额定电压、数量及安装方法；标明镇流器安放位置及型号规格；注明电线规格及线路敷设方法；注明电源开关、灯具开关及插座等型号规格。一般情况下，每一个商铺的总用电量不得超过甲方允许的容量。</w:t>
      </w:r>
    </w:p>
    <w:p w14:paraId="6B9C3334">
      <w:pPr>
        <w:keepNext w:val="0"/>
        <w:keepLines w:val="0"/>
        <w:widowControl w:val="0"/>
        <w:suppressLineNumbers w:val="0"/>
        <w:spacing w:before="0" w:beforeAutospacing="0" w:after="0" w:afterAutospacing="0" w:line="300" w:lineRule="auto"/>
        <w:ind w:left="0" w:right="0"/>
        <w:jc w:val="both"/>
        <w:rPr>
          <w:rFonts w:ascii="仿宋_GB2312" w:hAnsi="仿宋_GB2312" w:eastAsia="仿宋_GB2312" w:cs="仿宋_GB2312"/>
          <w:b/>
          <w:color w:val="000000" w:themeColor="text1"/>
          <w:szCs w:val="21"/>
          <w:highlight w:val="none"/>
          <w14:textFill>
            <w14:solidFill>
              <w14:schemeClr w14:val="tx1"/>
            </w14:solidFill>
          </w14:textFill>
        </w:rPr>
      </w:pPr>
      <w:r>
        <w:rPr>
          <w:rFonts w:ascii="仿宋_GB2312" w:hAnsi="仿宋_GB2312" w:eastAsia="仿宋_GB2312" w:cs="仿宋_GB2312"/>
          <w:b/>
          <w:color w:val="000000" w:themeColor="text1"/>
          <w:szCs w:val="21"/>
          <w:highlight w:val="none"/>
          <w:lang w:val="en-US" w:eastAsia="zh-CN"/>
          <w14:textFill>
            <w14:solidFill>
              <w14:schemeClr w14:val="tx1"/>
            </w14:solidFill>
          </w14:textFill>
        </w:rPr>
        <w:t xml:space="preserve"> </w:t>
      </w:r>
    </w:p>
    <w:p w14:paraId="17EA5AED">
      <w:pPr>
        <w:keepNext w:val="0"/>
        <w:keepLines w:val="0"/>
        <w:widowControl w:val="0"/>
        <w:suppressLineNumbers w:val="0"/>
        <w:spacing w:before="0" w:beforeAutospacing="0" w:after="0" w:afterAutospacing="0" w:line="300" w:lineRule="auto"/>
        <w:ind w:left="0" w:right="0"/>
        <w:jc w:val="both"/>
        <w:rPr>
          <w:rFonts w:ascii="仿宋_GB2312" w:hAnsi="仿宋_GB2312" w:eastAsia="仿宋_GB2312" w:cs="仿宋_GB2312"/>
          <w:b/>
          <w:color w:val="000000" w:themeColor="text1"/>
          <w:szCs w:val="21"/>
          <w:highlight w:val="none"/>
          <w14:textFill>
            <w14:solidFill>
              <w14:schemeClr w14:val="tx1"/>
            </w14:solidFill>
          </w14:textFill>
        </w:rPr>
      </w:pPr>
      <w:r>
        <w:rPr>
          <w:rFonts w:hint="eastAsia" w:ascii="仿宋_GB2312" w:hAnsi="仿宋_GB2312" w:eastAsia="仿宋_GB2312" w:cs="仿宋_GB2312"/>
          <w:b/>
          <w:color w:val="000000" w:themeColor="text1"/>
          <w:szCs w:val="21"/>
          <w:highlight w:val="none"/>
          <w:lang w:val="en-US" w:eastAsia="zh-CN"/>
          <w14:textFill>
            <w14:solidFill>
              <w14:schemeClr w14:val="tx1"/>
            </w14:solidFill>
          </w14:textFill>
        </w:rPr>
        <w:t>彩色装修效果图；</w:t>
      </w:r>
    </w:p>
    <w:p w14:paraId="6B57395B">
      <w:pPr>
        <w:keepNext w:val="0"/>
        <w:keepLines w:val="0"/>
        <w:widowControl w:val="0"/>
        <w:suppressLineNumbers w:val="0"/>
        <w:spacing w:before="0" w:beforeAutospacing="0" w:after="0" w:afterAutospacing="0" w:line="300" w:lineRule="auto"/>
        <w:ind w:left="0" w:right="0"/>
        <w:jc w:val="both"/>
        <w:rPr>
          <w:rFonts w:ascii="仿宋_GB2312" w:hAnsi="仿宋_GB2312" w:eastAsia="仿宋_GB2312" w:cs="仿宋_GB2312"/>
          <w:b/>
          <w:color w:val="000000" w:themeColor="text1"/>
          <w:szCs w:val="21"/>
          <w:highlight w:val="none"/>
          <w14:textFill>
            <w14:solidFill>
              <w14:schemeClr w14:val="tx1"/>
            </w14:solidFill>
          </w14:textFill>
        </w:rPr>
      </w:pPr>
      <w:r>
        <w:rPr>
          <w:rFonts w:ascii="仿宋_GB2312" w:hAnsi="仿宋_GB2312" w:eastAsia="仿宋_GB2312" w:cs="仿宋_GB2312"/>
          <w:b/>
          <w:color w:val="000000" w:themeColor="text1"/>
          <w:szCs w:val="21"/>
          <w:highlight w:val="none"/>
          <w:lang w:val="en-US" w:eastAsia="zh-CN"/>
          <w14:textFill>
            <w14:solidFill>
              <w14:schemeClr w14:val="tx1"/>
            </w14:solidFill>
          </w14:textFill>
        </w:rPr>
        <w:t xml:space="preserve"> </w:t>
      </w:r>
    </w:p>
    <w:p w14:paraId="34C50976">
      <w:pPr>
        <w:keepNext w:val="0"/>
        <w:keepLines w:val="0"/>
        <w:widowControl w:val="0"/>
        <w:suppressLineNumbers w:val="0"/>
        <w:spacing w:before="0" w:beforeAutospacing="0" w:after="0" w:afterAutospacing="0" w:line="300" w:lineRule="auto"/>
        <w:ind w:left="0" w:right="0"/>
        <w:jc w:val="both"/>
        <w:rPr>
          <w:rFonts w:ascii="仿宋_GB2312" w:hAnsi="仿宋_GB2312" w:eastAsia="仿宋_GB2312" w:cs="仿宋_GB2312"/>
          <w:b/>
          <w:color w:val="000000" w:themeColor="text1"/>
          <w:szCs w:val="21"/>
          <w:highlight w:val="none"/>
          <w14:textFill>
            <w14:solidFill>
              <w14:schemeClr w14:val="tx1"/>
            </w14:solidFill>
          </w14:textFill>
        </w:rPr>
      </w:pPr>
      <w:r>
        <w:rPr>
          <w:rFonts w:hint="eastAsia" w:ascii="仿宋_GB2312" w:hAnsi="仿宋_GB2312" w:eastAsia="仿宋_GB2312" w:cs="仿宋_GB2312"/>
          <w:b/>
          <w:color w:val="000000" w:themeColor="text1"/>
          <w:szCs w:val="21"/>
          <w:highlight w:val="none"/>
          <w:lang w:val="en-US" w:eastAsia="zh-CN"/>
          <w14:textFill>
            <w14:solidFill>
              <w14:schemeClr w14:val="tx1"/>
            </w14:solidFill>
          </w14:textFill>
        </w:rPr>
        <w:t>装修设计图纸需由商户（租户）自行申报至消防主管部门，并取得同意批复。</w:t>
      </w:r>
    </w:p>
    <w:p w14:paraId="0600C3E7">
      <w:pPr>
        <w:keepNext w:val="0"/>
        <w:keepLines w:val="0"/>
        <w:widowControl/>
        <w:suppressLineNumbers w:val="0"/>
        <w:jc w:val="left"/>
        <w:rPr>
          <w:color w:val="000000" w:themeColor="text1"/>
          <w:highlight w:val="none"/>
          <w14:textFill>
            <w14:solidFill>
              <w14:schemeClr w14:val="tx1"/>
            </w14:solidFill>
          </w14:textFill>
        </w:rPr>
      </w:pPr>
      <w:r>
        <w:rPr>
          <w:rFonts w:ascii="仿宋_GB2312" w:hAnsi="仿宋_GB2312" w:eastAsia="仿宋_GB2312" w:cs="仿宋_GB2312"/>
          <w:b/>
          <w:color w:val="000000" w:themeColor="text1"/>
          <w:szCs w:val="21"/>
          <w:highlight w:val="none"/>
          <w14:textFill>
            <w14:solidFill>
              <w14:schemeClr w14:val="tx1"/>
            </w14:solidFill>
          </w14:textFill>
        </w:rPr>
        <w:br w:type="page"/>
      </w:r>
    </w:p>
    <w:p w14:paraId="67D56033">
      <w:pPr>
        <w:widowControl/>
        <w:jc w:val="left"/>
        <w:rPr>
          <w:rFonts w:hint="eastAsia" w:ascii="仿宋_GB2312" w:hAnsi="仿宋_GB2312" w:eastAsia="仿宋_GB2312" w:cs="仿宋_GB2312"/>
          <w:b/>
          <w:color w:val="000000" w:themeColor="text1"/>
          <w:szCs w:val="21"/>
          <w:highlight w:val="none"/>
          <w14:textFill>
            <w14:solidFill>
              <w14:schemeClr w14:val="tx1"/>
            </w14:solidFill>
          </w14:textFill>
        </w:rPr>
      </w:pPr>
    </w:p>
    <w:p w14:paraId="139A8A0B">
      <w:pPr>
        <w:adjustRightInd w:val="0"/>
        <w:snapToGrid w:val="0"/>
        <w:spacing w:line="360" w:lineRule="auto"/>
        <w:jc w:val="left"/>
        <w:rPr>
          <w:rFonts w:hint="eastAsia" w:ascii="仿宋_GB2312" w:hAnsi="仿宋_GB2312" w:eastAsia="仿宋_GB2312" w:cs="仿宋_GB2312"/>
          <w:b/>
          <w:color w:val="000000" w:themeColor="text1"/>
          <w:szCs w:val="21"/>
          <w:highlight w:val="none"/>
          <w14:textFill>
            <w14:solidFill>
              <w14:schemeClr w14:val="tx1"/>
            </w14:solidFill>
          </w14:textFill>
        </w:rPr>
      </w:pPr>
      <w:r>
        <w:rPr>
          <w:rFonts w:hint="eastAsia" w:ascii="仿宋_GB2312" w:hAnsi="仿宋_GB2312" w:eastAsia="仿宋_GB2312" w:cs="仿宋_GB2312"/>
          <w:b/>
          <w:color w:val="000000" w:themeColor="text1"/>
          <w:szCs w:val="21"/>
          <w:highlight w:val="none"/>
          <w14:textFill>
            <w14:solidFill>
              <w14:schemeClr w14:val="tx1"/>
            </w14:solidFill>
          </w14:textFill>
        </w:rPr>
        <w:t>附件5：</w:t>
      </w:r>
    </w:p>
    <w:p w14:paraId="4207559D">
      <w:pPr>
        <w:snapToGrid w:val="0"/>
        <w:spacing w:line="360" w:lineRule="auto"/>
        <w:jc w:val="center"/>
        <w:rPr>
          <w:rFonts w:hint="eastAsia"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《租赁范围》</w:t>
      </w:r>
    </w:p>
    <w:p w14:paraId="30F79C95">
      <w:pPr>
        <w:snapToGrid w:val="0"/>
        <w:spacing w:line="360" w:lineRule="auto"/>
        <w:jc w:val="center"/>
        <w:rPr>
          <w:rFonts w:hint="eastAsia" w:ascii="仿宋_GB2312" w:hAnsi="仿宋_GB2312" w:eastAsia="仿宋_GB2312" w:cs="仿宋_GB2312"/>
          <w:b/>
          <w:bCs/>
          <w:color w:val="000000" w:themeColor="text1"/>
          <w:sz w:val="28"/>
          <w:szCs w:val="28"/>
          <w:highlight w:val="none"/>
          <w14:textFill>
            <w14:solidFill>
              <w14:schemeClr w14:val="tx1"/>
            </w14:solidFill>
          </w14:textFill>
        </w:rPr>
      </w:pPr>
    </w:p>
    <w:p w14:paraId="329B9C49">
      <w:pPr>
        <w:widowControl/>
        <w:jc w:val="left"/>
        <w:rPr>
          <w:rFonts w:hint="default" w:ascii="仿宋_GB2312" w:hAnsi="仿宋_GB2312" w:eastAsia="仿宋_GB2312" w:cs="仿宋_GB2312"/>
          <w:color w:val="000000" w:themeColor="text1"/>
          <w:highlight w:val="none"/>
          <w14:textFill>
            <w14:solidFill>
              <w14:schemeClr w14:val="tx1"/>
            </w14:solidFill>
          </w14:textFill>
        </w:rPr>
      </w:pPr>
      <w:r>
        <w:rPr>
          <w:rFonts w:hint="default" w:ascii="仿宋_GB2312" w:hAnsi="仿宋_GB2312" w:eastAsia="仿宋_GB2312" w:cs="仿宋_GB2312"/>
          <w:color w:val="000000" w:themeColor="text1"/>
          <w:highlight w:val="none"/>
          <w14:textFill>
            <w14:solidFill>
              <w14:schemeClr w14:val="tx1"/>
            </w14:solidFill>
          </w14:textFill>
        </w:rPr>
        <w:drawing>
          <wp:inline distT="0" distB="0" distL="114300" distR="114300">
            <wp:extent cx="5269865" cy="2118360"/>
            <wp:effectExtent l="0" t="0" r="698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9865" cy="2118360"/>
                    </a:xfrm>
                    <a:prstGeom prst="rect">
                      <a:avLst/>
                    </a:prstGeom>
                  </pic:spPr>
                </pic:pic>
              </a:graphicData>
            </a:graphic>
          </wp:inline>
        </w:drawing>
      </w:r>
    </w:p>
    <w:p w14:paraId="3E894618">
      <w:pPr>
        <w:widowControl/>
        <w:jc w:val="left"/>
        <w:rPr>
          <w:rFonts w:hint="default" w:ascii="仿宋_GB2312" w:hAnsi="仿宋_GB2312" w:eastAsia="仿宋_GB2312" w:cs="仿宋_GB2312"/>
          <w:color w:val="000000" w:themeColor="text1"/>
          <w:highlight w:val="none"/>
          <w14:textFill>
            <w14:solidFill>
              <w14:schemeClr w14:val="tx1"/>
            </w14:solidFill>
          </w14:textFill>
        </w:rPr>
      </w:pPr>
      <w:r>
        <w:rPr>
          <w:rFonts w:hint="default" w:ascii="仿宋_GB2312" w:hAnsi="仿宋_GB2312" w:eastAsia="仿宋_GB2312" w:cs="仿宋_GB2312"/>
          <w:color w:val="000000" w:themeColor="text1"/>
          <w:highlight w:val="none"/>
          <w14:textFill>
            <w14:solidFill>
              <w14:schemeClr w14:val="tx1"/>
            </w14:solidFill>
          </w14:textFill>
        </w:rPr>
        <w:drawing>
          <wp:inline distT="0" distB="0" distL="114300" distR="114300">
            <wp:extent cx="5271135" cy="1839595"/>
            <wp:effectExtent l="0" t="0" r="571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1135" cy="1839595"/>
                    </a:xfrm>
                    <a:prstGeom prst="rect">
                      <a:avLst/>
                    </a:prstGeom>
                  </pic:spPr>
                </pic:pic>
              </a:graphicData>
            </a:graphic>
          </wp:inline>
        </w:drawing>
      </w:r>
    </w:p>
    <w:p w14:paraId="2ED9B7CA">
      <w:pPr>
        <w:widowControl/>
        <w:jc w:val="left"/>
        <w:rPr>
          <w:rFonts w:hint="default" w:ascii="仿宋_GB2312" w:hAnsi="仿宋_GB2312" w:eastAsia="仿宋_GB2312" w:cs="仿宋_GB2312"/>
          <w:color w:val="000000" w:themeColor="text1"/>
          <w:highlight w:val="none"/>
          <w14:textFill>
            <w14:solidFill>
              <w14:schemeClr w14:val="tx1"/>
            </w14:solidFill>
          </w14:textFill>
        </w:rPr>
      </w:pPr>
      <w:r>
        <w:rPr>
          <w:rFonts w:hint="default" w:ascii="仿宋_GB2312" w:hAnsi="仿宋_GB2312" w:eastAsia="仿宋_GB2312" w:cs="仿宋_GB2312"/>
          <w:color w:val="000000" w:themeColor="text1"/>
          <w:highlight w:val="none"/>
          <w14:textFill>
            <w14:solidFill>
              <w14:schemeClr w14:val="tx1"/>
            </w14:solidFill>
          </w14:textFill>
        </w:rPr>
        <w:drawing>
          <wp:inline distT="0" distB="0" distL="114300" distR="114300">
            <wp:extent cx="5274945" cy="1878330"/>
            <wp:effectExtent l="0" t="0" r="190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4945" cy="1878330"/>
                    </a:xfrm>
                    <a:prstGeom prst="rect">
                      <a:avLst/>
                    </a:prstGeom>
                  </pic:spPr>
                </pic:pic>
              </a:graphicData>
            </a:graphic>
          </wp:inline>
        </w:drawing>
      </w:r>
    </w:p>
    <w:p w14:paraId="680D1867">
      <w:pPr>
        <w:widowControl/>
        <w:jc w:val="left"/>
        <w:rPr>
          <w:rFonts w:hint="default" w:ascii="仿宋_GB2312" w:hAnsi="仿宋_GB2312" w:eastAsia="仿宋_GB2312" w:cs="仿宋_GB2312"/>
          <w:color w:val="000000" w:themeColor="text1"/>
          <w:highlight w:val="none"/>
          <w14:textFill>
            <w14:solidFill>
              <w14:schemeClr w14:val="tx1"/>
            </w14:solidFill>
          </w14:textFill>
        </w:rPr>
      </w:pPr>
      <w:r>
        <w:rPr>
          <w:rFonts w:hint="default" w:ascii="仿宋_GB2312" w:hAnsi="仿宋_GB2312" w:eastAsia="仿宋_GB2312" w:cs="仿宋_GB2312"/>
          <w:color w:val="000000" w:themeColor="text1"/>
          <w:highlight w:val="none"/>
          <w14:textFill>
            <w14:solidFill>
              <w14:schemeClr w14:val="tx1"/>
            </w14:solidFill>
          </w14:textFill>
        </w:rPr>
        <w:drawing>
          <wp:inline distT="0" distB="0" distL="114300" distR="114300">
            <wp:extent cx="5273040" cy="2278380"/>
            <wp:effectExtent l="0" t="0" r="381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73040" cy="2278380"/>
                    </a:xfrm>
                    <a:prstGeom prst="rect">
                      <a:avLst/>
                    </a:prstGeom>
                  </pic:spPr>
                </pic:pic>
              </a:graphicData>
            </a:graphic>
          </wp:inline>
        </w:drawing>
      </w:r>
    </w:p>
    <w:p w14:paraId="5A317563">
      <w:pPr>
        <w:widowControl/>
        <w:jc w:val="left"/>
        <w:rPr>
          <w:rFonts w:hint="default" w:ascii="仿宋_GB2312" w:hAnsi="仿宋_GB2312" w:eastAsia="仿宋_GB2312" w:cs="仿宋_GB2312"/>
          <w:color w:val="000000" w:themeColor="text1"/>
          <w:highlight w:val="none"/>
          <w14:textFill>
            <w14:solidFill>
              <w14:schemeClr w14:val="tx1"/>
            </w14:solidFill>
          </w14:textFill>
        </w:rPr>
      </w:pPr>
      <w:r>
        <w:rPr>
          <w:rFonts w:hint="default" w:ascii="仿宋_GB2312" w:hAnsi="仿宋_GB2312" w:eastAsia="仿宋_GB2312" w:cs="仿宋_GB2312"/>
          <w:color w:val="000000" w:themeColor="text1"/>
          <w:highlight w:val="none"/>
          <w14:textFill>
            <w14:solidFill>
              <w14:schemeClr w14:val="tx1"/>
            </w14:solidFill>
          </w14:textFill>
        </w:rPr>
        <w:drawing>
          <wp:inline distT="0" distB="0" distL="114300" distR="114300">
            <wp:extent cx="5269230" cy="200025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69230" cy="2000250"/>
                    </a:xfrm>
                    <a:prstGeom prst="rect">
                      <a:avLst/>
                    </a:prstGeom>
                  </pic:spPr>
                </pic:pic>
              </a:graphicData>
            </a:graphic>
          </wp:inline>
        </w:drawing>
      </w:r>
    </w:p>
    <w:p w14:paraId="6E230A72">
      <w:pPr>
        <w:widowControl/>
        <w:jc w:val="left"/>
        <w:rPr>
          <w:rFonts w:hint="default" w:ascii="仿宋_GB2312" w:hAnsi="仿宋_GB2312" w:eastAsia="仿宋_GB2312" w:cs="仿宋_GB2312"/>
          <w:color w:val="000000" w:themeColor="text1"/>
          <w:highlight w:val="none"/>
          <w14:textFill>
            <w14:solidFill>
              <w14:schemeClr w14:val="tx1"/>
            </w14:solidFill>
          </w14:textFill>
        </w:rPr>
      </w:pPr>
      <w:r>
        <w:rPr>
          <w:rFonts w:hint="default" w:ascii="仿宋_GB2312" w:hAnsi="仿宋_GB2312" w:eastAsia="仿宋_GB2312" w:cs="仿宋_GB2312"/>
          <w:color w:val="000000" w:themeColor="text1"/>
          <w:highlight w:val="none"/>
          <w14:textFill>
            <w14:solidFill>
              <w14:schemeClr w14:val="tx1"/>
            </w14:solidFill>
          </w14:textFill>
        </w:rPr>
        <w:drawing>
          <wp:inline distT="0" distB="0" distL="114300" distR="114300">
            <wp:extent cx="5274945" cy="1931670"/>
            <wp:effectExtent l="0" t="0" r="1905"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74945" cy="1931670"/>
                    </a:xfrm>
                    <a:prstGeom prst="rect">
                      <a:avLst/>
                    </a:prstGeom>
                  </pic:spPr>
                </pic:pic>
              </a:graphicData>
            </a:graphic>
          </wp:inline>
        </w:drawing>
      </w:r>
    </w:p>
    <w:p w14:paraId="0FA86653">
      <w:pPr>
        <w:widowControl/>
        <w:jc w:val="left"/>
        <w:rPr>
          <w:rFonts w:ascii="仿宋_GB2312" w:hAnsi="仿宋_GB2312" w:eastAsia="仿宋_GB2312" w:cs="仿宋_GB2312"/>
          <w:color w:val="000000" w:themeColor="text1"/>
          <w:highlight w:val="none"/>
          <w14:textFill>
            <w14:solidFill>
              <w14:schemeClr w14:val="tx1"/>
            </w14:solidFill>
          </w14:textFill>
        </w:rPr>
      </w:pPr>
      <w:r>
        <w:rPr>
          <w:rFonts w:hint="default" w:ascii="仿宋_GB2312" w:hAnsi="仿宋_GB2312" w:eastAsia="仿宋_GB2312" w:cs="仿宋_GB2312"/>
          <w:color w:val="000000" w:themeColor="text1"/>
          <w:highlight w:val="none"/>
          <w14:textFill>
            <w14:solidFill>
              <w14:schemeClr w14:val="tx1"/>
            </w14:solidFill>
          </w14:textFill>
        </w:rPr>
        <w:drawing>
          <wp:inline distT="0" distB="0" distL="114300" distR="114300">
            <wp:extent cx="5272405" cy="1868170"/>
            <wp:effectExtent l="0" t="0" r="4445"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72405" cy="1868170"/>
                    </a:xfrm>
                    <a:prstGeom prst="rect">
                      <a:avLst/>
                    </a:prstGeom>
                  </pic:spPr>
                </pic:pic>
              </a:graphicData>
            </a:graphic>
          </wp:inline>
        </w:drawing>
      </w:r>
    </w:p>
    <w:p w14:paraId="6FA42E8D">
      <w:pPr>
        <w:snapToGrid w:val="0"/>
        <w:spacing w:line="360" w:lineRule="auto"/>
        <w:rPr>
          <w:rFonts w:hint="eastAsia" w:ascii="仿宋_GB2312" w:hAnsi="仿宋_GB2312" w:eastAsia="仿宋_GB2312" w:cs="仿宋_GB2312"/>
          <w:b/>
          <w:color w:val="000000" w:themeColor="text1"/>
          <w:szCs w:val="21"/>
          <w:highlight w:val="none"/>
          <w14:textFill>
            <w14:solidFill>
              <w14:schemeClr w14:val="tx1"/>
            </w14:solidFill>
          </w14:textFill>
        </w:rPr>
      </w:pPr>
      <w:r>
        <w:rPr>
          <w:rFonts w:hint="eastAsia" w:ascii="仿宋_GB2312" w:hAnsi="仿宋_GB2312" w:eastAsia="仿宋_GB2312" w:cs="仿宋_GB2312"/>
          <w:b/>
          <w:color w:val="000000" w:themeColor="text1"/>
          <w:szCs w:val="21"/>
          <w:highlight w:val="none"/>
          <w14:textFill>
            <w14:solidFill>
              <w14:schemeClr w14:val="tx1"/>
            </w14:solidFill>
          </w14:textFill>
        </w:rPr>
        <w:t>附件6：</w:t>
      </w:r>
      <w:r>
        <w:rPr>
          <w:rFonts w:hint="eastAsia" w:ascii="仿宋_GB2312" w:hAnsi="仿宋_GB2312" w:eastAsia="仿宋_GB2312" w:cs="仿宋_GB2312"/>
          <w:b/>
          <w:color w:val="000000" w:themeColor="text1"/>
          <w:szCs w:val="21"/>
          <w:highlight w:val="none"/>
          <w:lang w:eastAsia="zh"/>
          <w14:textFill>
            <w14:solidFill>
              <w14:schemeClr w14:val="tx1"/>
            </w14:solidFill>
          </w14:textFill>
        </w:rPr>
        <w:t>设施设备清单及日常管养安全制度</w:t>
      </w:r>
      <w:r>
        <w:rPr>
          <w:rFonts w:hint="eastAsia" w:ascii="仿宋_GB2312" w:hAnsi="仿宋_GB2312" w:eastAsia="仿宋_GB2312" w:cs="仿宋_GB2312"/>
          <w:b/>
          <w:color w:val="000000" w:themeColor="text1"/>
          <w:szCs w:val="21"/>
          <w:highlight w:val="none"/>
          <w:lang w:eastAsia="zh-CN"/>
          <w14:textFill>
            <w14:solidFill>
              <w14:schemeClr w14:val="tx1"/>
            </w14:solidFill>
          </w14:textFill>
        </w:rPr>
        <w:t>（</w:t>
      </w:r>
      <w:r>
        <w:rPr>
          <w:rFonts w:hint="eastAsia" w:ascii="仿宋_GB2312" w:hAnsi="仿宋_GB2312" w:eastAsia="仿宋_GB2312" w:cs="仿宋_GB2312"/>
          <w:b/>
          <w:color w:val="000000" w:themeColor="text1"/>
          <w:szCs w:val="21"/>
          <w:highlight w:val="none"/>
          <w:lang w:val="en-US" w:eastAsia="zh-CN"/>
          <w14:textFill>
            <w14:solidFill>
              <w14:schemeClr w14:val="tx1"/>
            </w14:solidFill>
          </w14:textFill>
        </w:rPr>
        <w:t>另附）</w:t>
      </w:r>
    </w:p>
    <w:p w14:paraId="257C92DD">
      <w:pPr>
        <w:snapToGrid w:val="0"/>
        <w:spacing w:line="360" w:lineRule="auto"/>
        <w:rPr>
          <w:rFonts w:ascii="仿宋_GB2312" w:hAnsi="仿宋_GB2312" w:eastAsia="仿宋_GB2312" w:cs="仿宋_GB2312"/>
          <w:b/>
          <w:color w:val="000000" w:themeColor="text1"/>
          <w:szCs w:val="21"/>
          <w:highlight w:val="none"/>
          <w14:textFill>
            <w14:solidFill>
              <w14:schemeClr w14:val="tx1"/>
            </w14:solidFill>
          </w14:textFill>
        </w:rPr>
      </w:pPr>
    </w:p>
    <w:p w14:paraId="4528106B">
      <w:pPr>
        <w:snapToGrid w:val="0"/>
        <w:spacing w:line="360" w:lineRule="auto"/>
        <w:rPr>
          <w:rFonts w:ascii="仿宋_GB2312" w:hAnsi="仿宋_GB2312" w:eastAsia="仿宋_GB2312" w:cs="仿宋_GB2312"/>
          <w:b/>
          <w:color w:val="000000" w:themeColor="text1"/>
          <w:szCs w:val="21"/>
          <w:highlight w:val="none"/>
          <w14:textFill>
            <w14:solidFill>
              <w14:schemeClr w14:val="tx1"/>
            </w14:solidFill>
          </w14:textFill>
        </w:rPr>
      </w:pPr>
    </w:p>
    <w:p w14:paraId="0C7B9E4F">
      <w:pPr>
        <w:snapToGrid w:val="0"/>
        <w:spacing w:line="360" w:lineRule="auto"/>
        <w:rPr>
          <w:rFonts w:ascii="仿宋_GB2312" w:hAnsi="仿宋_GB2312" w:eastAsia="仿宋_GB2312" w:cs="仿宋_GB2312"/>
          <w:b/>
          <w:color w:val="000000" w:themeColor="text1"/>
          <w:szCs w:val="21"/>
          <w:highlight w:val="none"/>
          <w14:textFill>
            <w14:solidFill>
              <w14:schemeClr w14:val="tx1"/>
            </w14:solidFill>
          </w14:textFill>
        </w:rPr>
      </w:pPr>
    </w:p>
    <w:p w14:paraId="0DC6278D">
      <w:pPr>
        <w:snapToGrid w:val="0"/>
        <w:spacing w:line="360" w:lineRule="auto"/>
        <w:rPr>
          <w:rFonts w:ascii="仿宋_GB2312" w:hAnsi="仿宋_GB2312" w:eastAsia="仿宋_GB2312" w:cs="仿宋_GB2312"/>
          <w:b/>
          <w:color w:val="000000" w:themeColor="text1"/>
          <w:szCs w:val="21"/>
          <w:highlight w:val="none"/>
          <w14:textFill>
            <w14:solidFill>
              <w14:schemeClr w14:val="tx1"/>
            </w14:solidFill>
          </w14:textFill>
        </w:rPr>
      </w:pPr>
    </w:p>
    <w:p w14:paraId="673E7012">
      <w:pPr>
        <w:snapToGrid w:val="0"/>
        <w:spacing w:line="360" w:lineRule="auto"/>
        <w:rPr>
          <w:rFonts w:ascii="仿宋_GB2312" w:hAnsi="仿宋_GB2312" w:eastAsia="仿宋_GB2312" w:cs="仿宋_GB2312"/>
          <w:b/>
          <w:color w:val="000000" w:themeColor="text1"/>
          <w:szCs w:val="21"/>
          <w:highlight w:val="none"/>
          <w14:textFill>
            <w14:solidFill>
              <w14:schemeClr w14:val="tx1"/>
            </w14:solidFill>
          </w14:textFill>
        </w:rPr>
      </w:pPr>
    </w:p>
    <w:p w14:paraId="7C769952">
      <w:pPr>
        <w:snapToGrid w:val="0"/>
        <w:spacing w:line="360" w:lineRule="auto"/>
        <w:rPr>
          <w:rFonts w:ascii="仿宋_GB2312" w:hAnsi="仿宋_GB2312" w:eastAsia="仿宋_GB2312" w:cs="仿宋_GB2312"/>
          <w:b/>
          <w:color w:val="000000" w:themeColor="text1"/>
          <w:szCs w:val="21"/>
          <w:highlight w:val="none"/>
          <w14:textFill>
            <w14:solidFill>
              <w14:schemeClr w14:val="tx1"/>
            </w14:solidFill>
          </w14:textFill>
        </w:rPr>
      </w:pPr>
    </w:p>
    <w:p w14:paraId="165A84C0">
      <w:pPr>
        <w:snapToGrid w:val="0"/>
        <w:spacing w:line="360" w:lineRule="auto"/>
        <w:rPr>
          <w:rFonts w:ascii="仿宋_GB2312" w:hAnsi="仿宋_GB2312" w:eastAsia="仿宋_GB2312" w:cs="仿宋_GB2312"/>
          <w:b/>
          <w:color w:val="000000" w:themeColor="text1"/>
          <w:szCs w:val="21"/>
          <w:highlight w:val="none"/>
          <w14:textFill>
            <w14:solidFill>
              <w14:schemeClr w14:val="tx1"/>
            </w14:solidFill>
          </w14:textFill>
        </w:rPr>
      </w:pPr>
    </w:p>
    <w:p w14:paraId="6F580971">
      <w:pPr>
        <w:snapToGrid w:val="0"/>
        <w:spacing w:line="360" w:lineRule="auto"/>
        <w:rPr>
          <w:rFonts w:ascii="仿宋_GB2312" w:hAnsi="仿宋_GB2312" w:eastAsia="仿宋_GB2312" w:cs="仿宋_GB2312"/>
          <w:b/>
          <w:color w:val="000000" w:themeColor="text1"/>
          <w:szCs w:val="21"/>
          <w:highlight w:val="none"/>
          <w14:textFill>
            <w14:solidFill>
              <w14:schemeClr w14:val="tx1"/>
            </w14:solidFill>
          </w14:textFill>
        </w:rPr>
      </w:pPr>
    </w:p>
    <w:p w14:paraId="5A77E316">
      <w:pPr>
        <w:snapToGrid w:val="0"/>
        <w:spacing w:line="360" w:lineRule="auto"/>
        <w:rPr>
          <w:rFonts w:ascii="仿宋_GB2312" w:hAnsi="仿宋_GB2312" w:eastAsia="仿宋_GB2312" w:cs="仿宋_GB2312"/>
          <w:b/>
          <w:color w:val="000000" w:themeColor="text1"/>
          <w:szCs w:val="21"/>
          <w:highlight w:val="none"/>
          <w14:textFill>
            <w14:solidFill>
              <w14:schemeClr w14:val="tx1"/>
            </w14:solidFill>
          </w14:textFill>
        </w:rPr>
      </w:pPr>
    </w:p>
    <w:p w14:paraId="70AA40F9">
      <w:pPr>
        <w:snapToGrid w:val="0"/>
        <w:spacing w:line="360" w:lineRule="auto"/>
        <w:rPr>
          <w:rFonts w:ascii="仿宋_GB2312" w:hAnsi="仿宋_GB2312" w:eastAsia="仿宋_GB2312" w:cs="仿宋_GB2312"/>
          <w:b/>
          <w:color w:val="000000" w:themeColor="text1"/>
          <w:szCs w:val="21"/>
          <w:highlight w:val="none"/>
          <w14:textFill>
            <w14:solidFill>
              <w14:schemeClr w14:val="tx1"/>
            </w14:solidFill>
          </w14:textFill>
        </w:rPr>
      </w:pPr>
    </w:p>
    <w:p w14:paraId="63D27FB6">
      <w:pPr>
        <w:snapToGrid w:val="0"/>
        <w:spacing w:line="360" w:lineRule="auto"/>
        <w:rPr>
          <w:rFonts w:ascii="仿宋_GB2312" w:hAnsi="仿宋_GB2312" w:eastAsia="仿宋_GB2312" w:cs="仿宋_GB2312"/>
          <w:b/>
          <w:color w:val="000000" w:themeColor="text1"/>
          <w:szCs w:val="21"/>
          <w:highlight w:val="none"/>
          <w14:textFill>
            <w14:solidFill>
              <w14:schemeClr w14:val="tx1"/>
            </w14:solidFill>
          </w14:textFill>
        </w:rPr>
      </w:pPr>
    </w:p>
    <w:p w14:paraId="3AE1770A">
      <w:pPr>
        <w:snapToGrid w:val="0"/>
        <w:spacing w:line="360" w:lineRule="auto"/>
        <w:rPr>
          <w:rFonts w:ascii="仿宋_GB2312" w:hAnsi="仿宋_GB2312" w:eastAsia="仿宋_GB2312" w:cs="仿宋_GB2312"/>
          <w:b/>
          <w:color w:val="000000" w:themeColor="text1"/>
          <w:szCs w:val="21"/>
          <w:highlight w:val="none"/>
          <w14:textFill>
            <w14:solidFill>
              <w14:schemeClr w14:val="tx1"/>
            </w14:solidFill>
          </w14:textFill>
        </w:rPr>
      </w:pPr>
    </w:p>
    <w:p w14:paraId="7795A4C8">
      <w:pPr>
        <w:snapToGrid w:val="0"/>
        <w:spacing w:line="360" w:lineRule="auto"/>
        <w:rPr>
          <w:rFonts w:ascii="仿宋_GB2312" w:hAnsi="仿宋_GB2312" w:eastAsia="仿宋_GB2312" w:cs="仿宋_GB2312"/>
          <w:b/>
          <w:color w:val="000000" w:themeColor="text1"/>
          <w:szCs w:val="21"/>
          <w:highlight w:val="none"/>
          <w14:textFill>
            <w14:solidFill>
              <w14:schemeClr w14:val="tx1"/>
            </w14:solidFill>
          </w14:textFill>
        </w:rPr>
      </w:pPr>
    </w:p>
    <w:p w14:paraId="70F75DAC">
      <w:pPr>
        <w:snapToGrid w:val="0"/>
        <w:spacing w:line="360" w:lineRule="auto"/>
        <w:rPr>
          <w:rFonts w:ascii="仿宋_GB2312" w:hAnsi="仿宋_GB2312" w:eastAsia="仿宋_GB2312" w:cs="仿宋_GB2312"/>
          <w:b/>
          <w:color w:val="000000" w:themeColor="text1"/>
          <w:szCs w:val="21"/>
          <w:highlight w:val="none"/>
          <w14:textFill>
            <w14:solidFill>
              <w14:schemeClr w14:val="tx1"/>
            </w14:solidFill>
          </w14:textFill>
        </w:rPr>
      </w:pPr>
    </w:p>
    <w:p w14:paraId="2694D56D">
      <w:pPr>
        <w:snapToGrid w:val="0"/>
        <w:spacing w:line="360" w:lineRule="auto"/>
        <w:rPr>
          <w:rFonts w:ascii="仿宋_GB2312" w:hAnsi="仿宋_GB2312" w:eastAsia="仿宋_GB2312" w:cs="仿宋_GB2312"/>
          <w:b/>
          <w:color w:val="000000" w:themeColor="text1"/>
          <w:szCs w:val="21"/>
          <w:highlight w:val="none"/>
          <w14:textFill>
            <w14:solidFill>
              <w14:schemeClr w14:val="tx1"/>
            </w14:solidFill>
          </w14:textFill>
        </w:rPr>
      </w:pPr>
    </w:p>
    <w:p w14:paraId="2D338F94">
      <w:pPr>
        <w:snapToGrid w:val="0"/>
        <w:spacing w:line="360" w:lineRule="auto"/>
        <w:rPr>
          <w:rFonts w:ascii="仿宋_GB2312" w:hAnsi="仿宋_GB2312" w:eastAsia="仿宋_GB2312" w:cs="仿宋_GB2312"/>
          <w:b/>
          <w:color w:val="000000" w:themeColor="text1"/>
          <w:szCs w:val="21"/>
          <w:highlight w:val="none"/>
          <w14:textFill>
            <w14:solidFill>
              <w14:schemeClr w14:val="tx1"/>
            </w14:solidFill>
          </w14:textFill>
        </w:rPr>
      </w:pPr>
    </w:p>
    <w:p w14:paraId="5253B16A">
      <w:pPr>
        <w:snapToGrid w:val="0"/>
        <w:spacing w:line="360" w:lineRule="auto"/>
        <w:rPr>
          <w:rFonts w:ascii="仿宋_GB2312" w:hAnsi="仿宋_GB2312" w:eastAsia="仿宋_GB2312" w:cs="仿宋_GB2312"/>
          <w:b/>
          <w:color w:val="000000" w:themeColor="text1"/>
          <w:szCs w:val="21"/>
          <w:highlight w:val="none"/>
          <w14:textFill>
            <w14:solidFill>
              <w14:schemeClr w14:val="tx1"/>
            </w14:solidFill>
          </w14:textFill>
        </w:rPr>
      </w:pPr>
    </w:p>
    <w:p w14:paraId="79B6424F">
      <w:pPr>
        <w:snapToGrid w:val="0"/>
        <w:spacing w:line="360" w:lineRule="auto"/>
        <w:rPr>
          <w:rFonts w:ascii="仿宋_GB2312" w:hAnsi="仿宋_GB2312" w:eastAsia="仿宋_GB2312" w:cs="仿宋_GB2312"/>
          <w:b/>
          <w:color w:val="000000" w:themeColor="text1"/>
          <w:szCs w:val="21"/>
          <w:highlight w:val="none"/>
          <w14:textFill>
            <w14:solidFill>
              <w14:schemeClr w14:val="tx1"/>
            </w14:solidFill>
          </w14:textFill>
        </w:rPr>
      </w:pPr>
    </w:p>
    <w:p w14:paraId="62C4266A">
      <w:pPr>
        <w:snapToGrid w:val="0"/>
        <w:spacing w:line="360" w:lineRule="auto"/>
        <w:rPr>
          <w:rFonts w:ascii="仿宋_GB2312" w:hAnsi="仿宋_GB2312" w:eastAsia="仿宋_GB2312" w:cs="仿宋_GB2312"/>
          <w:b/>
          <w:color w:val="000000" w:themeColor="text1"/>
          <w:szCs w:val="21"/>
          <w:highlight w:val="none"/>
          <w14:textFill>
            <w14:solidFill>
              <w14:schemeClr w14:val="tx1"/>
            </w14:solidFill>
          </w14:textFill>
        </w:rPr>
      </w:pPr>
    </w:p>
    <w:p w14:paraId="32E3201A">
      <w:pPr>
        <w:snapToGrid w:val="0"/>
        <w:spacing w:line="360" w:lineRule="auto"/>
        <w:rPr>
          <w:rFonts w:ascii="仿宋_GB2312" w:hAnsi="仿宋_GB2312" w:eastAsia="仿宋_GB2312" w:cs="仿宋_GB2312"/>
          <w:b/>
          <w:color w:val="000000" w:themeColor="text1"/>
          <w:szCs w:val="21"/>
          <w:highlight w:val="none"/>
          <w14:textFill>
            <w14:solidFill>
              <w14:schemeClr w14:val="tx1"/>
            </w14:solidFill>
          </w14:textFill>
        </w:rPr>
      </w:pPr>
    </w:p>
    <w:p w14:paraId="743FC25D">
      <w:pPr>
        <w:snapToGrid w:val="0"/>
        <w:spacing w:line="360" w:lineRule="auto"/>
        <w:rPr>
          <w:rFonts w:ascii="仿宋_GB2312" w:hAnsi="仿宋_GB2312" w:eastAsia="仿宋_GB2312" w:cs="仿宋_GB2312"/>
          <w:b/>
          <w:color w:val="000000" w:themeColor="text1"/>
          <w:szCs w:val="21"/>
          <w:highlight w:val="none"/>
          <w14:textFill>
            <w14:solidFill>
              <w14:schemeClr w14:val="tx1"/>
            </w14:solidFill>
          </w14:textFill>
        </w:rPr>
      </w:pPr>
    </w:p>
    <w:p w14:paraId="4618FDE4">
      <w:pPr>
        <w:snapToGrid w:val="0"/>
        <w:spacing w:line="360" w:lineRule="auto"/>
        <w:rPr>
          <w:rFonts w:ascii="仿宋_GB2312" w:hAnsi="仿宋_GB2312" w:eastAsia="仿宋_GB2312" w:cs="仿宋_GB2312"/>
          <w:b/>
          <w:color w:val="000000" w:themeColor="text1"/>
          <w:szCs w:val="21"/>
          <w:highlight w:val="none"/>
          <w14:textFill>
            <w14:solidFill>
              <w14:schemeClr w14:val="tx1"/>
            </w14:solidFill>
          </w14:textFill>
        </w:rPr>
      </w:pPr>
    </w:p>
    <w:p w14:paraId="30EB80DD">
      <w:pPr>
        <w:snapToGrid w:val="0"/>
        <w:spacing w:line="360" w:lineRule="auto"/>
        <w:rPr>
          <w:rFonts w:ascii="仿宋_GB2312" w:hAnsi="仿宋_GB2312" w:eastAsia="仿宋_GB2312" w:cs="仿宋_GB2312"/>
          <w:b/>
          <w:color w:val="000000" w:themeColor="text1"/>
          <w:szCs w:val="21"/>
          <w:highlight w:val="none"/>
          <w14:textFill>
            <w14:solidFill>
              <w14:schemeClr w14:val="tx1"/>
            </w14:solidFill>
          </w14:textFill>
        </w:rPr>
      </w:pPr>
    </w:p>
    <w:p w14:paraId="5657A51A">
      <w:pPr>
        <w:snapToGrid w:val="0"/>
        <w:spacing w:line="360" w:lineRule="auto"/>
        <w:rPr>
          <w:rFonts w:hint="eastAsia" w:ascii="仿宋_GB2312" w:hAnsi="仿宋_GB2312" w:eastAsia="仿宋_GB2312" w:cs="仿宋_GB2312"/>
          <w:b/>
          <w:color w:val="000000" w:themeColor="text1"/>
          <w:szCs w:val="21"/>
          <w:highlight w:val="none"/>
          <w14:textFill>
            <w14:solidFill>
              <w14:schemeClr w14:val="tx1"/>
            </w14:solidFill>
          </w14:textFill>
        </w:rPr>
      </w:pPr>
    </w:p>
    <w:p w14:paraId="3BB66E07">
      <w:pPr>
        <w:snapToGrid w:val="0"/>
        <w:spacing w:line="360" w:lineRule="auto"/>
        <w:rPr>
          <w:rFonts w:hint="eastAsia" w:ascii="仿宋_GB2312" w:hAnsi="仿宋_GB2312" w:eastAsia="仿宋_GB2312" w:cs="仿宋_GB2312"/>
          <w:b/>
          <w:color w:val="000000" w:themeColor="text1"/>
          <w:szCs w:val="21"/>
          <w:highlight w:val="none"/>
          <w14:textFill>
            <w14:solidFill>
              <w14:schemeClr w14:val="tx1"/>
            </w14:solidFill>
          </w14:textFill>
        </w:rPr>
      </w:pPr>
      <w:r>
        <w:rPr>
          <w:rFonts w:hint="eastAsia" w:ascii="仿宋_GB2312" w:hAnsi="仿宋_GB2312" w:eastAsia="仿宋_GB2312" w:cs="仿宋_GB2312"/>
          <w:b/>
          <w:color w:val="000000" w:themeColor="text1"/>
          <w:szCs w:val="21"/>
          <w:highlight w:val="none"/>
          <w14:textFill>
            <w14:solidFill>
              <w14:schemeClr w14:val="tx1"/>
            </w14:solidFill>
          </w14:textFill>
        </w:rPr>
        <w:t>附件7：</w:t>
      </w:r>
    </w:p>
    <w:p w14:paraId="129C0394">
      <w:pPr>
        <w:widowControl/>
        <w:snapToGrid w:val="0"/>
        <w:spacing w:line="440" w:lineRule="atLeast"/>
        <w:ind w:firstLine="539"/>
        <w:jc w:val="cente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廉 政 协 议</w:t>
      </w:r>
    </w:p>
    <w:p w14:paraId="246F0FA5">
      <w:pPr>
        <w:adjustRightInd w:val="0"/>
        <w:spacing w:line="380" w:lineRule="exact"/>
        <w:ind w:right="17" w:rightChars="8"/>
        <w:jc w:val="left"/>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pPr>
      <w:r>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t>甲方：</w:t>
      </w:r>
      <w:r>
        <w:rPr>
          <w:rFonts w:hint="eastAsia" w:ascii="仿宋_GB2312" w:hAnsi="仿宋_GB2312" w:eastAsia="仿宋_GB2312" w:cs="仿宋_GB2312"/>
          <w:color w:val="000000" w:themeColor="text1"/>
          <w:szCs w:val="21"/>
          <w:highlight w:val="none"/>
          <w14:textFill>
            <w14:solidFill>
              <w14:schemeClr w14:val="tx1"/>
            </w14:solidFill>
          </w14:textFill>
        </w:rPr>
        <w:t>杭州南泰置业有限公司</w:t>
      </w:r>
    </w:p>
    <w:p w14:paraId="4660DE17">
      <w:pPr>
        <w:adjustRightInd w:val="0"/>
        <w:spacing w:line="380" w:lineRule="exact"/>
        <w:ind w:right="17" w:rightChars="8"/>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pPr>
      <w:r>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t>乙方：</w:t>
      </w:r>
      <w:r>
        <w:rPr>
          <w:rFonts w:hint="eastAsia" w:ascii="仿宋_GB2312" w:hAnsi="仿宋_GB2312" w:eastAsia="仿宋_GB2312" w:cs="仿宋_GB2312"/>
          <w:color w:val="000000" w:themeColor="text1"/>
          <w:szCs w:val="21"/>
          <w:highlight w:val="none"/>
          <w14:textFill>
            <w14:solidFill>
              <w14:schemeClr w14:val="tx1"/>
            </w14:solidFill>
          </w14:textFill>
        </w:rPr>
        <w:t xml:space="preserve"> </w:t>
      </w:r>
    </w:p>
    <w:p w14:paraId="68447124">
      <w:pPr>
        <w:adjustRightInd w:val="0"/>
        <w:snapToGrid w:val="0"/>
        <w:spacing w:line="360" w:lineRule="exact"/>
        <w:ind w:firstLine="420" w:firstLineChars="200"/>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pPr>
      <w:r>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t>为了保持廉政自律的工作作风，防止各种不正当行为的发生，根据国家和市有关廉政建设的各项规定，结合项目的特点，特订立本协议如下：</w:t>
      </w:r>
    </w:p>
    <w:p w14:paraId="1B808D95">
      <w:pPr>
        <w:adjustRightInd w:val="0"/>
        <w:snapToGrid w:val="0"/>
        <w:spacing w:line="360" w:lineRule="exact"/>
        <w:ind w:firstLine="420" w:firstLineChars="200"/>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pPr>
      <w:r>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t>一、甲乙双方应当自觉遵守国家和市有关廉政建设的各项规定。</w:t>
      </w:r>
    </w:p>
    <w:p w14:paraId="0DD7567C">
      <w:pPr>
        <w:adjustRightInd w:val="0"/>
        <w:snapToGrid w:val="0"/>
        <w:spacing w:line="360" w:lineRule="exact"/>
        <w:ind w:firstLine="420" w:firstLineChars="200"/>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pPr>
      <w:r>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t>二、双方及其工作人员不得以任何形式向另一方索要和收受回扣等好处费。</w:t>
      </w:r>
    </w:p>
    <w:p w14:paraId="0F0BCE2D">
      <w:pPr>
        <w:adjustRightInd w:val="0"/>
        <w:snapToGrid w:val="0"/>
        <w:spacing w:line="360" w:lineRule="exact"/>
        <w:ind w:firstLine="420" w:firstLineChars="200"/>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pPr>
      <w:r>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t>三、甲方工作人员应当保持与乙方的正常业务交往，不得接受乙方的现金、有价证券和贵重物品，不得在乙方报销任何应由个人支付的费用。</w:t>
      </w:r>
    </w:p>
    <w:p w14:paraId="79C417EC">
      <w:pPr>
        <w:adjustRightInd w:val="0"/>
        <w:snapToGrid w:val="0"/>
        <w:spacing w:line="360" w:lineRule="exact"/>
        <w:ind w:firstLine="420" w:firstLineChars="200"/>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pPr>
      <w:r>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t>四、甲方工作人员不得参加可能对公正执行公务有影响的宴请和娱乐活动。</w:t>
      </w:r>
    </w:p>
    <w:p w14:paraId="27E48C64">
      <w:pPr>
        <w:adjustRightInd w:val="0"/>
        <w:snapToGrid w:val="0"/>
        <w:spacing w:line="360" w:lineRule="exact"/>
        <w:ind w:firstLine="420" w:firstLineChars="200"/>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pPr>
      <w:r>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t>五、甲方工作人员不得要求或接受乙方为其住房装修、婚丧嫁娶、家属和子女的工作安排以及出国等提供方便。</w:t>
      </w:r>
    </w:p>
    <w:p w14:paraId="10F57EE8">
      <w:pPr>
        <w:adjustRightInd w:val="0"/>
        <w:snapToGrid w:val="0"/>
        <w:spacing w:line="360" w:lineRule="exact"/>
        <w:ind w:firstLine="420" w:firstLineChars="200"/>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pPr>
      <w:r>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t>六、甲方工作人员不得向乙方介绍家属或者亲友从事与甲方项目有关的材料设备供应、项目分包等经济活动。</w:t>
      </w:r>
    </w:p>
    <w:p w14:paraId="6CAD7B55">
      <w:pPr>
        <w:adjustRightInd w:val="0"/>
        <w:snapToGrid w:val="0"/>
        <w:spacing w:line="360" w:lineRule="exact"/>
        <w:ind w:firstLine="420" w:firstLineChars="200"/>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pPr>
      <w:r>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t>七、乙方应当通过正常途径开展相关业务工作，不得为获取某些不正当利益而向甲方工作人员赠送礼金、有价证券和贵重物品等。</w:t>
      </w:r>
    </w:p>
    <w:p w14:paraId="1ABF8463">
      <w:pPr>
        <w:adjustRightInd w:val="0"/>
        <w:snapToGrid w:val="0"/>
        <w:spacing w:line="360" w:lineRule="exact"/>
        <w:ind w:firstLine="420" w:firstLineChars="200"/>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pPr>
      <w:r>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t>八、乙方不得为谋取私利擅自与甲方工作人员就项目承包、项目费用、材料设备供应、项目量变动、项目验收、项目质量问题处理等进行私下商谈或者达成默契。</w:t>
      </w:r>
    </w:p>
    <w:p w14:paraId="1215D08F">
      <w:pPr>
        <w:adjustRightInd w:val="0"/>
        <w:snapToGrid w:val="0"/>
        <w:spacing w:line="360" w:lineRule="exact"/>
        <w:ind w:firstLine="420" w:firstLineChars="200"/>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pPr>
      <w:r>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t>九、乙方不得以洽谈业务、签订经济合同为借口，邀请甲方工作人员外出旅游和进入高档娱乐性场所。</w:t>
      </w:r>
    </w:p>
    <w:p w14:paraId="1983C20D">
      <w:pPr>
        <w:adjustRightInd w:val="0"/>
        <w:snapToGrid w:val="0"/>
        <w:spacing w:line="360" w:lineRule="exact"/>
        <w:ind w:firstLine="420" w:firstLineChars="200"/>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pPr>
      <w:r>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t>十、乙方不得为甲方和个人购置或者提供通讯工具、家电、高档办公用品等物品。</w:t>
      </w:r>
    </w:p>
    <w:p w14:paraId="7DB4EC71">
      <w:pPr>
        <w:adjustRightInd w:val="0"/>
        <w:snapToGrid w:val="0"/>
        <w:spacing w:line="360" w:lineRule="exact"/>
        <w:ind w:firstLine="420" w:firstLineChars="200"/>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pPr>
      <w:r>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t>十一、乙方如发现甲方工作人员有违反上述协议者，应向甲方领导或者甲方上级单位举报。甲方不得找任何借口对乙方进行报复。甲方对举报属实和严格遵守廉政协议的乙方，在同等条件下给予承接后续项目的优先邀请投标权。</w:t>
      </w:r>
    </w:p>
    <w:p w14:paraId="682F3814">
      <w:pPr>
        <w:adjustRightInd w:val="0"/>
        <w:snapToGrid w:val="0"/>
        <w:spacing w:line="360" w:lineRule="exact"/>
        <w:ind w:firstLine="420" w:firstLineChars="200"/>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pPr>
      <w:r>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t>十二、甲方发现乙方有违反本协议或者采用不正当的手段行贿甲方工作人员，甲方根据具体情节和造成的后果追究乙方3万元～5万元的违约金，由此给甲方造成的损失均由乙方承担，乙方用不正当手段获取的非法所得由甲方单位予以追缴，且甲方有权单方终止合同。</w:t>
      </w:r>
    </w:p>
    <w:p w14:paraId="2EBE374E">
      <w:pPr>
        <w:adjustRightInd w:val="0"/>
        <w:snapToGrid w:val="0"/>
        <w:spacing w:line="360" w:lineRule="exact"/>
        <w:ind w:firstLine="420" w:firstLineChars="200"/>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pPr>
      <w:r>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t>十三、严格执行中纪委下发的中纪发【2007】7号《中共中央纪委关于严格禁止利用职务上的便利谋取不正当利益的若干规定》。</w:t>
      </w:r>
    </w:p>
    <w:p w14:paraId="643A8686">
      <w:pPr>
        <w:adjustRightInd w:val="0"/>
        <w:snapToGrid w:val="0"/>
        <w:spacing w:line="360" w:lineRule="exact"/>
        <w:ind w:firstLine="420" w:firstLineChars="200"/>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pPr>
      <w:r>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t>十四、本廉政协议作为合同的附件，与合同具有同等法律效力，经协议双方签署后立即生效。</w:t>
      </w:r>
    </w:p>
    <w:p w14:paraId="0B661470">
      <w:pPr>
        <w:adjustRightInd w:val="0"/>
        <w:spacing w:line="380" w:lineRule="exact"/>
        <w:ind w:firstLine="420" w:firstLineChars="200"/>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pPr>
    </w:p>
    <w:p w14:paraId="3481EFC7">
      <w:pPr>
        <w:adjustRightInd w:val="0"/>
        <w:spacing w:line="380" w:lineRule="exact"/>
        <w:ind w:firstLine="420" w:firstLineChars="200"/>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pPr>
      <w:r>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t>甲方（盖章）：                                     乙方（盖章）：</w:t>
      </w:r>
    </w:p>
    <w:p w14:paraId="7D67DA55">
      <w:pPr>
        <w:pStyle w:val="29"/>
        <w:spacing w:line="380" w:lineRule="exact"/>
        <w:rPr>
          <w:rFonts w:hint="eastAsia" w:ascii="仿宋_GB2312" w:hAnsi="仿宋_GB2312" w:eastAsia="仿宋_GB2312" w:cs="仿宋_GB2312"/>
          <w:snapToGrid w:val="0"/>
          <w:color w:val="000000" w:themeColor="text1"/>
          <w:sz w:val="21"/>
          <w:szCs w:val="21"/>
          <w:highlight w:val="none"/>
          <w14:textFill>
            <w14:solidFill>
              <w14:schemeClr w14:val="tx1"/>
            </w14:solidFill>
          </w14:textFill>
        </w:rPr>
      </w:pPr>
      <w:r>
        <w:rPr>
          <w:rFonts w:hint="eastAsia" w:ascii="仿宋_GB2312" w:hAnsi="仿宋_GB2312" w:eastAsia="仿宋_GB2312" w:cs="仿宋_GB2312"/>
          <w:snapToGrid w:val="0"/>
          <w:color w:val="000000" w:themeColor="text1"/>
          <w:sz w:val="21"/>
          <w:szCs w:val="21"/>
          <w:highlight w:val="none"/>
          <w14:textFill>
            <w14:solidFill>
              <w14:schemeClr w14:val="tx1"/>
            </w14:solidFill>
          </w14:textFill>
        </w:rPr>
        <w:t>法定代表人或委托代表人：                           法定代表人或委托代表人：</w:t>
      </w:r>
    </w:p>
    <w:p w14:paraId="4CBE7734">
      <w:pPr>
        <w:spacing w:line="300" w:lineRule="auto"/>
        <w:ind w:firstLine="1050" w:firstLineChars="500"/>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sectPr>
          <w:footerReference r:id="rId5" w:type="default"/>
          <w:pgSz w:w="11907" w:h="16840"/>
          <w:pgMar w:top="1440" w:right="1800" w:bottom="1440" w:left="1800" w:header="851" w:footer="992" w:gutter="0"/>
          <w:cols w:space="425" w:num="1"/>
          <w:docGrid w:linePitch="312" w:charSpace="0"/>
        </w:sectPr>
      </w:pPr>
      <w:r>
        <w:rPr>
          <w:rFonts w:hint="eastAsia" w:ascii="仿宋_GB2312" w:hAnsi="仿宋_GB2312" w:eastAsia="仿宋_GB2312" w:cs="仿宋_GB2312"/>
          <w:snapToGrid w:val="0"/>
          <w:color w:val="000000" w:themeColor="text1"/>
          <w:kern w:val="0"/>
          <w:szCs w:val="21"/>
          <w:highlight w:val="none"/>
          <w14:textFill>
            <w14:solidFill>
              <w14:schemeClr w14:val="tx1"/>
            </w14:solidFill>
          </w14:textFill>
        </w:rPr>
        <w:t>年    月    日                                    年    月    日</w:t>
      </w:r>
    </w:p>
    <w:p w14:paraId="30BC8B19">
      <w:pPr>
        <w:spacing w:line="300" w:lineRule="auto"/>
        <w:ind w:firstLine="1054" w:firstLineChars="500"/>
        <w:rPr>
          <w:rFonts w:hint="default" w:ascii="仿宋_GB2312" w:hAnsi="仿宋_GB2312" w:eastAsia="仿宋_GB2312" w:cs="仿宋_GB2312"/>
          <w:b/>
          <w:bCs/>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附件8：</w:t>
      </w:r>
      <w:r>
        <w:rPr>
          <w:rFonts w:hint="default" w:ascii="仿宋_GB2312" w:hAnsi="仿宋_GB2312" w:eastAsia="仿宋_GB2312" w:cs="仿宋_GB2312"/>
          <w:b/>
          <w:bCs/>
          <w:color w:val="000000" w:themeColor="text1"/>
          <w:highlight w:val="none"/>
          <w:lang w:val="en-US" w:eastAsia="zh-CN"/>
          <w14:textFill>
            <w14:solidFill>
              <w14:schemeClr w14:val="tx1"/>
            </w14:solidFill>
          </w14:textFill>
        </w:rPr>
        <w:t>《</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租赁房屋已出租</w:t>
      </w:r>
      <w:r>
        <w:rPr>
          <w:rFonts w:hint="default" w:ascii="仿宋_GB2312" w:hAnsi="仿宋_GB2312" w:eastAsia="仿宋_GB2312" w:cs="仿宋_GB2312"/>
          <w:b/>
          <w:bCs/>
          <w:color w:val="000000" w:themeColor="text1"/>
          <w:highlight w:val="none"/>
          <w:lang w:val="en-US" w:eastAsia="zh-CN"/>
          <w14:textFill>
            <w14:solidFill>
              <w14:schemeClr w14:val="tx1"/>
            </w14:solidFill>
          </w14:textFill>
        </w:rPr>
        <w:t>情况明细表》</w:t>
      </w:r>
      <w:r>
        <w:rPr>
          <w:rFonts w:hint="eastAsia" w:ascii="仿宋_GB2312" w:hAnsi="仿宋_GB2312" w:eastAsia="仿宋_GB2312" w:cs="仿宋_GB2312"/>
          <w:b/>
          <w:bCs/>
          <w:color w:val="000000" w:themeColor="text1"/>
          <w:highlight w:val="none"/>
          <w:lang w:val="en-US" w:eastAsia="zh-CN"/>
          <w14:textFill>
            <w14:solidFill>
              <w14:schemeClr w14:val="tx1"/>
            </w14:solidFill>
          </w14:textFill>
        </w:rPr>
        <w:t>（另附)</w:t>
      </w:r>
    </w:p>
    <w:p w14:paraId="2BE2EF5C">
      <w:pPr>
        <w:spacing w:line="300" w:lineRule="auto"/>
        <w:ind w:firstLine="1054" w:firstLineChars="500"/>
        <w:rPr>
          <w:rFonts w:hint="default" w:ascii="仿宋_GB2312" w:hAnsi="仿宋_GB2312" w:eastAsia="仿宋_GB2312" w:cs="仿宋_GB2312"/>
          <w:b/>
          <w:bCs/>
          <w:color w:val="000000" w:themeColor="text1"/>
          <w:highlight w:val="none"/>
          <w:lang w:val="en-US" w:eastAsia="zh-CN"/>
          <w14:textFill>
            <w14:solidFill>
              <w14:schemeClr w14:val="tx1"/>
            </w14:solidFill>
          </w14:textFill>
        </w:rPr>
        <w:sectPr>
          <w:pgSz w:w="11907" w:h="16840"/>
          <w:pgMar w:top="1440" w:right="1800" w:bottom="1440" w:left="1800" w:header="851" w:footer="992" w:gutter="0"/>
          <w:cols w:space="425" w:num="1"/>
          <w:docGrid w:linePitch="312" w:charSpace="0"/>
        </w:sectPr>
      </w:pPr>
    </w:p>
    <w:p w14:paraId="090A7B6C">
      <w:pPr>
        <w:spacing w:line="300" w:lineRule="auto"/>
        <w:ind w:firstLine="1050" w:firstLineChars="500"/>
        <w:rPr>
          <w:rFonts w:hint="eastAsia" w:ascii="仿宋_GB2312" w:hAnsi="仿宋_GB2312" w:eastAsia="仿宋_GB2312" w:cs="仿宋_GB2312"/>
          <w:color w:val="000000" w:themeColor="text1"/>
          <w:sz w:val="21"/>
          <w:szCs w:val="21"/>
          <w:highlight w:val="none"/>
          <w:lang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eastAsia="zh"/>
          <w14:textFill>
            <w14:solidFill>
              <w14:schemeClr w14:val="tx1"/>
            </w14:solidFill>
          </w14:textFill>
        </w:rPr>
        <w:t>附件九</w:t>
      </w:r>
      <w:r>
        <w:rPr>
          <w:rFonts w:hint="eastAsia" w:ascii="仿宋_GB2312" w:hAnsi="仿宋_GB2312" w:eastAsia="仿宋_GB2312" w:cs="仿宋_GB2312"/>
          <w:color w:val="000000" w:themeColor="text1"/>
          <w:sz w:val="21"/>
          <w:szCs w:val="21"/>
          <w:highlight w:val="none"/>
          <w14:textFill>
            <w14:solidFill>
              <w14:schemeClr w14:val="tx1"/>
            </w14:solidFill>
          </w14:textFill>
        </w:rPr>
        <w:t>《租赁房屋</w:t>
      </w:r>
      <w:r>
        <w:rPr>
          <w:rFonts w:hint="eastAsia" w:ascii="仿宋_GB2312" w:hAnsi="仿宋_GB2312" w:eastAsia="仿宋_GB2312" w:cs="仿宋_GB2312"/>
          <w:color w:val="000000" w:themeColor="text1"/>
          <w:sz w:val="21"/>
          <w:szCs w:val="21"/>
          <w:highlight w:val="none"/>
          <w:lang w:eastAsia="zh"/>
          <w14:textFill>
            <w14:solidFill>
              <w14:schemeClr w14:val="tx1"/>
            </w14:solidFill>
          </w14:textFill>
        </w:rPr>
        <w:t>交付</w:t>
      </w:r>
      <w:r>
        <w:rPr>
          <w:rFonts w:hint="eastAsia" w:ascii="仿宋_GB2312" w:hAnsi="仿宋_GB2312" w:eastAsia="仿宋_GB2312" w:cs="仿宋_GB2312"/>
          <w:color w:val="000000" w:themeColor="text1"/>
          <w:sz w:val="21"/>
          <w:szCs w:val="21"/>
          <w:highlight w:val="none"/>
          <w14:textFill>
            <w14:solidFill>
              <w14:schemeClr w14:val="tx1"/>
            </w14:solidFill>
          </w14:textFill>
        </w:rPr>
        <w:t>确认书》</w:t>
      </w:r>
      <w:r>
        <w:rPr>
          <w:rFonts w:hint="eastAsia" w:ascii="仿宋_GB2312" w:hAnsi="仿宋_GB2312" w:eastAsia="仿宋_GB2312" w:cs="仿宋_GB2312"/>
          <w:color w:val="000000" w:themeColor="text1"/>
          <w:sz w:val="21"/>
          <w:szCs w:val="21"/>
          <w:highlight w:val="none"/>
          <w:lang w:eastAsia="zh"/>
          <w14:textFill>
            <w14:solidFill>
              <w14:schemeClr w14:val="tx1"/>
            </w14:solidFill>
          </w14:textFill>
        </w:rPr>
        <w:t>：</w:t>
      </w:r>
    </w:p>
    <w:p w14:paraId="02E528AB">
      <w:pPr>
        <w:spacing w:line="300" w:lineRule="auto"/>
        <w:ind w:firstLine="1050" w:firstLineChars="500"/>
        <w:jc w:val="cente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租赁房屋交付确认书</w:t>
      </w:r>
    </w:p>
    <w:p w14:paraId="7F3A9FE8">
      <w:pPr>
        <w:spacing w:line="300" w:lineRule="auto"/>
        <w:ind w:firstLine="420" w:firstLineChars="200"/>
        <w:jc w:val="left"/>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根据出租方【 杭州南泰置业有限公司 】（以下简称“甲方”）与承租方【              】（以下简称“乙方”）签订的租赁合同的相关条款，甲乙双方在     年   月   日对租赁房屋（位于    的       房屋）进行了交接验收。</w:t>
      </w:r>
    </w:p>
    <w:p w14:paraId="34F77178">
      <w:pPr>
        <w:spacing w:line="300" w:lineRule="auto"/>
        <w:ind w:firstLine="420" w:firstLineChars="200"/>
        <w:jc w:val="left"/>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甲方已于本确认书签署之日</w:t>
      </w: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前</w:t>
      </w: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，向乙方</w:t>
      </w: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交付</w:t>
      </w: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了租赁房屋经消防部门审核合格的 《建设工程消防验收意见书》（或具有同等效力的类似审批文件）复印件壹份。乙方确认已收悉并核验了上述文件复印件，对其真实性、有效性及与租赁房屋的关联性无异议。</w:t>
      </w:r>
    </w:p>
    <w:p w14:paraId="3B73B864">
      <w:pPr>
        <w:spacing w:line="300" w:lineRule="auto"/>
        <w:ind w:firstLine="420" w:firstLineChars="200"/>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经现场核实确认，甲方交付的租赁房屋符合租赁合同及其附件2《租赁房屋交付条件》的约定，甲方交付的租赁房屋实际面积为    平方，乙方对此没有异议；自本确认书签署之日起，甲方正式移交且乙方正式接收租赁房屋。</w:t>
      </w:r>
    </w:p>
    <w:p w14:paraId="6AF47DF6">
      <w:pPr>
        <w:spacing w:line="300" w:lineRule="auto"/>
        <w:ind w:firstLine="1050" w:firstLineChars="500"/>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 xml:space="preserve"> </w:t>
      </w:r>
    </w:p>
    <w:p w14:paraId="27F0C9F9">
      <w:pPr>
        <w:spacing w:line="300" w:lineRule="auto"/>
        <w:ind w:firstLine="1050" w:firstLineChars="500"/>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 xml:space="preserve"> </w:t>
      </w:r>
    </w:p>
    <w:p w14:paraId="43169F99">
      <w:pPr>
        <w:spacing w:line="300" w:lineRule="auto"/>
        <w:ind w:firstLine="1050" w:firstLineChars="500"/>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 xml:space="preserve">甲方（盖章）：                                       </w:t>
      </w:r>
    </w:p>
    <w:p w14:paraId="268ED04F">
      <w:pPr>
        <w:spacing w:line="300" w:lineRule="auto"/>
        <w:ind w:firstLine="1050" w:firstLineChars="500"/>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 xml:space="preserve"> </w:t>
      </w:r>
    </w:p>
    <w:p w14:paraId="019A89FC">
      <w:pPr>
        <w:spacing w:line="300" w:lineRule="auto"/>
        <w:ind w:firstLine="1050" w:firstLineChars="500"/>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日期：    年   月   日</w:t>
      </w:r>
    </w:p>
    <w:p w14:paraId="7C21686E">
      <w:pPr>
        <w:spacing w:line="300" w:lineRule="auto"/>
        <w:ind w:firstLine="1050" w:firstLineChars="500"/>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 xml:space="preserve"> </w:t>
      </w:r>
    </w:p>
    <w:p w14:paraId="61EE6CBF">
      <w:pPr>
        <w:spacing w:line="300" w:lineRule="auto"/>
        <w:ind w:firstLine="1050" w:firstLineChars="500"/>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 xml:space="preserve"> </w:t>
      </w:r>
    </w:p>
    <w:p w14:paraId="26EBDD91">
      <w:pPr>
        <w:spacing w:line="300" w:lineRule="auto"/>
        <w:ind w:firstLine="1050" w:firstLineChars="500"/>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 xml:space="preserve">乙方（签字或盖章）：                                     </w:t>
      </w:r>
    </w:p>
    <w:p w14:paraId="1B319B3D">
      <w:pPr>
        <w:spacing w:line="300" w:lineRule="auto"/>
        <w:ind w:firstLine="1050" w:firstLineChars="500"/>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 xml:space="preserve"> </w:t>
      </w:r>
    </w:p>
    <w:p w14:paraId="563F7F67">
      <w:pPr>
        <w:spacing w:line="300" w:lineRule="auto"/>
        <w:ind w:firstLine="1050" w:firstLineChars="500"/>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
          <w14:textFill>
            <w14:solidFill>
              <w14:schemeClr w14:val="tx1"/>
            </w14:solidFill>
          </w14:textFill>
        </w:rPr>
        <w:t>日期：    年   月   日</w:t>
      </w:r>
    </w:p>
    <w:p w14:paraId="25D30DBE">
      <w:pPr>
        <w:spacing w:line="300" w:lineRule="auto"/>
        <w:ind w:firstLine="1200" w:firstLineChars="500"/>
        <w:rPr>
          <w:rFonts w:hint="eastAsia" w:ascii="仿宋_GB2312" w:hAnsi="仿宋_GB2312" w:eastAsia="仿宋_GB2312" w:cs="仿宋_GB2312"/>
          <w:color w:val="000000" w:themeColor="text1"/>
          <w:sz w:val="24"/>
          <w:highlight w:val="none"/>
          <w:lang w:val="en-US" w:eastAsia="zh"/>
          <w14:textFill>
            <w14:solidFill>
              <w14:schemeClr w14:val="tx1"/>
            </w14:solidFill>
          </w14:textFill>
        </w:rPr>
      </w:pPr>
    </w:p>
    <w:p w14:paraId="5E7DD262">
      <w:pPr>
        <w:widowControl/>
        <w:jc w:val="left"/>
        <w:rPr>
          <w:rFonts w:hint="eastAsia" w:ascii="仿宋_GB2312" w:hAnsi="仿宋_GB2312" w:eastAsia="仿宋_GB2312" w:cs="仿宋_GB2312"/>
          <w:color w:val="000000" w:themeColor="text1"/>
          <w:highlight w:val="none"/>
          <w14:textFill>
            <w14:solidFill>
              <w14:schemeClr w14:val="tx1"/>
            </w14:solidFill>
          </w14:textFill>
        </w:rPr>
      </w:pPr>
    </w:p>
    <w:p w14:paraId="4E07D9ED">
      <w:pPr>
        <w:widowControl/>
        <w:jc w:val="left"/>
        <w:rPr>
          <w:rFonts w:hint="eastAsia" w:ascii="仿宋_GB2312" w:hAnsi="仿宋_GB2312" w:eastAsia="仿宋_GB2312" w:cs="仿宋_GB2312"/>
          <w:color w:val="000000" w:themeColor="text1"/>
          <w:highlight w:val="none"/>
          <w14:textFill>
            <w14:solidFill>
              <w14:schemeClr w14:val="tx1"/>
            </w14:solidFill>
          </w14:textFill>
        </w:rPr>
      </w:pPr>
    </w:p>
    <w:p w14:paraId="69EBEEB5">
      <w:pPr>
        <w:widowControl/>
        <w:jc w:val="left"/>
        <w:rPr>
          <w:rFonts w:hint="eastAsia" w:ascii="仿宋_GB2312" w:hAnsi="仿宋_GB2312" w:eastAsia="仿宋_GB2312" w:cs="仿宋_GB2312"/>
          <w:color w:val="000000" w:themeColor="text1"/>
          <w:highlight w:val="none"/>
          <w14:textFill>
            <w14:solidFill>
              <w14:schemeClr w14:val="tx1"/>
            </w14:solidFill>
          </w14:textFill>
        </w:rPr>
      </w:pPr>
    </w:p>
    <w:p w14:paraId="74BB89A6">
      <w:pPr>
        <w:widowControl/>
        <w:jc w:val="left"/>
        <w:rPr>
          <w:rFonts w:hint="eastAsia" w:ascii="仿宋_GB2312" w:hAnsi="仿宋_GB2312" w:eastAsia="仿宋_GB2312" w:cs="仿宋_GB2312"/>
          <w:color w:val="000000" w:themeColor="text1"/>
          <w:highlight w:val="none"/>
          <w14:textFill>
            <w14:solidFill>
              <w14:schemeClr w14:val="tx1"/>
            </w14:solidFill>
          </w14:textFill>
        </w:rPr>
      </w:pPr>
    </w:p>
    <w:p w14:paraId="701F1864">
      <w:pPr>
        <w:widowControl/>
        <w:jc w:val="left"/>
        <w:rPr>
          <w:rFonts w:hint="eastAsia" w:ascii="仿宋_GB2312" w:hAnsi="仿宋_GB2312" w:eastAsia="仿宋_GB2312" w:cs="仿宋_GB2312"/>
          <w:color w:val="000000" w:themeColor="text1"/>
          <w:highlight w:val="none"/>
          <w14:textFill>
            <w14:solidFill>
              <w14:schemeClr w14:val="tx1"/>
            </w14:solidFill>
          </w14:textFill>
        </w:rPr>
      </w:pPr>
    </w:p>
    <w:p w14:paraId="5A38C6F8">
      <w:pPr>
        <w:widowControl/>
        <w:jc w:val="left"/>
        <w:rPr>
          <w:rFonts w:hint="eastAsia" w:ascii="仿宋_GB2312" w:hAnsi="仿宋_GB2312" w:eastAsia="仿宋_GB2312" w:cs="仿宋_GB2312"/>
          <w:color w:val="000000" w:themeColor="text1"/>
          <w:highlight w:val="none"/>
          <w14:textFill>
            <w14:solidFill>
              <w14:schemeClr w14:val="tx1"/>
            </w14:solidFill>
          </w14:textFill>
        </w:rPr>
      </w:pPr>
    </w:p>
    <w:p w14:paraId="2C890319">
      <w:pPr>
        <w:widowControl/>
        <w:jc w:val="left"/>
        <w:rPr>
          <w:rFonts w:hint="default" w:ascii="仿宋_GB2312" w:hAnsi="仿宋_GB2312" w:eastAsia="仿宋_GB2312" w:cs="仿宋_GB2312"/>
          <w:color w:val="000000" w:themeColor="text1"/>
          <w:highlight w:val="none"/>
          <w:lang w:val="en-US" w:eastAsia="zh-CN"/>
          <w14:textFill>
            <w14:solidFill>
              <w14:schemeClr w14:val="tx1"/>
            </w14:solidFill>
          </w14:textFill>
        </w:rPr>
      </w:pPr>
    </w:p>
    <w:sectPr>
      <w:pgSz w:w="11907" w:h="16840"/>
      <w:pgMar w:top="1440" w:right="1800" w:bottom="1440" w:left="1800" w:header="851" w:footer="992"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0E4557F-661B-463C-9E1A-6934A0897686}"/>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2" w:fontKey="{0F72214C-C8F3-450C-913C-50C1DA3A2AAB}"/>
  </w:font>
  <w:font w:name="方正小标宋简体">
    <w:panose1 w:val="03000509000000000000"/>
    <w:charset w:val="86"/>
    <w:family w:val="script"/>
    <w:pitch w:val="default"/>
    <w:sig w:usb0="00000001" w:usb1="080E0000" w:usb2="00000000" w:usb3="00000000" w:csb0="00040000" w:csb1="00000000"/>
    <w:embedRegular r:id="rId3" w:fontKey="{04FDF840-67AA-46D4-AB5B-F9A2DC206A97}"/>
  </w:font>
  <w:font w:name="Segoe UI Symbol">
    <w:panose1 w:val="020B0502040204020203"/>
    <w:charset w:val="00"/>
    <w:family w:val="swiss"/>
    <w:pitch w:val="default"/>
    <w:sig w:usb0="800001E3" w:usb1="1200FFEF" w:usb2="00040000" w:usb3="04000000" w:csb0="00000001" w:csb1="40000000"/>
    <w:embedRegular r:id="rId4" w:fontKey="{22612899-3548-4BE5-B106-E85FEB2C39D5}"/>
  </w:font>
  <w:font w:name="仿宋">
    <w:panose1 w:val="02010609060101010101"/>
    <w:charset w:val="86"/>
    <w:family w:val="modern"/>
    <w:pitch w:val="default"/>
    <w:sig w:usb0="800002BF" w:usb1="38CF7CFA" w:usb2="00000016" w:usb3="00000000" w:csb0="00040001" w:csb1="00000000"/>
    <w:embedRegular r:id="rId5" w:fontKey="{5C8B7FB0-591A-4093-B27C-AAB2408E6B33}"/>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E4953">
    <w:pPr>
      <w:pStyle w:val="9"/>
      <w:jc w:val="center"/>
    </w:pPr>
    <w:r>
      <w:fldChar w:fldCharType="begin"/>
    </w:r>
    <w:r>
      <w:instrText xml:space="preserve"> PAGE   \* MERGEFORMAT </w:instrText>
    </w:r>
    <w:r>
      <w:fldChar w:fldCharType="separate"/>
    </w:r>
    <w:r>
      <w:rPr>
        <w:lang w:val="zh-CN"/>
      </w:rPr>
      <w:t>3</w:t>
    </w:r>
    <w:r>
      <w:rPr>
        <w:lang w:val="zh-CN"/>
      </w:rPr>
      <w:fldChar w:fldCharType="end"/>
    </w:r>
  </w:p>
  <w:p w14:paraId="3D4A8AC5">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0B029C"/>
    <w:multiLevelType w:val="singleLevel"/>
    <w:tmpl w:val="D50B029C"/>
    <w:lvl w:ilvl="0" w:tentative="0">
      <w:start w:val="7"/>
      <w:numFmt w:val="chineseCounting"/>
      <w:suff w:val="space"/>
      <w:lvlText w:val="第%1条"/>
      <w:lvlJc w:val="left"/>
      <w:pPr>
        <w:ind w:left="-62"/>
      </w:pPr>
      <w:rPr>
        <w:rFonts w:hint="eastAsia"/>
      </w:rPr>
    </w:lvl>
  </w:abstractNum>
  <w:abstractNum w:abstractNumId="1">
    <w:nsid w:val="5EB8F938"/>
    <w:multiLevelType w:val="singleLevel"/>
    <w:tmpl w:val="5EB8F938"/>
    <w:lvl w:ilvl="0" w:tentative="0">
      <w:start w:val="1"/>
      <w:numFmt w:val="decimal"/>
      <w:suff w:val="nothing"/>
      <w:lvlText w:val="%1、"/>
      <w:lvlJc w:val="left"/>
      <w:rPr>
        <w:rFonts w:cs="Times New Roman"/>
      </w:rPr>
    </w:lvl>
  </w:abstractNum>
  <w:abstractNum w:abstractNumId="2">
    <w:nsid w:val="5EB8F977"/>
    <w:multiLevelType w:val="singleLevel"/>
    <w:tmpl w:val="5EB8F977"/>
    <w:lvl w:ilvl="0" w:tentative="0">
      <w:start w:val="3"/>
      <w:numFmt w:val="decimal"/>
      <w:suff w:val="nothing"/>
      <w:lvlText w:val="%1、"/>
      <w:lvlJc w:val="left"/>
      <w:rPr>
        <w:rFonts w:cs="Times New Roman"/>
      </w:rPr>
    </w:lvl>
  </w:abstractNum>
  <w:abstractNum w:abstractNumId="3">
    <w:nsid w:val="5EB8FA67"/>
    <w:multiLevelType w:val="singleLevel"/>
    <w:tmpl w:val="5EB8FA67"/>
    <w:lvl w:ilvl="0" w:tentative="0">
      <w:start w:val="6"/>
      <w:numFmt w:val="decimal"/>
      <w:suff w:val="nothing"/>
      <w:lvlText w:val="%1、"/>
      <w:lvlJc w:val="left"/>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zMmExMzE4ZDBkYzE2Njg1MmZjYzUwODA3YjA0OGMifQ=="/>
  </w:docVars>
  <w:rsids>
    <w:rsidRoot w:val="00220695"/>
    <w:rsid w:val="000065DF"/>
    <w:rsid w:val="00010309"/>
    <w:rsid w:val="00016514"/>
    <w:rsid w:val="00021F68"/>
    <w:rsid w:val="000233D4"/>
    <w:rsid w:val="00025CDA"/>
    <w:rsid w:val="00027202"/>
    <w:rsid w:val="000443B9"/>
    <w:rsid w:val="000576B0"/>
    <w:rsid w:val="00070C06"/>
    <w:rsid w:val="00082766"/>
    <w:rsid w:val="00082809"/>
    <w:rsid w:val="000A0AC5"/>
    <w:rsid w:val="000B437E"/>
    <w:rsid w:val="000C08F3"/>
    <w:rsid w:val="000F7C89"/>
    <w:rsid w:val="001016B1"/>
    <w:rsid w:val="00107910"/>
    <w:rsid w:val="001144E2"/>
    <w:rsid w:val="0013785C"/>
    <w:rsid w:val="00147193"/>
    <w:rsid w:val="001508DD"/>
    <w:rsid w:val="00151B71"/>
    <w:rsid w:val="00156935"/>
    <w:rsid w:val="001606C0"/>
    <w:rsid w:val="00161992"/>
    <w:rsid w:val="001764CF"/>
    <w:rsid w:val="00182952"/>
    <w:rsid w:val="00185B18"/>
    <w:rsid w:val="0018604E"/>
    <w:rsid w:val="00197E07"/>
    <w:rsid w:val="001B59A4"/>
    <w:rsid w:val="001B7FAD"/>
    <w:rsid w:val="001C0410"/>
    <w:rsid w:val="001C4B01"/>
    <w:rsid w:val="001F0D55"/>
    <w:rsid w:val="001F14F7"/>
    <w:rsid w:val="00215CAE"/>
    <w:rsid w:val="00217E95"/>
    <w:rsid w:val="00220695"/>
    <w:rsid w:val="00237C51"/>
    <w:rsid w:val="00247B83"/>
    <w:rsid w:val="00250C92"/>
    <w:rsid w:val="00254EA9"/>
    <w:rsid w:val="00257878"/>
    <w:rsid w:val="00257CA2"/>
    <w:rsid w:val="002666DD"/>
    <w:rsid w:val="00267B78"/>
    <w:rsid w:val="00276118"/>
    <w:rsid w:val="002931A6"/>
    <w:rsid w:val="00296493"/>
    <w:rsid w:val="002A6E65"/>
    <w:rsid w:val="002B27AA"/>
    <w:rsid w:val="002D7B25"/>
    <w:rsid w:val="002E1D74"/>
    <w:rsid w:val="002E41AF"/>
    <w:rsid w:val="002E4711"/>
    <w:rsid w:val="0030076C"/>
    <w:rsid w:val="003027C3"/>
    <w:rsid w:val="00304DBE"/>
    <w:rsid w:val="00311A67"/>
    <w:rsid w:val="00313BA0"/>
    <w:rsid w:val="003224F9"/>
    <w:rsid w:val="00326C0D"/>
    <w:rsid w:val="003329A4"/>
    <w:rsid w:val="0033353B"/>
    <w:rsid w:val="00335711"/>
    <w:rsid w:val="00345DB3"/>
    <w:rsid w:val="00354F28"/>
    <w:rsid w:val="00356D1E"/>
    <w:rsid w:val="00360D8D"/>
    <w:rsid w:val="00375518"/>
    <w:rsid w:val="003762B8"/>
    <w:rsid w:val="00382211"/>
    <w:rsid w:val="0038633E"/>
    <w:rsid w:val="003A50CA"/>
    <w:rsid w:val="003A769A"/>
    <w:rsid w:val="003B6F3A"/>
    <w:rsid w:val="003C174B"/>
    <w:rsid w:val="003D23D9"/>
    <w:rsid w:val="003D770C"/>
    <w:rsid w:val="003E52CB"/>
    <w:rsid w:val="003F16E8"/>
    <w:rsid w:val="00420CE9"/>
    <w:rsid w:val="0043133B"/>
    <w:rsid w:val="004315B9"/>
    <w:rsid w:val="0043382B"/>
    <w:rsid w:val="00433AC1"/>
    <w:rsid w:val="00436C65"/>
    <w:rsid w:val="00452AFE"/>
    <w:rsid w:val="004572A8"/>
    <w:rsid w:val="0046236C"/>
    <w:rsid w:val="00464770"/>
    <w:rsid w:val="00483B2B"/>
    <w:rsid w:val="00486FEC"/>
    <w:rsid w:val="004870D8"/>
    <w:rsid w:val="004900C6"/>
    <w:rsid w:val="004D1B2C"/>
    <w:rsid w:val="004D2FB7"/>
    <w:rsid w:val="004D638E"/>
    <w:rsid w:val="004D72F5"/>
    <w:rsid w:val="004E0F23"/>
    <w:rsid w:val="004E3F77"/>
    <w:rsid w:val="004E4186"/>
    <w:rsid w:val="004F19B0"/>
    <w:rsid w:val="004F3EDE"/>
    <w:rsid w:val="004F4C59"/>
    <w:rsid w:val="004F54AE"/>
    <w:rsid w:val="00501E8D"/>
    <w:rsid w:val="00503ACD"/>
    <w:rsid w:val="005139D1"/>
    <w:rsid w:val="0052128A"/>
    <w:rsid w:val="0052158C"/>
    <w:rsid w:val="00522EC4"/>
    <w:rsid w:val="00524888"/>
    <w:rsid w:val="00534612"/>
    <w:rsid w:val="005637A3"/>
    <w:rsid w:val="005728B6"/>
    <w:rsid w:val="00595F22"/>
    <w:rsid w:val="00596BD7"/>
    <w:rsid w:val="00597317"/>
    <w:rsid w:val="005A0683"/>
    <w:rsid w:val="005A686C"/>
    <w:rsid w:val="005B0CFE"/>
    <w:rsid w:val="005B2258"/>
    <w:rsid w:val="005B32AC"/>
    <w:rsid w:val="005C3D93"/>
    <w:rsid w:val="005C3D9B"/>
    <w:rsid w:val="005C3DC1"/>
    <w:rsid w:val="005C7FD6"/>
    <w:rsid w:val="005D47C4"/>
    <w:rsid w:val="005D5BD7"/>
    <w:rsid w:val="005E3E14"/>
    <w:rsid w:val="005E4D18"/>
    <w:rsid w:val="005E6D31"/>
    <w:rsid w:val="005F217D"/>
    <w:rsid w:val="005F486B"/>
    <w:rsid w:val="00603F88"/>
    <w:rsid w:val="00604804"/>
    <w:rsid w:val="00604922"/>
    <w:rsid w:val="00605440"/>
    <w:rsid w:val="00611440"/>
    <w:rsid w:val="00613908"/>
    <w:rsid w:val="00614474"/>
    <w:rsid w:val="00617CE5"/>
    <w:rsid w:val="00620167"/>
    <w:rsid w:val="00622C7F"/>
    <w:rsid w:val="0063107E"/>
    <w:rsid w:val="006328A2"/>
    <w:rsid w:val="00634E6E"/>
    <w:rsid w:val="00637D86"/>
    <w:rsid w:val="00640E30"/>
    <w:rsid w:val="0064577E"/>
    <w:rsid w:val="00653C40"/>
    <w:rsid w:val="00691558"/>
    <w:rsid w:val="006A01DE"/>
    <w:rsid w:val="006A7DE4"/>
    <w:rsid w:val="006B4CB5"/>
    <w:rsid w:val="006B7A49"/>
    <w:rsid w:val="006C345D"/>
    <w:rsid w:val="006C34ED"/>
    <w:rsid w:val="006C69F7"/>
    <w:rsid w:val="006D44E6"/>
    <w:rsid w:val="00705882"/>
    <w:rsid w:val="00707A1E"/>
    <w:rsid w:val="00720144"/>
    <w:rsid w:val="00721DA6"/>
    <w:rsid w:val="007232C0"/>
    <w:rsid w:val="00727ACB"/>
    <w:rsid w:val="00733C12"/>
    <w:rsid w:val="00737A9B"/>
    <w:rsid w:val="007421A0"/>
    <w:rsid w:val="00742EB2"/>
    <w:rsid w:val="0075361C"/>
    <w:rsid w:val="00755825"/>
    <w:rsid w:val="00762AF7"/>
    <w:rsid w:val="007742A5"/>
    <w:rsid w:val="007749E2"/>
    <w:rsid w:val="00774F99"/>
    <w:rsid w:val="00783C03"/>
    <w:rsid w:val="00787F57"/>
    <w:rsid w:val="00793E85"/>
    <w:rsid w:val="00795B8B"/>
    <w:rsid w:val="00796C28"/>
    <w:rsid w:val="007B20F7"/>
    <w:rsid w:val="007C7DCE"/>
    <w:rsid w:val="007D5E30"/>
    <w:rsid w:val="007E50A5"/>
    <w:rsid w:val="007F2F54"/>
    <w:rsid w:val="007F6157"/>
    <w:rsid w:val="007F7405"/>
    <w:rsid w:val="00800319"/>
    <w:rsid w:val="00806CFE"/>
    <w:rsid w:val="00833C43"/>
    <w:rsid w:val="008409F2"/>
    <w:rsid w:val="008445FB"/>
    <w:rsid w:val="00844653"/>
    <w:rsid w:val="008606E7"/>
    <w:rsid w:val="00861985"/>
    <w:rsid w:val="00887578"/>
    <w:rsid w:val="008909A5"/>
    <w:rsid w:val="00895D23"/>
    <w:rsid w:val="008A34DF"/>
    <w:rsid w:val="008A34F5"/>
    <w:rsid w:val="008A4892"/>
    <w:rsid w:val="008B12AE"/>
    <w:rsid w:val="008B1762"/>
    <w:rsid w:val="008E44B9"/>
    <w:rsid w:val="008E4A2A"/>
    <w:rsid w:val="008F1224"/>
    <w:rsid w:val="008F2953"/>
    <w:rsid w:val="008F2D2F"/>
    <w:rsid w:val="00902564"/>
    <w:rsid w:val="00907287"/>
    <w:rsid w:val="00937952"/>
    <w:rsid w:val="00943623"/>
    <w:rsid w:val="00946D36"/>
    <w:rsid w:val="0094717D"/>
    <w:rsid w:val="0095026B"/>
    <w:rsid w:val="00961CDD"/>
    <w:rsid w:val="00961D66"/>
    <w:rsid w:val="00962BF1"/>
    <w:rsid w:val="00965E64"/>
    <w:rsid w:val="0097091D"/>
    <w:rsid w:val="00977995"/>
    <w:rsid w:val="00984284"/>
    <w:rsid w:val="0098480E"/>
    <w:rsid w:val="00993C65"/>
    <w:rsid w:val="009A4824"/>
    <w:rsid w:val="009A5D7F"/>
    <w:rsid w:val="009B1F84"/>
    <w:rsid w:val="009C1D0B"/>
    <w:rsid w:val="009D0FB1"/>
    <w:rsid w:val="009D0FFC"/>
    <w:rsid w:val="009D5FF1"/>
    <w:rsid w:val="009E0653"/>
    <w:rsid w:val="00A03519"/>
    <w:rsid w:val="00A066F7"/>
    <w:rsid w:val="00A17F17"/>
    <w:rsid w:val="00A328F2"/>
    <w:rsid w:val="00A3439D"/>
    <w:rsid w:val="00A427BA"/>
    <w:rsid w:val="00A52F9E"/>
    <w:rsid w:val="00A5369F"/>
    <w:rsid w:val="00A56550"/>
    <w:rsid w:val="00A57B6D"/>
    <w:rsid w:val="00A82423"/>
    <w:rsid w:val="00AA1AB9"/>
    <w:rsid w:val="00AB061C"/>
    <w:rsid w:val="00AB2C24"/>
    <w:rsid w:val="00AB767D"/>
    <w:rsid w:val="00AC33C6"/>
    <w:rsid w:val="00AD2B1C"/>
    <w:rsid w:val="00B05B23"/>
    <w:rsid w:val="00B074C0"/>
    <w:rsid w:val="00B10DDC"/>
    <w:rsid w:val="00B164AD"/>
    <w:rsid w:val="00B2117D"/>
    <w:rsid w:val="00B22882"/>
    <w:rsid w:val="00B31D41"/>
    <w:rsid w:val="00B34000"/>
    <w:rsid w:val="00B35BEA"/>
    <w:rsid w:val="00B43AE1"/>
    <w:rsid w:val="00B448D8"/>
    <w:rsid w:val="00B45C00"/>
    <w:rsid w:val="00B46BDD"/>
    <w:rsid w:val="00B5708A"/>
    <w:rsid w:val="00B576E3"/>
    <w:rsid w:val="00B60E09"/>
    <w:rsid w:val="00B61BF7"/>
    <w:rsid w:val="00B854FC"/>
    <w:rsid w:val="00B94EB1"/>
    <w:rsid w:val="00BA46CC"/>
    <w:rsid w:val="00BB238A"/>
    <w:rsid w:val="00BC78B3"/>
    <w:rsid w:val="00BD0060"/>
    <w:rsid w:val="00BD3A0B"/>
    <w:rsid w:val="00BE737D"/>
    <w:rsid w:val="00BF3FB6"/>
    <w:rsid w:val="00BF65AD"/>
    <w:rsid w:val="00BF6FC6"/>
    <w:rsid w:val="00BF7B70"/>
    <w:rsid w:val="00C17DA2"/>
    <w:rsid w:val="00C31708"/>
    <w:rsid w:val="00C40858"/>
    <w:rsid w:val="00C45732"/>
    <w:rsid w:val="00C45876"/>
    <w:rsid w:val="00C54540"/>
    <w:rsid w:val="00C564C6"/>
    <w:rsid w:val="00C616BA"/>
    <w:rsid w:val="00C62DAF"/>
    <w:rsid w:val="00C6308B"/>
    <w:rsid w:val="00C6356A"/>
    <w:rsid w:val="00C73257"/>
    <w:rsid w:val="00C826E3"/>
    <w:rsid w:val="00C871AA"/>
    <w:rsid w:val="00C9044F"/>
    <w:rsid w:val="00CA3AF7"/>
    <w:rsid w:val="00CA56A3"/>
    <w:rsid w:val="00CB3852"/>
    <w:rsid w:val="00CC0316"/>
    <w:rsid w:val="00CC506F"/>
    <w:rsid w:val="00CC5A0C"/>
    <w:rsid w:val="00CC7CBB"/>
    <w:rsid w:val="00CD2012"/>
    <w:rsid w:val="00CD23AA"/>
    <w:rsid w:val="00CD438B"/>
    <w:rsid w:val="00CD4F92"/>
    <w:rsid w:val="00CD55C5"/>
    <w:rsid w:val="00CE0A90"/>
    <w:rsid w:val="00CE17CA"/>
    <w:rsid w:val="00CF5685"/>
    <w:rsid w:val="00D02EA5"/>
    <w:rsid w:val="00D10142"/>
    <w:rsid w:val="00D10CED"/>
    <w:rsid w:val="00D11C3D"/>
    <w:rsid w:val="00D11E83"/>
    <w:rsid w:val="00D14EFF"/>
    <w:rsid w:val="00D25624"/>
    <w:rsid w:val="00D34DA9"/>
    <w:rsid w:val="00D363DB"/>
    <w:rsid w:val="00D400B1"/>
    <w:rsid w:val="00D52A08"/>
    <w:rsid w:val="00D835EA"/>
    <w:rsid w:val="00D91AF5"/>
    <w:rsid w:val="00D94A3E"/>
    <w:rsid w:val="00D975B1"/>
    <w:rsid w:val="00DA3D77"/>
    <w:rsid w:val="00DB16EA"/>
    <w:rsid w:val="00DC413E"/>
    <w:rsid w:val="00DD7180"/>
    <w:rsid w:val="00DE5601"/>
    <w:rsid w:val="00E0202F"/>
    <w:rsid w:val="00E03270"/>
    <w:rsid w:val="00E11B16"/>
    <w:rsid w:val="00E163AC"/>
    <w:rsid w:val="00E214CB"/>
    <w:rsid w:val="00E309E5"/>
    <w:rsid w:val="00E35F7E"/>
    <w:rsid w:val="00E4099F"/>
    <w:rsid w:val="00E64C6C"/>
    <w:rsid w:val="00E73950"/>
    <w:rsid w:val="00E84319"/>
    <w:rsid w:val="00E90E4A"/>
    <w:rsid w:val="00E979FE"/>
    <w:rsid w:val="00EB560F"/>
    <w:rsid w:val="00EB793C"/>
    <w:rsid w:val="00ED05FB"/>
    <w:rsid w:val="00ED75B5"/>
    <w:rsid w:val="00ED7EC7"/>
    <w:rsid w:val="00EE12B1"/>
    <w:rsid w:val="00EE1FB9"/>
    <w:rsid w:val="00EE4B05"/>
    <w:rsid w:val="00EE4EC5"/>
    <w:rsid w:val="00EE5ED5"/>
    <w:rsid w:val="00EF0442"/>
    <w:rsid w:val="00EF47C1"/>
    <w:rsid w:val="00EF7134"/>
    <w:rsid w:val="00EF7601"/>
    <w:rsid w:val="00F27456"/>
    <w:rsid w:val="00F32508"/>
    <w:rsid w:val="00F33851"/>
    <w:rsid w:val="00F33D14"/>
    <w:rsid w:val="00F51CB6"/>
    <w:rsid w:val="00F663A1"/>
    <w:rsid w:val="00F71399"/>
    <w:rsid w:val="00F81217"/>
    <w:rsid w:val="00F86A0C"/>
    <w:rsid w:val="00FA21AB"/>
    <w:rsid w:val="00FB1E31"/>
    <w:rsid w:val="00FB5091"/>
    <w:rsid w:val="00FB5CEF"/>
    <w:rsid w:val="00FB6B12"/>
    <w:rsid w:val="00FC00EF"/>
    <w:rsid w:val="00FC0D83"/>
    <w:rsid w:val="00FD5E69"/>
    <w:rsid w:val="00FF7ABE"/>
    <w:rsid w:val="02450EBB"/>
    <w:rsid w:val="03097271"/>
    <w:rsid w:val="03324B68"/>
    <w:rsid w:val="039C602F"/>
    <w:rsid w:val="047573BB"/>
    <w:rsid w:val="05234BC7"/>
    <w:rsid w:val="05254EE6"/>
    <w:rsid w:val="05A97EB3"/>
    <w:rsid w:val="05E22A06"/>
    <w:rsid w:val="05ED7D8F"/>
    <w:rsid w:val="05F969CE"/>
    <w:rsid w:val="061F6850"/>
    <w:rsid w:val="063742FF"/>
    <w:rsid w:val="06866016"/>
    <w:rsid w:val="073870F2"/>
    <w:rsid w:val="07EA0E72"/>
    <w:rsid w:val="090568D7"/>
    <w:rsid w:val="09516505"/>
    <w:rsid w:val="09A91A12"/>
    <w:rsid w:val="09C249EC"/>
    <w:rsid w:val="09D63952"/>
    <w:rsid w:val="0ACF6D32"/>
    <w:rsid w:val="0B645150"/>
    <w:rsid w:val="0CAD20F1"/>
    <w:rsid w:val="0CB94AD7"/>
    <w:rsid w:val="0D682F64"/>
    <w:rsid w:val="0DBD4932"/>
    <w:rsid w:val="0DD73C46"/>
    <w:rsid w:val="0EEA5DC5"/>
    <w:rsid w:val="0F3728A0"/>
    <w:rsid w:val="0F6F1FDC"/>
    <w:rsid w:val="10124B70"/>
    <w:rsid w:val="111F26B6"/>
    <w:rsid w:val="122B68C4"/>
    <w:rsid w:val="124637D9"/>
    <w:rsid w:val="128E28FA"/>
    <w:rsid w:val="12AB1AC3"/>
    <w:rsid w:val="12D52B59"/>
    <w:rsid w:val="12FC6438"/>
    <w:rsid w:val="135307B7"/>
    <w:rsid w:val="1353544F"/>
    <w:rsid w:val="139E74BF"/>
    <w:rsid w:val="14097F7A"/>
    <w:rsid w:val="14273533"/>
    <w:rsid w:val="144419DD"/>
    <w:rsid w:val="14451990"/>
    <w:rsid w:val="145A58C7"/>
    <w:rsid w:val="15634011"/>
    <w:rsid w:val="1580386A"/>
    <w:rsid w:val="15B21602"/>
    <w:rsid w:val="15D51304"/>
    <w:rsid w:val="16766D8C"/>
    <w:rsid w:val="169D519F"/>
    <w:rsid w:val="175856B8"/>
    <w:rsid w:val="17F665A1"/>
    <w:rsid w:val="18285369"/>
    <w:rsid w:val="18AC2D47"/>
    <w:rsid w:val="19284811"/>
    <w:rsid w:val="19376C1C"/>
    <w:rsid w:val="19481E9C"/>
    <w:rsid w:val="1984428C"/>
    <w:rsid w:val="19930016"/>
    <w:rsid w:val="19D96F98"/>
    <w:rsid w:val="1AC13CB4"/>
    <w:rsid w:val="1B2B3B50"/>
    <w:rsid w:val="1B8509DA"/>
    <w:rsid w:val="1BF530EC"/>
    <w:rsid w:val="1C4204A0"/>
    <w:rsid w:val="1C8B457A"/>
    <w:rsid w:val="1C8F3DCB"/>
    <w:rsid w:val="1CDD3F4C"/>
    <w:rsid w:val="1CF34DAC"/>
    <w:rsid w:val="1D912B6C"/>
    <w:rsid w:val="1E0A150A"/>
    <w:rsid w:val="1E4F15D7"/>
    <w:rsid w:val="1EF87EC0"/>
    <w:rsid w:val="1F1D3483"/>
    <w:rsid w:val="1F4B6242"/>
    <w:rsid w:val="1FA15E62"/>
    <w:rsid w:val="1FCD3105"/>
    <w:rsid w:val="2031721D"/>
    <w:rsid w:val="205E0768"/>
    <w:rsid w:val="20C20786"/>
    <w:rsid w:val="21934451"/>
    <w:rsid w:val="224B6687"/>
    <w:rsid w:val="226867DE"/>
    <w:rsid w:val="226F0499"/>
    <w:rsid w:val="227F77D0"/>
    <w:rsid w:val="22902570"/>
    <w:rsid w:val="22FBBD50"/>
    <w:rsid w:val="2438217E"/>
    <w:rsid w:val="25205A7B"/>
    <w:rsid w:val="253403FC"/>
    <w:rsid w:val="27133AE9"/>
    <w:rsid w:val="27727F9C"/>
    <w:rsid w:val="27DECBC7"/>
    <w:rsid w:val="27E00888"/>
    <w:rsid w:val="27F2448B"/>
    <w:rsid w:val="280F5648"/>
    <w:rsid w:val="288E552E"/>
    <w:rsid w:val="29615CEE"/>
    <w:rsid w:val="29D153A4"/>
    <w:rsid w:val="2A2D3DE1"/>
    <w:rsid w:val="2A9A1E2C"/>
    <w:rsid w:val="2AB975C2"/>
    <w:rsid w:val="2AE50F44"/>
    <w:rsid w:val="2AED63FF"/>
    <w:rsid w:val="2B600D24"/>
    <w:rsid w:val="2B714350"/>
    <w:rsid w:val="2BAF1CFE"/>
    <w:rsid w:val="2C174AC1"/>
    <w:rsid w:val="2C550700"/>
    <w:rsid w:val="2D46227F"/>
    <w:rsid w:val="2E0E2256"/>
    <w:rsid w:val="2F6EAF93"/>
    <w:rsid w:val="2FB63264"/>
    <w:rsid w:val="2FB9045A"/>
    <w:rsid w:val="300F7A94"/>
    <w:rsid w:val="30183F1E"/>
    <w:rsid w:val="30534F57"/>
    <w:rsid w:val="30BA0EAD"/>
    <w:rsid w:val="30F469A9"/>
    <w:rsid w:val="31126BC0"/>
    <w:rsid w:val="315137F7"/>
    <w:rsid w:val="31EA5A79"/>
    <w:rsid w:val="32B51EF8"/>
    <w:rsid w:val="32BF2ABC"/>
    <w:rsid w:val="34A01280"/>
    <w:rsid w:val="34CE5791"/>
    <w:rsid w:val="34DE36E3"/>
    <w:rsid w:val="350D2953"/>
    <w:rsid w:val="35430471"/>
    <w:rsid w:val="35441A07"/>
    <w:rsid w:val="35AD2181"/>
    <w:rsid w:val="35DD7BCF"/>
    <w:rsid w:val="35FB1CFC"/>
    <w:rsid w:val="36621BE8"/>
    <w:rsid w:val="3668053B"/>
    <w:rsid w:val="36FF1994"/>
    <w:rsid w:val="376567BD"/>
    <w:rsid w:val="377B0E83"/>
    <w:rsid w:val="390B1EF9"/>
    <w:rsid w:val="39E34DA5"/>
    <w:rsid w:val="3A140DDE"/>
    <w:rsid w:val="3A40089C"/>
    <w:rsid w:val="3A940645"/>
    <w:rsid w:val="3B0BAA6A"/>
    <w:rsid w:val="3B3414AA"/>
    <w:rsid w:val="3C876B06"/>
    <w:rsid w:val="3C9FB741"/>
    <w:rsid w:val="3CEB2DAD"/>
    <w:rsid w:val="3CEF5C8E"/>
    <w:rsid w:val="3D1F1101"/>
    <w:rsid w:val="3D5B369C"/>
    <w:rsid w:val="3D762284"/>
    <w:rsid w:val="3DB475B2"/>
    <w:rsid w:val="3DF00289"/>
    <w:rsid w:val="3DFDD1F7"/>
    <w:rsid w:val="3E4D7489"/>
    <w:rsid w:val="3EE55446"/>
    <w:rsid w:val="3F014D06"/>
    <w:rsid w:val="3F643BF3"/>
    <w:rsid w:val="3F73425A"/>
    <w:rsid w:val="3FD9C603"/>
    <w:rsid w:val="3FDB0544"/>
    <w:rsid w:val="3FF428A1"/>
    <w:rsid w:val="3FFF7EA4"/>
    <w:rsid w:val="40F44A8C"/>
    <w:rsid w:val="413801C7"/>
    <w:rsid w:val="41426553"/>
    <w:rsid w:val="414F0FC2"/>
    <w:rsid w:val="41663C4B"/>
    <w:rsid w:val="41702A1E"/>
    <w:rsid w:val="41BF1BA1"/>
    <w:rsid w:val="420079FE"/>
    <w:rsid w:val="428D49F3"/>
    <w:rsid w:val="42EF0A52"/>
    <w:rsid w:val="434A043B"/>
    <w:rsid w:val="435850B4"/>
    <w:rsid w:val="43994F1E"/>
    <w:rsid w:val="44133A69"/>
    <w:rsid w:val="44BC293D"/>
    <w:rsid w:val="454D4212"/>
    <w:rsid w:val="45B731C5"/>
    <w:rsid w:val="45C87A81"/>
    <w:rsid w:val="45FFEC90"/>
    <w:rsid w:val="46B11116"/>
    <w:rsid w:val="46BF0136"/>
    <w:rsid w:val="46ED4995"/>
    <w:rsid w:val="478151BD"/>
    <w:rsid w:val="47C4220B"/>
    <w:rsid w:val="47E81FD1"/>
    <w:rsid w:val="49EA574F"/>
    <w:rsid w:val="49F130CF"/>
    <w:rsid w:val="49F800D8"/>
    <w:rsid w:val="4A1C41B3"/>
    <w:rsid w:val="4A4200BE"/>
    <w:rsid w:val="4ADD6D7F"/>
    <w:rsid w:val="4BFB3B7C"/>
    <w:rsid w:val="4C6836E0"/>
    <w:rsid w:val="4CB93F3C"/>
    <w:rsid w:val="4D1B7081"/>
    <w:rsid w:val="4D862070"/>
    <w:rsid w:val="4DAA6497"/>
    <w:rsid w:val="4DF61D74"/>
    <w:rsid w:val="4E1107EF"/>
    <w:rsid w:val="4E9A1AE5"/>
    <w:rsid w:val="4ED065E5"/>
    <w:rsid w:val="4F21785E"/>
    <w:rsid w:val="4FF7C079"/>
    <w:rsid w:val="50CE26AB"/>
    <w:rsid w:val="51002B98"/>
    <w:rsid w:val="518A5848"/>
    <w:rsid w:val="519D1F18"/>
    <w:rsid w:val="51C725E8"/>
    <w:rsid w:val="52235563"/>
    <w:rsid w:val="52F42171"/>
    <w:rsid w:val="537C7E5D"/>
    <w:rsid w:val="53D20446"/>
    <w:rsid w:val="545D200A"/>
    <w:rsid w:val="54665BFF"/>
    <w:rsid w:val="552B54AD"/>
    <w:rsid w:val="55522C02"/>
    <w:rsid w:val="55530885"/>
    <w:rsid w:val="565076BF"/>
    <w:rsid w:val="58E67EDB"/>
    <w:rsid w:val="592310BA"/>
    <w:rsid w:val="593408F8"/>
    <w:rsid w:val="5A0D322F"/>
    <w:rsid w:val="5A970CDC"/>
    <w:rsid w:val="5AF5700A"/>
    <w:rsid w:val="5AF83C8A"/>
    <w:rsid w:val="5B4F7CAC"/>
    <w:rsid w:val="5B55F2AC"/>
    <w:rsid w:val="5C0E2DC1"/>
    <w:rsid w:val="5CC23DAA"/>
    <w:rsid w:val="5D167D00"/>
    <w:rsid w:val="5D1F3E66"/>
    <w:rsid w:val="5DD337C9"/>
    <w:rsid w:val="5DFA232B"/>
    <w:rsid w:val="5DFF079E"/>
    <w:rsid w:val="5E7FD3D8"/>
    <w:rsid w:val="5FADD77C"/>
    <w:rsid w:val="5FCD7FD2"/>
    <w:rsid w:val="5FD7E27C"/>
    <w:rsid w:val="5FF73FFD"/>
    <w:rsid w:val="5FFE2193"/>
    <w:rsid w:val="60137889"/>
    <w:rsid w:val="60246003"/>
    <w:rsid w:val="602B7E68"/>
    <w:rsid w:val="6051569F"/>
    <w:rsid w:val="60BA2591"/>
    <w:rsid w:val="60D34DD6"/>
    <w:rsid w:val="61125DC9"/>
    <w:rsid w:val="621D27B9"/>
    <w:rsid w:val="62A86158"/>
    <w:rsid w:val="62B053C7"/>
    <w:rsid w:val="62B2525D"/>
    <w:rsid w:val="62C05BCC"/>
    <w:rsid w:val="63BA1EB4"/>
    <w:rsid w:val="6437281E"/>
    <w:rsid w:val="65023C56"/>
    <w:rsid w:val="65BD0C43"/>
    <w:rsid w:val="663E6CF0"/>
    <w:rsid w:val="66882090"/>
    <w:rsid w:val="66C80030"/>
    <w:rsid w:val="66CB717F"/>
    <w:rsid w:val="674943E2"/>
    <w:rsid w:val="674E03CD"/>
    <w:rsid w:val="67CB395B"/>
    <w:rsid w:val="68224C33"/>
    <w:rsid w:val="685748DD"/>
    <w:rsid w:val="686208E5"/>
    <w:rsid w:val="69654F45"/>
    <w:rsid w:val="696F46DF"/>
    <w:rsid w:val="69796AD5"/>
    <w:rsid w:val="698A2A90"/>
    <w:rsid w:val="69CBE55B"/>
    <w:rsid w:val="69E63E4A"/>
    <w:rsid w:val="6A643D4E"/>
    <w:rsid w:val="6ACB2A88"/>
    <w:rsid w:val="6AFFA98B"/>
    <w:rsid w:val="6B083C1A"/>
    <w:rsid w:val="6B9D7C2A"/>
    <w:rsid w:val="6BC1489D"/>
    <w:rsid w:val="6BFD3762"/>
    <w:rsid w:val="6C480723"/>
    <w:rsid w:val="6C871713"/>
    <w:rsid w:val="6CEF4B20"/>
    <w:rsid w:val="6E866FF5"/>
    <w:rsid w:val="6EF23409"/>
    <w:rsid w:val="6F0BE225"/>
    <w:rsid w:val="6F765F90"/>
    <w:rsid w:val="6FEC2370"/>
    <w:rsid w:val="6FFC52B6"/>
    <w:rsid w:val="70380634"/>
    <w:rsid w:val="705D0266"/>
    <w:rsid w:val="70C913AB"/>
    <w:rsid w:val="70D57831"/>
    <w:rsid w:val="70DF5DB7"/>
    <w:rsid w:val="71977435"/>
    <w:rsid w:val="729C45B1"/>
    <w:rsid w:val="72E44CEA"/>
    <w:rsid w:val="736D5038"/>
    <w:rsid w:val="73741351"/>
    <w:rsid w:val="73767802"/>
    <w:rsid w:val="73881A17"/>
    <w:rsid w:val="74341F76"/>
    <w:rsid w:val="74FF5E32"/>
    <w:rsid w:val="75DE3C82"/>
    <w:rsid w:val="76CF41D8"/>
    <w:rsid w:val="76D3BEEB"/>
    <w:rsid w:val="776952FE"/>
    <w:rsid w:val="7775E0AF"/>
    <w:rsid w:val="777C5F95"/>
    <w:rsid w:val="77B5A438"/>
    <w:rsid w:val="77FF2818"/>
    <w:rsid w:val="783D03EB"/>
    <w:rsid w:val="78781AE9"/>
    <w:rsid w:val="78C26D72"/>
    <w:rsid w:val="78CA677C"/>
    <w:rsid w:val="78FF70B3"/>
    <w:rsid w:val="79D833A4"/>
    <w:rsid w:val="7A3D7370"/>
    <w:rsid w:val="7AA65250"/>
    <w:rsid w:val="7B32432C"/>
    <w:rsid w:val="7B9A09B8"/>
    <w:rsid w:val="7BBEBE9D"/>
    <w:rsid w:val="7BC52C4F"/>
    <w:rsid w:val="7BC65734"/>
    <w:rsid w:val="7D427A43"/>
    <w:rsid w:val="7D4EEE6D"/>
    <w:rsid w:val="7DF8CF20"/>
    <w:rsid w:val="7EFFEA57"/>
    <w:rsid w:val="7F158584"/>
    <w:rsid w:val="7F43559C"/>
    <w:rsid w:val="7F5D9911"/>
    <w:rsid w:val="7FD10112"/>
    <w:rsid w:val="7FD22A69"/>
    <w:rsid w:val="7FEF791D"/>
    <w:rsid w:val="7FF63EAA"/>
    <w:rsid w:val="7FF72376"/>
    <w:rsid w:val="9B7DB185"/>
    <w:rsid w:val="9EFEF470"/>
    <w:rsid w:val="ABF7ABC3"/>
    <w:rsid w:val="AFBE1A6C"/>
    <w:rsid w:val="BA9F0528"/>
    <w:rsid w:val="BDB5EBF6"/>
    <w:rsid w:val="BDEF185A"/>
    <w:rsid w:val="BEFFA1A2"/>
    <w:rsid w:val="BF0CFAF4"/>
    <w:rsid w:val="BFD30271"/>
    <w:rsid w:val="BFFC07A8"/>
    <w:rsid w:val="BFFDB44F"/>
    <w:rsid w:val="CFEFB4AE"/>
    <w:rsid w:val="CFF3080A"/>
    <w:rsid w:val="D6FEDDFA"/>
    <w:rsid w:val="D7FF046A"/>
    <w:rsid w:val="DAFBE9D6"/>
    <w:rsid w:val="DBDD125E"/>
    <w:rsid w:val="DCE56004"/>
    <w:rsid w:val="DCE6D671"/>
    <w:rsid w:val="DEBFF660"/>
    <w:rsid w:val="DEE5DB5C"/>
    <w:rsid w:val="DF274245"/>
    <w:rsid w:val="DFAB29EA"/>
    <w:rsid w:val="DFEF1BF0"/>
    <w:rsid w:val="DFFFFC73"/>
    <w:rsid w:val="E5BB27DE"/>
    <w:rsid w:val="E5DDA2E6"/>
    <w:rsid w:val="E7F19528"/>
    <w:rsid w:val="EB8E1E8F"/>
    <w:rsid w:val="EDEA9C91"/>
    <w:rsid w:val="EDF90199"/>
    <w:rsid w:val="EE47BB74"/>
    <w:rsid w:val="EEFF9FC8"/>
    <w:rsid w:val="EFEDF316"/>
    <w:rsid w:val="F4DFF6BD"/>
    <w:rsid w:val="F5FBF123"/>
    <w:rsid w:val="F6DF8BD8"/>
    <w:rsid w:val="F7B915EA"/>
    <w:rsid w:val="F8DF9D8E"/>
    <w:rsid w:val="F9D933CC"/>
    <w:rsid w:val="F9F71F20"/>
    <w:rsid w:val="FA4FBB71"/>
    <w:rsid w:val="FA6B0782"/>
    <w:rsid w:val="FB1F67CC"/>
    <w:rsid w:val="FB7FE1CA"/>
    <w:rsid w:val="FBB71713"/>
    <w:rsid w:val="FBDB68BA"/>
    <w:rsid w:val="FBE73677"/>
    <w:rsid w:val="FBFEB8C8"/>
    <w:rsid w:val="FC7F4353"/>
    <w:rsid w:val="FCA7B964"/>
    <w:rsid w:val="FDBC2DB3"/>
    <w:rsid w:val="FEBF9A17"/>
    <w:rsid w:val="FEEFADC7"/>
    <w:rsid w:val="FEF5F1E1"/>
    <w:rsid w:val="FF2FF6B3"/>
    <w:rsid w:val="FF78BB51"/>
    <w:rsid w:val="FFBFCF5F"/>
    <w:rsid w:val="FFE9377B"/>
    <w:rsid w:val="FFEEC93D"/>
    <w:rsid w:val="FFF5639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99" w:semiHidden="0"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character" w:default="1" w:styleId="17">
    <w:name w:val="Default Paragraph Font"/>
    <w:semiHidden/>
    <w:unhideWhenUsed/>
    <w:qFormat/>
    <w:uiPriority w:val="1"/>
  </w:style>
  <w:style w:type="table" w:default="1" w:styleId="1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Normal Indent"/>
    <w:basedOn w:val="1"/>
    <w:qFormat/>
    <w:uiPriority w:val="99"/>
    <w:pPr>
      <w:ind w:firstLine="420" w:firstLineChars="200"/>
    </w:pPr>
  </w:style>
  <w:style w:type="paragraph" w:styleId="3">
    <w:name w:val="annotation text"/>
    <w:basedOn w:val="1"/>
    <w:link w:val="21"/>
    <w:qFormat/>
    <w:uiPriority w:val="99"/>
    <w:pPr>
      <w:jc w:val="left"/>
    </w:pPr>
  </w:style>
  <w:style w:type="paragraph" w:styleId="4">
    <w:name w:val="Body Text"/>
    <w:basedOn w:val="1"/>
    <w:next w:val="5"/>
    <w:qFormat/>
    <w:uiPriority w:val="0"/>
    <w:pPr>
      <w:outlineLvl w:val="0"/>
    </w:pPr>
    <w:rPr>
      <w:rFonts w:ascii="楷体" w:eastAsia="楷体"/>
      <w:sz w:val="24"/>
    </w:rPr>
  </w:style>
  <w:style w:type="paragraph" w:customStyle="1" w:styleId="5">
    <w:name w:val="_Style 2"/>
    <w:basedOn w:val="1"/>
    <w:qFormat/>
    <w:uiPriority w:val="34"/>
    <w:pPr>
      <w:ind w:firstLine="420" w:firstLineChars="200"/>
    </w:pPr>
    <w:rPr>
      <w:rFonts w:ascii="Calibri" w:hAnsi="Calibri"/>
      <w:szCs w:val="22"/>
    </w:rPr>
  </w:style>
  <w:style w:type="paragraph" w:styleId="6">
    <w:name w:val="Body Text Indent"/>
    <w:basedOn w:val="1"/>
    <w:link w:val="22"/>
    <w:qFormat/>
    <w:uiPriority w:val="99"/>
    <w:pPr>
      <w:ind w:firstLine="560" w:firstLineChars="200"/>
    </w:pPr>
    <w:rPr>
      <w:sz w:val="28"/>
    </w:rPr>
  </w:style>
  <w:style w:type="paragraph" w:styleId="7">
    <w:name w:val="endnote text"/>
    <w:basedOn w:val="1"/>
    <w:semiHidden/>
    <w:unhideWhenUsed/>
    <w:qFormat/>
    <w:uiPriority w:val="99"/>
    <w:pPr>
      <w:snapToGrid w:val="0"/>
      <w:jc w:val="left"/>
    </w:pPr>
  </w:style>
  <w:style w:type="paragraph" w:styleId="8">
    <w:name w:val="Balloon Text"/>
    <w:basedOn w:val="1"/>
    <w:link w:val="23"/>
    <w:qFormat/>
    <w:uiPriority w:val="99"/>
    <w:rPr>
      <w:sz w:val="18"/>
      <w:szCs w:val="18"/>
    </w:rPr>
  </w:style>
  <w:style w:type="paragraph" w:styleId="9">
    <w:name w:val="footer"/>
    <w:basedOn w:val="1"/>
    <w:link w:val="24"/>
    <w:qFormat/>
    <w:uiPriority w:val="99"/>
    <w:pPr>
      <w:tabs>
        <w:tab w:val="center" w:pos="4153"/>
        <w:tab w:val="right" w:pos="8306"/>
      </w:tabs>
      <w:snapToGrid w:val="0"/>
      <w:jc w:val="left"/>
    </w:pPr>
    <w:rPr>
      <w:rFonts w:ascii="Calibri" w:hAnsi="Calibri"/>
      <w:sz w:val="18"/>
      <w:szCs w:val="18"/>
    </w:rPr>
  </w:style>
  <w:style w:type="paragraph" w:styleId="10">
    <w:name w:val="header"/>
    <w:basedOn w:val="1"/>
    <w:link w:val="25"/>
    <w:qFormat/>
    <w:uiPriority w:val="99"/>
    <w:pPr>
      <w:pBdr>
        <w:bottom w:val="single" w:color="auto" w:sz="6" w:space="1"/>
      </w:pBdr>
      <w:tabs>
        <w:tab w:val="center" w:pos="4153"/>
        <w:tab w:val="right" w:pos="8306"/>
      </w:tabs>
      <w:snapToGrid w:val="0"/>
      <w:jc w:val="center"/>
    </w:pPr>
    <w:rPr>
      <w:rFonts w:ascii="Calibri" w:hAnsi="Calibri"/>
      <w:sz w:val="18"/>
      <w:szCs w:val="18"/>
    </w:rPr>
  </w:style>
  <w:style w:type="paragraph" w:styleId="11">
    <w:name w:val="Body Text Indent 3"/>
    <w:basedOn w:val="1"/>
    <w:link w:val="26"/>
    <w:qFormat/>
    <w:uiPriority w:val="99"/>
    <w:pPr>
      <w:spacing w:after="120"/>
      <w:ind w:left="420" w:leftChars="200"/>
    </w:pPr>
    <w:rPr>
      <w:sz w:val="16"/>
      <w:szCs w:val="16"/>
    </w:rPr>
  </w:style>
  <w:style w:type="paragraph" w:styleId="12">
    <w:name w:val="Normal (Web)"/>
    <w:basedOn w:val="1"/>
    <w:qFormat/>
    <w:uiPriority w:val="0"/>
    <w:pPr>
      <w:widowControl/>
      <w:spacing w:before="100" w:beforeAutospacing="1" w:after="100" w:afterAutospacing="1"/>
      <w:jc w:val="left"/>
    </w:pPr>
    <w:rPr>
      <w:rFonts w:ascii="宋体" w:hAnsi="宋体"/>
      <w:kern w:val="0"/>
      <w:sz w:val="24"/>
    </w:rPr>
  </w:style>
  <w:style w:type="paragraph" w:styleId="13">
    <w:name w:val="annotation subject"/>
    <w:basedOn w:val="3"/>
    <w:next w:val="3"/>
    <w:link w:val="27"/>
    <w:semiHidden/>
    <w:qFormat/>
    <w:uiPriority w:val="99"/>
    <w:rPr>
      <w:b/>
      <w:bCs/>
    </w:rPr>
  </w:style>
  <w:style w:type="paragraph" w:styleId="14">
    <w:name w:val="Body Text First Indent"/>
    <w:basedOn w:val="4"/>
    <w:qFormat/>
    <w:uiPriority w:val="99"/>
    <w:pPr>
      <w:ind w:firstLine="420" w:firstLineChars="100"/>
    </w:pPr>
  </w:style>
  <w:style w:type="table" w:styleId="16">
    <w:name w:val="Table Grid"/>
    <w:basedOn w:val="15"/>
    <w:qFormat/>
    <w:locked/>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locked/>
    <w:uiPriority w:val="0"/>
    <w:rPr>
      <w:b/>
    </w:rPr>
  </w:style>
  <w:style w:type="character" w:styleId="19">
    <w:name w:val="endnote reference"/>
    <w:basedOn w:val="17"/>
    <w:semiHidden/>
    <w:unhideWhenUsed/>
    <w:qFormat/>
    <w:uiPriority w:val="99"/>
    <w:rPr>
      <w:vertAlign w:val="superscript"/>
    </w:rPr>
  </w:style>
  <w:style w:type="character" w:styleId="20">
    <w:name w:val="annotation reference"/>
    <w:basedOn w:val="17"/>
    <w:qFormat/>
    <w:uiPriority w:val="99"/>
    <w:rPr>
      <w:rFonts w:cs="Times New Roman"/>
      <w:sz w:val="21"/>
      <w:szCs w:val="21"/>
    </w:rPr>
  </w:style>
  <w:style w:type="character" w:customStyle="1" w:styleId="21">
    <w:name w:val="批注文字 字符"/>
    <w:basedOn w:val="17"/>
    <w:link w:val="3"/>
    <w:semiHidden/>
    <w:qFormat/>
    <w:locked/>
    <w:uiPriority w:val="99"/>
    <w:rPr>
      <w:rFonts w:ascii="Times New Roman" w:hAnsi="Times New Roman" w:eastAsia="宋体" w:cs="Times New Roman"/>
      <w:sz w:val="24"/>
      <w:szCs w:val="24"/>
    </w:rPr>
  </w:style>
  <w:style w:type="character" w:customStyle="1" w:styleId="22">
    <w:name w:val="正文文本缩进 字符"/>
    <w:basedOn w:val="17"/>
    <w:link w:val="6"/>
    <w:semiHidden/>
    <w:qFormat/>
    <w:locked/>
    <w:uiPriority w:val="99"/>
    <w:rPr>
      <w:rFonts w:ascii="Times New Roman" w:hAnsi="Times New Roman" w:eastAsia="宋体" w:cs="Times New Roman"/>
      <w:sz w:val="24"/>
      <w:szCs w:val="24"/>
    </w:rPr>
  </w:style>
  <w:style w:type="character" w:customStyle="1" w:styleId="23">
    <w:name w:val="批注框文本 字符"/>
    <w:basedOn w:val="17"/>
    <w:link w:val="8"/>
    <w:semiHidden/>
    <w:qFormat/>
    <w:locked/>
    <w:uiPriority w:val="99"/>
    <w:rPr>
      <w:rFonts w:ascii="Times New Roman" w:hAnsi="Times New Roman" w:eastAsia="宋体" w:cs="Times New Roman"/>
      <w:sz w:val="18"/>
      <w:szCs w:val="18"/>
    </w:rPr>
  </w:style>
  <w:style w:type="character" w:customStyle="1" w:styleId="24">
    <w:name w:val="页脚 字符"/>
    <w:basedOn w:val="17"/>
    <w:link w:val="9"/>
    <w:qFormat/>
    <w:locked/>
    <w:uiPriority w:val="99"/>
    <w:rPr>
      <w:rFonts w:cs="Times New Roman"/>
      <w:sz w:val="18"/>
      <w:szCs w:val="18"/>
    </w:rPr>
  </w:style>
  <w:style w:type="character" w:customStyle="1" w:styleId="25">
    <w:name w:val="页眉 字符"/>
    <w:basedOn w:val="17"/>
    <w:link w:val="10"/>
    <w:semiHidden/>
    <w:qFormat/>
    <w:locked/>
    <w:uiPriority w:val="99"/>
    <w:rPr>
      <w:rFonts w:cs="Times New Roman"/>
      <w:sz w:val="18"/>
      <w:szCs w:val="18"/>
    </w:rPr>
  </w:style>
  <w:style w:type="character" w:customStyle="1" w:styleId="26">
    <w:name w:val="正文文本缩进 3 字符"/>
    <w:basedOn w:val="17"/>
    <w:link w:val="11"/>
    <w:semiHidden/>
    <w:qFormat/>
    <w:locked/>
    <w:uiPriority w:val="99"/>
    <w:rPr>
      <w:rFonts w:ascii="Times New Roman" w:hAnsi="Times New Roman" w:eastAsia="宋体" w:cs="Times New Roman"/>
      <w:sz w:val="16"/>
      <w:szCs w:val="16"/>
    </w:rPr>
  </w:style>
  <w:style w:type="character" w:customStyle="1" w:styleId="27">
    <w:name w:val="批注主题 字符"/>
    <w:basedOn w:val="21"/>
    <w:link w:val="13"/>
    <w:semiHidden/>
    <w:qFormat/>
    <w:uiPriority w:val="99"/>
    <w:rPr>
      <w:rFonts w:ascii="Times New Roman" w:hAnsi="Times New Roman" w:eastAsia="宋体" w:cs="Times New Roman"/>
      <w:b/>
      <w:bCs/>
      <w:sz w:val="24"/>
      <w:szCs w:val="24"/>
    </w:rPr>
  </w:style>
  <w:style w:type="paragraph" w:customStyle="1" w:styleId="28">
    <w:name w:val="修订1"/>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29">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30">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31">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32">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33">
    <w:name w:val="彩色列表 - 着色 11"/>
    <w:basedOn w:val="1"/>
    <w:qFormat/>
    <w:uiPriority w:val="0"/>
    <w:pPr>
      <w:keepNext w:val="0"/>
      <w:keepLines w:val="0"/>
      <w:widowControl w:val="0"/>
      <w:suppressLineNumbers w:val="0"/>
      <w:spacing w:before="0" w:beforeAutospacing="0" w:after="0" w:afterAutospacing="0"/>
      <w:ind w:left="0" w:right="0" w:firstLine="420" w:firstLineChars="200"/>
      <w:jc w:val="both"/>
    </w:pPr>
    <w:rPr>
      <w:kern w:val="2"/>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44</Pages>
  <Words>19257</Words>
  <Characters>19803</Characters>
  <Lines>1</Lines>
  <Paragraphs>1</Paragraphs>
  <TotalTime>1</TotalTime>
  <ScaleCrop>false</ScaleCrop>
  <LinksUpToDate>false</LinksUpToDate>
  <CharactersWithSpaces>20080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2019-12-12T14:55:00Z</dcterms:created>
  <dc:creator>专用人员</dc:creator>
  <cp:lastModifiedBy>孙静</cp:lastModifiedBy>
  <cp:lastPrinted>2021-10-17T06:36:00Z</cp:lastPrinted>
  <dcterms:modified xsi:type="dcterms:W3CDTF">2026-04-28T08:58:40Z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89ADD0EFF7574455A96C07AADFB6ECB0_13</vt:lpwstr>
  </property>
  <property fmtid="{D5CDD505-2E9C-101B-9397-08002B2CF9AE}" pid="4" name="KSOTemplateDocerSaveRecord">
    <vt:lpwstr>eyJoZGlkIjoiNWNhMmVjNGE2MmQxOTI5YzQzZmY4NTY5MTRjYzgyMjIiLCJ1c2VySWQiOiI2NTMwNjQ5MzEifQ==</vt:lpwstr>
  </property>
</Properties>
</file>