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555AC">
      <w:pPr>
        <w:pStyle w:val="11"/>
        <w:tabs>
          <w:tab w:val="right" w:leader="dot" w:pos="9128"/>
        </w:tabs>
        <w:ind w:left="0" w:firstLine="0" w:firstLineChars="0"/>
        <w:jc w:val="center"/>
        <w:rPr>
          <w:rFonts w:ascii="宋体" w:hAnsi="宋体" w:eastAsia="宋体" w:cs="宋体"/>
          <w:color w:val="auto"/>
          <w:sz w:val="24"/>
          <w:szCs w:val="24"/>
          <w:highlight w:val="none"/>
        </w:rPr>
      </w:pPr>
      <w:r>
        <w:rPr>
          <w:rFonts w:hint="eastAsia" w:ascii="黑体" w:hAnsi="黑体" w:eastAsia="黑体"/>
          <w:color w:val="auto"/>
          <w:sz w:val="32"/>
          <w:szCs w:val="32"/>
          <w:highlight w:val="none"/>
        </w:rPr>
        <w:t>电梯设施设备维修保养细则</w:t>
      </w:r>
    </w:p>
    <w:p w14:paraId="10122444">
      <w:pPr>
        <w:pStyle w:val="2"/>
        <w:numPr>
          <w:ilvl w:val="0"/>
          <w:numId w:val="0"/>
        </w:numPr>
        <w:rPr>
          <w:rFonts w:ascii="宋体" w:hAnsi="宋体" w:eastAsia="宋体" w:cs="宋体"/>
          <w:color w:val="auto"/>
          <w:highlight w:val="none"/>
        </w:rPr>
      </w:pPr>
      <w:bookmarkStart w:id="0" w:name="_Toc6511"/>
    </w:p>
    <w:p w14:paraId="0AB7D224">
      <w:pPr>
        <w:pStyle w:val="2"/>
        <w:numPr>
          <w:ilvl w:val="0"/>
          <w:numId w:val="0"/>
        </w:numPr>
        <w:rPr>
          <w:color w:val="auto"/>
          <w:highlight w:val="none"/>
        </w:rPr>
      </w:pPr>
      <w:bookmarkStart w:id="1" w:name="_Toc5035"/>
      <w:r>
        <w:rPr>
          <w:rFonts w:hint="eastAsia" w:cs="黑体"/>
          <w:color w:val="auto"/>
          <w:highlight w:val="none"/>
        </w:rPr>
        <w:t xml:space="preserve">1 </w:t>
      </w:r>
      <w:r>
        <w:rPr>
          <w:rFonts w:hint="eastAsia"/>
          <w:color w:val="auto"/>
          <w:highlight w:val="none"/>
        </w:rPr>
        <w:t>目的</w:t>
      </w:r>
      <w:bookmarkEnd w:id="0"/>
      <w:bookmarkEnd w:id="1"/>
    </w:p>
    <w:p w14:paraId="6A9F0F7C">
      <w:pPr>
        <w:pStyle w:val="6"/>
        <w:rPr>
          <w:color w:val="auto"/>
          <w:highlight w:val="none"/>
        </w:rPr>
      </w:pPr>
      <w:bookmarkStart w:id="2" w:name="_Toc16092"/>
      <w:r>
        <w:rPr>
          <w:rFonts w:hint="eastAsia"/>
          <w:color w:val="auto"/>
          <w:highlight w:val="none"/>
        </w:rPr>
        <w:t>规范本公司服务辖区内电梯设备供方维护标准及维护作业要求。</w:t>
      </w:r>
    </w:p>
    <w:p w14:paraId="199D9042">
      <w:pPr>
        <w:pStyle w:val="2"/>
        <w:numPr>
          <w:ilvl w:val="0"/>
          <w:numId w:val="0"/>
        </w:numPr>
        <w:rPr>
          <w:color w:val="auto"/>
          <w:highlight w:val="none"/>
        </w:rPr>
      </w:pPr>
      <w:bookmarkStart w:id="3" w:name="_Toc13938"/>
      <w:r>
        <w:rPr>
          <w:rFonts w:hint="eastAsia" w:cs="黑体"/>
          <w:color w:val="auto"/>
          <w:highlight w:val="none"/>
        </w:rPr>
        <w:t xml:space="preserve">2 </w:t>
      </w:r>
      <w:r>
        <w:rPr>
          <w:rFonts w:hint="eastAsia"/>
          <w:color w:val="auto"/>
          <w:highlight w:val="none"/>
        </w:rPr>
        <w:t>范围</w:t>
      </w:r>
      <w:bookmarkEnd w:id="2"/>
      <w:bookmarkEnd w:id="3"/>
      <w:bookmarkStart w:id="4" w:name="_Toc25443"/>
    </w:p>
    <w:p w14:paraId="5AEA2C78">
      <w:pPr>
        <w:ind w:firstLine="480"/>
        <w:rPr>
          <w:color w:val="auto"/>
          <w:highlight w:val="none"/>
        </w:rPr>
      </w:pPr>
      <w:r>
        <w:rPr>
          <w:rFonts w:hint="eastAsia"/>
          <w:color w:val="auto"/>
          <w:highlight w:val="none"/>
        </w:rPr>
        <w:t>适用于本公司服务辖区内商写业态项目电梯设备维护业务外包监控管理。</w:t>
      </w:r>
    </w:p>
    <w:p w14:paraId="5208CD83">
      <w:pPr>
        <w:pStyle w:val="2"/>
        <w:numPr>
          <w:ilvl w:val="0"/>
          <w:numId w:val="0"/>
        </w:numPr>
        <w:rPr>
          <w:color w:val="auto"/>
          <w:highlight w:val="none"/>
        </w:rPr>
      </w:pPr>
      <w:bookmarkStart w:id="5" w:name="_Toc18406"/>
      <w:r>
        <w:rPr>
          <w:rFonts w:hint="eastAsia" w:cs="黑体"/>
          <w:color w:val="auto"/>
          <w:highlight w:val="none"/>
        </w:rPr>
        <w:t xml:space="preserve">3 </w:t>
      </w:r>
      <w:r>
        <w:rPr>
          <w:rFonts w:hint="eastAsia"/>
          <w:color w:val="auto"/>
          <w:highlight w:val="none"/>
        </w:rPr>
        <w:t>规范性引用文件</w:t>
      </w:r>
      <w:bookmarkEnd w:id="4"/>
      <w:bookmarkEnd w:id="5"/>
    </w:p>
    <w:p w14:paraId="7FFC2338">
      <w:pPr>
        <w:ind w:firstLine="480"/>
        <w:rPr>
          <w:color w:val="auto"/>
          <w:highlight w:val="none"/>
        </w:rPr>
      </w:pPr>
      <w:r>
        <w:rPr>
          <w:rFonts w:hint="eastAsia"/>
          <w:color w:val="auto"/>
          <w:highlight w:val="none"/>
        </w:rPr>
        <w:t>无</w:t>
      </w:r>
    </w:p>
    <w:p w14:paraId="5DEA3CC1">
      <w:pPr>
        <w:pStyle w:val="2"/>
        <w:numPr>
          <w:ilvl w:val="0"/>
          <w:numId w:val="0"/>
        </w:numPr>
        <w:rPr>
          <w:color w:val="auto"/>
          <w:highlight w:val="none"/>
        </w:rPr>
      </w:pPr>
      <w:bookmarkStart w:id="6" w:name="_Toc22486"/>
      <w:bookmarkStart w:id="7" w:name="_Toc19998"/>
      <w:r>
        <w:rPr>
          <w:rFonts w:hint="eastAsia" w:cs="黑体"/>
          <w:color w:val="auto"/>
          <w:highlight w:val="none"/>
        </w:rPr>
        <w:t xml:space="preserve">4 </w:t>
      </w:r>
      <w:r>
        <w:rPr>
          <w:rFonts w:hint="eastAsia"/>
          <w:color w:val="auto"/>
          <w:highlight w:val="none"/>
        </w:rPr>
        <w:t>术语和定义</w:t>
      </w:r>
      <w:bookmarkEnd w:id="6"/>
      <w:bookmarkEnd w:id="7"/>
    </w:p>
    <w:p w14:paraId="0DBFBEB6">
      <w:pPr>
        <w:ind w:firstLine="480"/>
        <w:rPr>
          <w:color w:val="auto"/>
          <w:highlight w:val="none"/>
        </w:rPr>
      </w:pPr>
      <w:r>
        <w:rPr>
          <w:rFonts w:hint="eastAsia"/>
          <w:color w:val="auto"/>
          <w:highlight w:val="none"/>
        </w:rPr>
        <w:t>无</w:t>
      </w:r>
    </w:p>
    <w:p w14:paraId="3D3CB32F">
      <w:pPr>
        <w:pStyle w:val="2"/>
        <w:numPr>
          <w:ilvl w:val="0"/>
          <w:numId w:val="0"/>
        </w:numPr>
        <w:rPr>
          <w:color w:val="auto"/>
          <w:highlight w:val="none"/>
        </w:rPr>
      </w:pPr>
      <w:bookmarkStart w:id="8" w:name="_Toc21482"/>
      <w:bookmarkStart w:id="9" w:name="_Toc258"/>
      <w:r>
        <w:rPr>
          <w:rFonts w:hint="eastAsia"/>
          <w:color w:val="auto"/>
          <w:highlight w:val="none"/>
        </w:rPr>
        <w:t>5 主要职责</w:t>
      </w:r>
      <w:bookmarkEnd w:id="8"/>
    </w:p>
    <w:p w14:paraId="67B4D09C">
      <w:pPr>
        <w:pStyle w:val="3"/>
        <w:numPr>
          <w:ilvl w:val="1"/>
          <w:numId w:val="0"/>
        </w:numPr>
        <w:rPr>
          <w:color w:val="auto"/>
          <w:highlight w:val="none"/>
        </w:rPr>
      </w:pPr>
      <w:bookmarkStart w:id="10" w:name="_Toc25767"/>
      <w:bookmarkStart w:id="11" w:name="_Toc14062"/>
      <w:bookmarkStart w:id="12" w:name="_Toc24734"/>
      <w:bookmarkStart w:id="13" w:name="_Toc22904"/>
      <w:bookmarkStart w:id="14" w:name="_Toc14642"/>
      <w:r>
        <w:rPr>
          <w:rFonts w:hint="eastAsia"/>
          <w:color w:val="auto"/>
          <w:highlight w:val="none"/>
        </w:rPr>
        <w:t>5.1 工程维修</w:t>
      </w:r>
    </w:p>
    <w:p w14:paraId="09268460">
      <w:pPr>
        <w:pStyle w:val="3"/>
        <w:numPr>
          <w:ilvl w:val="1"/>
          <w:numId w:val="0"/>
        </w:numPr>
        <w:ind w:firstLine="480" w:firstLineChars="200"/>
        <w:rPr>
          <w:rFonts w:ascii="宋体" w:hAnsi="宋体" w:eastAsia="宋体" w:cs="宋体"/>
          <w:color w:val="auto"/>
          <w:highlight w:val="none"/>
        </w:rPr>
      </w:pPr>
      <w:r>
        <w:rPr>
          <w:rFonts w:hint="eastAsia" w:ascii="宋体" w:hAnsi="宋体" w:eastAsia="宋体" w:cs="宋体"/>
          <w:color w:val="auto"/>
          <w:highlight w:val="none"/>
        </w:rPr>
        <w:t>制定电梯设备管理规范标准,监督指导各服务中心电梯设备房管理情况和电梯供方维护情况进行评估。</w:t>
      </w:r>
      <w:bookmarkEnd w:id="10"/>
      <w:bookmarkEnd w:id="11"/>
      <w:bookmarkEnd w:id="12"/>
      <w:bookmarkEnd w:id="13"/>
      <w:bookmarkEnd w:id="14"/>
    </w:p>
    <w:p w14:paraId="44551958">
      <w:pPr>
        <w:pStyle w:val="3"/>
        <w:numPr>
          <w:ilvl w:val="1"/>
          <w:numId w:val="0"/>
        </w:numPr>
        <w:rPr>
          <w:color w:val="auto"/>
          <w:highlight w:val="none"/>
        </w:rPr>
      </w:pPr>
      <w:bookmarkStart w:id="15" w:name="_Toc31719"/>
      <w:bookmarkStart w:id="16" w:name="_Toc6464"/>
      <w:bookmarkStart w:id="17" w:name="_Toc27116"/>
      <w:bookmarkStart w:id="18" w:name="_Toc2063"/>
      <w:bookmarkStart w:id="19" w:name="_Toc18958"/>
      <w:r>
        <w:rPr>
          <w:rFonts w:hint="eastAsia"/>
          <w:color w:val="auto"/>
          <w:highlight w:val="none"/>
        </w:rPr>
        <w:t>5.2 项目经理</w:t>
      </w:r>
    </w:p>
    <w:p w14:paraId="1256BC0B">
      <w:pPr>
        <w:pStyle w:val="3"/>
        <w:numPr>
          <w:ilvl w:val="1"/>
          <w:numId w:val="0"/>
        </w:numPr>
        <w:ind w:firstLine="480" w:firstLineChars="200"/>
        <w:rPr>
          <w:rFonts w:ascii="宋体" w:hAnsi="宋体" w:eastAsia="宋体" w:cs="宋体"/>
          <w:color w:val="auto"/>
          <w:highlight w:val="none"/>
        </w:rPr>
      </w:pPr>
      <w:r>
        <w:rPr>
          <w:rFonts w:hint="eastAsia" w:ascii="宋体" w:hAnsi="宋体" w:eastAsia="宋体" w:cs="宋体"/>
          <w:color w:val="auto"/>
          <w:highlight w:val="none"/>
        </w:rPr>
        <w:t>负责监督本部门电梯设备管理。</w:t>
      </w:r>
      <w:bookmarkEnd w:id="15"/>
      <w:bookmarkEnd w:id="16"/>
      <w:bookmarkEnd w:id="17"/>
      <w:bookmarkEnd w:id="18"/>
      <w:bookmarkEnd w:id="19"/>
    </w:p>
    <w:p w14:paraId="08912A3B">
      <w:pPr>
        <w:pStyle w:val="3"/>
        <w:numPr>
          <w:ilvl w:val="1"/>
          <w:numId w:val="0"/>
        </w:numPr>
        <w:rPr>
          <w:color w:val="auto"/>
          <w:highlight w:val="none"/>
        </w:rPr>
      </w:pPr>
      <w:bookmarkStart w:id="20" w:name="_Toc18294"/>
      <w:bookmarkStart w:id="21" w:name="_Toc17623"/>
      <w:bookmarkStart w:id="22" w:name="_Toc25262"/>
      <w:bookmarkStart w:id="23" w:name="_Toc3170"/>
      <w:bookmarkStart w:id="24" w:name="_Toc10661"/>
      <w:r>
        <w:rPr>
          <w:rFonts w:hint="eastAsia"/>
          <w:color w:val="auto"/>
          <w:highlight w:val="none"/>
        </w:rPr>
        <w:t>5.3 工程主管（负责人）</w:t>
      </w:r>
    </w:p>
    <w:p w14:paraId="6F01F434">
      <w:pPr>
        <w:pStyle w:val="3"/>
        <w:numPr>
          <w:ilvl w:val="1"/>
          <w:numId w:val="0"/>
        </w:numPr>
        <w:ind w:firstLine="480" w:firstLineChars="200"/>
        <w:rPr>
          <w:rFonts w:ascii="宋体" w:hAnsi="宋体" w:eastAsia="宋体" w:cs="宋体"/>
          <w:color w:val="auto"/>
          <w:highlight w:val="none"/>
        </w:rPr>
      </w:pPr>
      <w:r>
        <w:rPr>
          <w:rFonts w:hint="eastAsia" w:ascii="宋体" w:hAnsi="宋体" w:eastAsia="宋体" w:cs="宋体"/>
          <w:color w:val="auto"/>
          <w:highlight w:val="none"/>
        </w:rPr>
        <w:t>负责指定电梯设备外包监督责任外，监督电梯外包方及外包监督责任人职责落实情况，对电梯外包方工作评估。</w:t>
      </w:r>
      <w:bookmarkEnd w:id="20"/>
      <w:bookmarkEnd w:id="21"/>
      <w:bookmarkEnd w:id="22"/>
      <w:bookmarkEnd w:id="23"/>
      <w:bookmarkEnd w:id="24"/>
    </w:p>
    <w:p w14:paraId="0C3907D2">
      <w:pPr>
        <w:pStyle w:val="3"/>
        <w:numPr>
          <w:ilvl w:val="1"/>
          <w:numId w:val="0"/>
        </w:numPr>
        <w:rPr>
          <w:color w:val="auto"/>
          <w:highlight w:val="none"/>
        </w:rPr>
      </w:pPr>
      <w:bookmarkStart w:id="25" w:name="_Toc2236"/>
      <w:bookmarkStart w:id="26" w:name="_Toc17000"/>
      <w:bookmarkStart w:id="27" w:name="_Toc4661"/>
      <w:bookmarkStart w:id="28" w:name="_Toc4502"/>
      <w:bookmarkStart w:id="29" w:name="_Toc8739"/>
      <w:r>
        <w:rPr>
          <w:rFonts w:hint="eastAsia"/>
          <w:color w:val="auto"/>
          <w:highlight w:val="none"/>
        </w:rPr>
        <w:t>5.4 综合维修工（电梯管理）</w:t>
      </w:r>
    </w:p>
    <w:p w14:paraId="31F29004">
      <w:pPr>
        <w:pStyle w:val="3"/>
        <w:numPr>
          <w:ilvl w:val="1"/>
          <w:numId w:val="0"/>
        </w:numPr>
        <w:ind w:firstLine="480" w:firstLineChars="200"/>
        <w:rPr>
          <w:rFonts w:ascii="宋体" w:hAnsi="宋体" w:eastAsia="宋体" w:cs="宋体"/>
          <w:color w:val="auto"/>
          <w:highlight w:val="none"/>
        </w:rPr>
      </w:pPr>
      <w:r>
        <w:rPr>
          <w:rFonts w:hint="eastAsia" w:ascii="宋体" w:hAnsi="宋体" w:eastAsia="宋体" w:cs="宋体"/>
          <w:color w:val="auto"/>
          <w:highlight w:val="none"/>
        </w:rPr>
        <w:t>负责对电梯供方定期维护工作进行监督、评估。</w:t>
      </w:r>
      <w:bookmarkEnd w:id="25"/>
      <w:bookmarkEnd w:id="26"/>
      <w:bookmarkEnd w:id="27"/>
      <w:bookmarkEnd w:id="28"/>
      <w:bookmarkEnd w:id="29"/>
    </w:p>
    <w:p w14:paraId="49D88438">
      <w:pPr>
        <w:pStyle w:val="3"/>
        <w:numPr>
          <w:ilvl w:val="1"/>
          <w:numId w:val="0"/>
        </w:numPr>
        <w:rPr>
          <w:color w:val="auto"/>
          <w:highlight w:val="none"/>
        </w:rPr>
      </w:pPr>
      <w:bookmarkStart w:id="30" w:name="_Toc11068"/>
      <w:bookmarkStart w:id="31" w:name="_Toc6784"/>
      <w:bookmarkStart w:id="32" w:name="_Toc23732"/>
      <w:bookmarkStart w:id="33" w:name="_Toc6208"/>
      <w:bookmarkStart w:id="34" w:name="_Toc29642"/>
      <w:r>
        <w:rPr>
          <w:rFonts w:hint="eastAsia"/>
          <w:color w:val="auto"/>
          <w:highlight w:val="none"/>
        </w:rPr>
        <w:t>5.5 电梯维保外包方</w:t>
      </w:r>
    </w:p>
    <w:p w14:paraId="7C8A7848">
      <w:pPr>
        <w:pStyle w:val="3"/>
        <w:numPr>
          <w:ilvl w:val="1"/>
          <w:numId w:val="0"/>
        </w:numPr>
        <w:ind w:firstLine="480" w:firstLineChars="200"/>
        <w:rPr>
          <w:rFonts w:ascii="宋体" w:hAnsi="宋体" w:eastAsia="宋体" w:cs="宋体"/>
          <w:color w:val="auto"/>
          <w:highlight w:val="none"/>
        </w:rPr>
      </w:pPr>
      <w:r>
        <w:rPr>
          <w:rFonts w:hint="eastAsia" w:ascii="宋体" w:hAnsi="宋体" w:eastAsia="宋体" w:cs="宋体"/>
          <w:color w:val="auto"/>
          <w:highlight w:val="none"/>
        </w:rPr>
        <w:t>依照外包合同及本作业指导书要求落实维保职责。</w:t>
      </w:r>
      <w:bookmarkEnd w:id="30"/>
      <w:bookmarkEnd w:id="31"/>
      <w:bookmarkEnd w:id="32"/>
      <w:bookmarkEnd w:id="33"/>
      <w:bookmarkEnd w:id="34"/>
    </w:p>
    <w:p w14:paraId="0DE2D0D7">
      <w:pPr>
        <w:pStyle w:val="2"/>
        <w:numPr>
          <w:ilvl w:val="0"/>
          <w:numId w:val="0"/>
        </w:numPr>
        <w:rPr>
          <w:color w:val="auto"/>
          <w:highlight w:val="none"/>
        </w:rPr>
      </w:pPr>
      <w:bookmarkStart w:id="35" w:name="_Toc4376"/>
      <w:r>
        <w:rPr>
          <w:rFonts w:hint="eastAsia"/>
          <w:color w:val="auto"/>
          <w:highlight w:val="none"/>
        </w:rPr>
        <w:t>6 工作程序</w:t>
      </w:r>
      <w:bookmarkEnd w:id="35"/>
    </w:p>
    <w:p w14:paraId="356EAD69">
      <w:pPr>
        <w:pStyle w:val="2"/>
        <w:numPr>
          <w:ilvl w:val="1"/>
          <w:numId w:val="0"/>
        </w:numPr>
        <w:tabs>
          <w:tab w:val="left" w:pos="420"/>
        </w:tabs>
        <w:rPr>
          <w:color w:val="auto"/>
          <w:highlight w:val="none"/>
        </w:rPr>
      </w:pPr>
      <w:bookmarkStart w:id="36" w:name="_Toc31581"/>
      <w:r>
        <w:rPr>
          <w:rFonts w:hint="eastAsia"/>
          <w:color w:val="auto"/>
          <w:highlight w:val="none"/>
        </w:rPr>
        <w:t>6.1 电梯设备维护标准</w:t>
      </w:r>
      <w:bookmarkEnd w:id="36"/>
    </w:p>
    <w:p w14:paraId="35E75AEF">
      <w:pPr>
        <w:pStyle w:val="4"/>
        <w:numPr>
          <w:ilvl w:val="2"/>
          <w:numId w:val="0"/>
        </w:numPr>
        <w:rPr>
          <w:color w:val="auto"/>
          <w:highlight w:val="none"/>
        </w:rPr>
      </w:pPr>
      <w:r>
        <w:rPr>
          <w:rFonts w:hint="eastAsia"/>
          <w:color w:val="auto"/>
          <w:highlight w:val="none"/>
        </w:rPr>
        <w:t>6.1.1 轿厢设备维护标准</w:t>
      </w:r>
    </w:p>
    <w:p w14:paraId="72F721EE">
      <w:pPr>
        <w:pStyle w:val="5"/>
        <w:numPr>
          <w:ilvl w:val="3"/>
          <w:numId w:val="0"/>
        </w:numPr>
        <w:rPr>
          <w:color w:val="auto"/>
          <w:highlight w:val="none"/>
        </w:rPr>
      </w:pPr>
      <w:r>
        <w:rPr>
          <w:rFonts w:hint="eastAsia"/>
          <w:color w:val="auto"/>
          <w:highlight w:val="none"/>
        </w:rPr>
        <w:t>6.1.1.1 轿厢内张贴电梯有效年检合格证、安全乘梯须知。</w:t>
      </w:r>
    </w:p>
    <w:p w14:paraId="7AA39D82">
      <w:pPr>
        <w:pStyle w:val="5"/>
        <w:numPr>
          <w:ilvl w:val="3"/>
          <w:numId w:val="0"/>
        </w:numPr>
        <w:rPr>
          <w:color w:val="auto"/>
          <w:highlight w:val="none"/>
        </w:rPr>
      </w:pPr>
      <w:r>
        <w:rPr>
          <w:rFonts w:hint="eastAsia"/>
          <w:color w:val="auto"/>
          <w:highlight w:val="none"/>
        </w:rPr>
        <w:t>6.1.1.2 轿厢内照明良好，应急照明灯、报警功能应正常，轿厢通风风机无异常噪音，按钮面板整洁，字迹清晰。</w:t>
      </w:r>
    </w:p>
    <w:p w14:paraId="094461E3">
      <w:pPr>
        <w:pStyle w:val="5"/>
        <w:numPr>
          <w:ilvl w:val="3"/>
          <w:numId w:val="0"/>
        </w:numPr>
        <w:rPr>
          <w:color w:val="auto"/>
          <w:highlight w:val="none"/>
        </w:rPr>
      </w:pPr>
      <w:r>
        <w:rPr>
          <w:rFonts w:hint="eastAsia"/>
          <w:color w:val="auto"/>
          <w:highlight w:val="none"/>
        </w:rPr>
        <w:t>6.1.1.3 紧急对讲话筒有使用提示标识，摘挂便利、通话声音清晰。监控探头确保画面能分辨乘客面孔。</w:t>
      </w:r>
    </w:p>
    <w:p w14:paraId="7F059F09">
      <w:pPr>
        <w:pStyle w:val="5"/>
        <w:numPr>
          <w:ilvl w:val="3"/>
          <w:numId w:val="0"/>
        </w:numPr>
        <w:rPr>
          <w:color w:val="auto"/>
          <w:highlight w:val="none"/>
        </w:rPr>
      </w:pPr>
      <w:r>
        <w:rPr>
          <w:rFonts w:hint="eastAsia"/>
          <w:color w:val="auto"/>
          <w:highlight w:val="none"/>
        </w:rPr>
        <w:t>6.1.1.4 轿厢平层误差在正负10mm以内。</w:t>
      </w:r>
    </w:p>
    <w:p w14:paraId="4C178E4D">
      <w:pPr>
        <w:pStyle w:val="5"/>
        <w:numPr>
          <w:ilvl w:val="3"/>
          <w:numId w:val="0"/>
        </w:numPr>
        <w:rPr>
          <w:color w:val="auto"/>
          <w:highlight w:val="none"/>
        </w:rPr>
      </w:pPr>
      <w:r>
        <w:rPr>
          <w:rFonts w:hint="eastAsia"/>
          <w:color w:val="auto"/>
          <w:highlight w:val="none"/>
        </w:rPr>
        <w:t>6.1.1.5 电梯运行、增速、减速平稳。从启动到平层皆无异常震动、冲击及异常声响。行驶过程中轿厢无明显晃动，箱门无晃动而产生的撞击声，电梯门开启闭合灵活，无卡、摔声音。</w:t>
      </w:r>
    </w:p>
    <w:p w14:paraId="16741B4A">
      <w:pPr>
        <w:pStyle w:val="4"/>
        <w:numPr>
          <w:ilvl w:val="2"/>
          <w:numId w:val="0"/>
        </w:numPr>
        <w:rPr>
          <w:color w:val="auto"/>
          <w:highlight w:val="none"/>
        </w:rPr>
      </w:pPr>
      <w:r>
        <w:rPr>
          <w:rFonts w:hint="eastAsia"/>
          <w:color w:val="auto"/>
          <w:highlight w:val="none"/>
        </w:rPr>
        <w:t>6.1.2 电梯机房设备维护标准</w:t>
      </w:r>
    </w:p>
    <w:p w14:paraId="7DC48937">
      <w:pPr>
        <w:pStyle w:val="5"/>
        <w:numPr>
          <w:ilvl w:val="3"/>
          <w:numId w:val="0"/>
        </w:numPr>
        <w:rPr>
          <w:color w:val="auto"/>
          <w:highlight w:val="none"/>
        </w:rPr>
      </w:pPr>
      <w:r>
        <w:rPr>
          <w:rFonts w:hint="eastAsia"/>
          <w:color w:val="auto"/>
          <w:highlight w:val="none"/>
        </w:rPr>
        <w:t>6.1.2.1 机房内配置盘车专用工具一套。</w:t>
      </w:r>
    </w:p>
    <w:p w14:paraId="284EAAB6">
      <w:pPr>
        <w:pStyle w:val="5"/>
        <w:numPr>
          <w:ilvl w:val="3"/>
          <w:numId w:val="0"/>
        </w:numPr>
        <w:rPr>
          <w:color w:val="auto"/>
          <w:highlight w:val="none"/>
        </w:rPr>
      </w:pPr>
      <w:r>
        <w:rPr>
          <w:rFonts w:hint="eastAsia"/>
          <w:color w:val="auto"/>
          <w:highlight w:val="none"/>
        </w:rPr>
        <w:t>6.1.2.2 控制柜内的排风扇运行正常，柜内温升符合要求，线路整洁，电器表面无积尘现象；主回路接触器无打火碳化迹象；接地电阻小于4欧、动力线绝缘电阻大于0.5兆欧、控制线绝缘电阻大于0.25兆欧.各种开关、按钮、蜂鸣器、电铃、对讲、指示灯、照明工作正常，无缺损，接线端子压接牢固，导线编号清楚无误。</w:t>
      </w:r>
    </w:p>
    <w:p w14:paraId="7E0A1CC3">
      <w:pPr>
        <w:pStyle w:val="5"/>
        <w:numPr>
          <w:ilvl w:val="3"/>
          <w:numId w:val="0"/>
        </w:numPr>
        <w:rPr>
          <w:color w:val="auto"/>
          <w:highlight w:val="none"/>
        </w:rPr>
      </w:pPr>
      <w:r>
        <w:rPr>
          <w:rFonts w:hint="eastAsia"/>
          <w:color w:val="auto"/>
          <w:highlight w:val="none"/>
        </w:rPr>
        <w:t>6.1.2.3 曳引机电动机连接紧固，无晃动，无异常运行声音，电动机轴承温度应不高于80℃。</w:t>
      </w:r>
    </w:p>
    <w:p w14:paraId="255EF4C7">
      <w:pPr>
        <w:pStyle w:val="5"/>
        <w:numPr>
          <w:ilvl w:val="3"/>
          <w:numId w:val="0"/>
        </w:numPr>
        <w:rPr>
          <w:color w:val="auto"/>
          <w:highlight w:val="none"/>
        </w:rPr>
      </w:pPr>
      <w:r>
        <w:rPr>
          <w:rFonts w:hint="eastAsia"/>
          <w:color w:val="auto"/>
          <w:highlight w:val="none"/>
        </w:rPr>
        <w:t>6.1.2.4 减速器螺栓无松动、无锈蚀，运行时无不约匀的噪声或撞击声，减速器内润滑油清洁，无渗漏，油面在标准范围内。减速器的机件和轴承的温度应不高于75度，油温不高于85度。</w:t>
      </w:r>
    </w:p>
    <w:p w14:paraId="6908C942">
      <w:pPr>
        <w:pStyle w:val="5"/>
        <w:numPr>
          <w:ilvl w:val="3"/>
          <w:numId w:val="0"/>
        </w:numPr>
        <w:rPr>
          <w:color w:val="auto"/>
          <w:highlight w:val="none"/>
        </w:rPr>
      </w:pPr>
      <w:r>
        <w:rPr>
          <w:rFonts w:hint="eastAsia"/>
          <w:color w:val="auto"/>
          <w:highlight w:val="none"/>
        </w:rPr>
        <w:t>6.1.2.5 减速箱箱盖、窥视孔盖和轴承盖应与箱体连接紧密无漏油。蜗杆轴伸出端橡胶材机油密封，润滑性渗油小于每滴/3-5分钟。</w:t>
      </w:r>
    </w:p>
    <w:p w14:paraId="3940E5CE">
      <w:pPr>
        <w:pStyle w:val="5"/>
        <w:numPr>
          <w:ilvl w:val="3"/>
          <w:numId w:val="0"/>
        </w:numPr>
        <w:rPr>
          <w:color w:val="auto"/>
          <w:highlight w:val="none"/>
        </w:rPr>
      </w:pPr>
      <w:r>
        <w:rPr>
          <w:rFonts w:hint="eastAsia"/>
          <w:color w:val="auto"/>
          <w:highlight w:val="none"/>
        </w:rPr>
        <w:t>6.1.2.6 制动系统工作可靠，无不正常的撞击声。曳引机转动时闸瓦制动带与制动轮之间无相摩擦现象。闸瓦与制动轮间隙小于0.7毫米，制动器线圈温升不超过该电梯使用说明书规定的温度范围。</w:t>
      </w:r>
    </w:p>
    <w:p w14:paraId="47692137">
      <w:pPr>
        <w:pStyle w:val="5"/>
        <w:numPr>
          <w:ilvl w:val="3"/>
          <w:numId w:val="0"/>
        </w:numPr>
        <w:rPr>
          <w:color w:val="auto"/>
          <w:highlight w:val="none"/>
        </w:rPr>
      </w:pPr>
      <w:r>
        <w:rPr>
          <w:rFonts w:hint="eastAsia"/>
          <w:color w:val="auto"/>
          <w:highlight w:val="none"/>
        </w:rPr>
        <w:t>6.1.2.7 钢丝绳维护标准:</w:t>
      </w:r>
    </w:p>
    <w:p w14:paraId="517C723F">
      <w:pPr>
        <w:pStyle w:val="5"/>
        <w:numPr>
          <w:ilvl w:val="3"/>
          <w:numId w:val="0"/>
        </w:numPr>
        <w:rPr>
          <w:color w:val="auto"/>
          <w:highlight w:val="none"/>
        </w:rPr>
      </w:pPr>
      <w:r>
        <w:rPr>
          <w:rFonts w:hint="eastAsia"/>
          <w:color w:val="auto"/>
          <w:highlight w:val="none"/>
        </w:rPr>
        <w:t>6.1.2.7.1 钢丝绳表面无明显积垢、锈蚀、断股，平层线标识清晰。</w:t>
      </w:r>
    </w:p>
    <w:p w14:paraId="0D1C95BF">
      <w:pPr>
        <w:pStyle w:val="5"/>
        <w:numPr>
          <w:ilvl w:val="3"/>
          <w:numId w:val="0"/>
        </w:numPr>
        <w:rPr>
          <w:color w:val="auto"/>
          <w:highlight w:val="none"/>
        </w:rPr>
      </w:pPr>
      <w:r>
        <w:rPr>
          <w:rFonts w:hint="eastAsia"/>
          <w:color w:val="auto"/>
          <w:highlight w:val="none"/>
        </w:rPr>
        <w:t>6.1.2.7.2 轿厢和对重侧的钢丝绳应当张力均匀，张力差小于5%。</w:t>
      </w:r>
    </w:p>
    <w:p w14:paraId="49D89EE9">
      <w:pPr>
        <w:pStyle w:val="5"/>
        <w:numPr>
          <w:ilvl w:val="3"/>
          <w:numId w:val="0"/>
        </w:numPr>
        <w:rPr>
          <w:color w:val="auto"/>
          <w:highlight w:val="none"/>
        </w:rPr>
      </w:pPr>
      <w:r>
        <w:rPr>
          <w:rFonts w:hint="eastAsia"/>
          <w:color w:val="auto"/>
          <w:highlight w:val="none"/>
        </w:rPr>
        <w:t>6.1.2.7.3 钢丝绳断丝在各绳股之间均匀分布时，在一个拧距内最大断丝数不允许超过32根。</w:t>
      </w:r>
    </w:p>
    <w:p w14:paraId="2E20E672">
      <w:pPr>
        <w:pStyle w:val="5"/>
        <w:numPr>
          <w:ilvl w:val="3"/>
          <w:numId w:val="0"/>
        </w:numPr>
        <w:rPr>
          <w:color w:val="auto"/>
          <w:highlight w:val="none"/>
        </w:rPr>
      </w:pPr>
      <w:r>
        <w:rPr>
          <w:rFonts w:hint="eastAsia"/>
          <w:color w:val="auto"/>
          <w:highlight w:val="none"/>
        </w:rPr>
        <w:t>6.1.2.7.4 断丝集中在1或2个绳股中，在一个拧距内最大断丝数不允许超过16根。</w:t>
      </w:r>
    </w:p>
    <w:p w14:paraId="2733EB84">
      <w:pPr>
        <w:pStyle w:val="5"/>
        <w:numPr>
          <w:ilvl w:val="3"/>
          <w:numId w:val="0"/>
        </w:numPr>
        <w:rPr>
          <w:rFonts w:cs="宋体"/>
          <w:color w:val="auto"/>
          <w:highlight w:val="none"/>
        </w:rPr>
      </w:pPr>
      <w:r>
        <w:rPr>
          <w:rFonts w:hint="eastAsia"/>
          <w:color w:val="auto"/>
          <w:highlight w:val="none"/>
        </w:rPr>
        <w:t>6.1.2.7.5 磨损的钢丝绳直径不得小于原直径90%。</w:t>
      </w:r>
    </w:p>
    <w:p w14:paraId="1A985358">
      <w:pPr>
        <w:pStyle w:val="5"/>
        <w:numPr>
          <w:ilvl w:val="3"/>
          <w:numId w:val="0"/>
        </w:numPr>
        <w:rPr>
          <w:color w:val="auto"/>
          <w:highlight w:val="none"/>
        </w:rPr>
      </w:pPr>
      <w:r>
        <w:rPr>
          <w:rFonts w:hint="eastAsia"/>
          <w:color w:val="auto"/>
          <w:highlight w:val="none"/>
        </w:rPr>
        <w:t>6.1.2.8 防止钢丝绳在曳引轮绳槽内落底，钢丝绳与槽底的间隙大于1mm，</w:t>
      </w:r>
    </w:p>
    <w:p w14:paraId="0DB3E53C">
      <w:pPr>
        <w:pStyle w:val="4"/>
        <w:numPr>
          <w:ilvl w:val="2"/>
          <w:numId w:val="0"/>
        </w:numPr>
        <w:rPr>
          <w:color w:val="auto"/>
          <w:highlight w:val="none"/>
        </w:rPr>
      </w:pPr>
      <w:r>
        <w:rPr>
          <w:rFonts w:hint="eastAsia"/>
          <w:color w:val="auto"/>
          <w:highlight w:val="none"/>
        </w:rPr>
        <w:t>6.1.3 电梯运行设备维护标准</w:t>
      </w:r>
    </w:p>
    <w:p w14:paraId="5D603B83">
      <w:pPr>
        <w:pStyle w:val="5"/>
        <w:numPr>
          <w:ilvl w:val="3"/>
          <w:numId w:val="0"/>
        </w:numPr>
        <w:rPr>
          <w:color w:val="auto"/>
          <w:highlight w:val="none"/>
        </w:rPr>
      </w:pPr>
      <w:r>
        <w:rPr>
          <w:rFonts w:hint="eastAsia"/>
          <w:color w:val="auto"/>
          <w:highlight w:val="none"/>
        </w:rPr>
        <w:t>6.1.3.1 轿厢门完全关闭，安全开关闭合后电梯方能行驶。轿厢门刀对厅门地砍间隙为5-8毫米。轿厢地砍对门厅地砍间隙符合安装要求。门厅锁啮合应不小于7毫米.层门外面不允许能用手把门拨开。门扇下端距地砍应为5-8毫米。门垂直误差不大于0.5毫米。</w:t>
      </w:r>
    </w:p>
    <w:p w14:paraId="6EF735DE">
      <w:pPr>
        <w:pStyle w:val="5"/>
        <w:numPr>
          <w:ilvl w:val="3"/>
          <w:numId w:val="0"/>
        </w:numPr>
        <w:rPr>
          <w:color w:val="auto"/>
          <w:highlight w:val="none"/>
        </w:rPr>
      </w:pPr>
      <w:r>
        <w:rPr>
          <w:rFonts w:hint="eastAsia"/>
          <w:color w:val="auto"/>
          <w:highlight w:val="none"/>
        </w:rPr>
        <w:t>6.1.3.2 门导轨、电机、、轴承、锁钩、臂及各滚轮应灵活转动润滑良好，无锈蚀。</w:t>
      </w:r>
    </w:p>
    <w:p w14:paraId="1E127D0C">
      <w:pPr>
        <w:pStyle w:val="5"/>
        <w:numPr>
          <w:ilvl w:val="3"/>
          <w:numId w:val="0"/>
        </w:numPr>
        <w:rPr>
          <w:color w:val="auto"/>
          <w:highlight w:val="none"/>
        </w:rPr>
      </w:pPr>
      <w:r>
        <w:rPr>
          <w:rFonts w:hint="eastAsia"/>
          <w:color w:val="auto"/>
          <w:highlight w:val="none"/>
        </w:rPr>
        <w:t>6.1.3.3 轿顶、机房设备、井通设施、地坑无杂物，无油污.无积水，设备无尘。</w:t>
      </w:r>
    </w:p>
    <w:p w14:paraId="32FAD8F2">
      <w:pPr>
        <w:pStyle w:val="5"/>
        <w:numPr>
          <w:ilvl w:val="3"/>
          <w:numId w:val="0"/>
        </w:numPr>
        <w:rPr>
          <w:color w:val="auto"/>
          <w:highlight w:val="none"/>
        </w:rPr>
      </w:pPr>
      <w:r>
        <w:rPr>
          <w:rFonts w:hint="eastAsia"/>
          <w:color w:val="auto"/>
          <w:highlight w:val="none"/>
        </w:rPr>
        <w:t>6.1.3.4 轿厢导轨导靴管理标准</w:t>
      </w:r>
    </w:p>
    <w:p w14:paraId="3C735786">
      <w:pPr>
        <w:pStyle w:val="5"/>
        <w:numPr>
          <w:ilvl w:val="3"/>
          <w:numId w:val="0"/>
        </w:numPr>
        <w:rPr>
          <w:color w:val="auto"/>
          <w:highlight w:val="none"/>
        </w:rPr>
      </w:pPr>
      <w:r>
        <w:rPr>
          <w:rFonts w:hint="eastAsia"/>
          <w:color w:val="auto"/>
          <w:highlight w:val="none"/>
        </w:rPr>
        <w:t>6.1.3.4.1 导轨自动润滑装置的储油盒油位适中。</w:t>
      </w:r>
    </w:p>
    <w:p w14:paraId="1A6280EC">
      <w:pPr>
        <w:pStyle w:val="5"/>
        <w:numPr>
          <w:ilvl w:val="3"/>
          <w:numId w:val="0"/>
        </w:numPr>
        <w:rPr>
          <w:color w:val="auto"/>
          <w:highlight w:val="none"/>
        </w:rPr>
      </w:pPr>
      <w:r>
        <w:rPr>
          <w:rFonts w:hint="eastAsia"/>
          <w:color w:val="auto"/>
          <w:highlight w:val="none"/>
        </w:rPr>
        <w:t>6.1.3.4.2 检查滑动导靴的衬垫磨损情况，衬垫工作面磨损量小于1毫米，间隙应均匀。</w:t>
      </w:r>
    </w:p>
    <w:p w14:paraId="7C24AA9F">
      <w:pPr>
        <w:pStyle w:val="5"/>
        <w:numPr>
          <w:ilvl w:val="3"/>
          <w:numId w:val="0"/>
        </w:numPr>
        <w:rPr>
          <w:color w:val="auto"/>
          <w:highlight w:val="none"/>
        </w:rPr>
      </w:pPr>
      <w:r>
        <w:rPr>
          <w:rFonts w:hint="eastAsia"/>
          <w:color w:val="auto"/>
          <w:highlight w:val="none"/>
        </w:rPr>
        <w:t>6.1.3.4.3 导轨工作面要求光滑、无划痕、无损伤。导轨固定装置螺栓应紧固，无松动，无锈蚀。</w:t>
      </w:r>
    </w:p>
    <w:p w14:paraId="1EE06B87">
      <w:pPr>
        <w:pStyle w:val="5"/>
        <w:numPr>
          <w:ilvl w:val="3"/>
          <w:numId w:val="0"/>
        </w:numPr>
        <w:rPr>
          <w:color w:val="auto"/>
          <w:highlight w:val="none"/>
        </w:rPr>
      </w:pPr>
      <w:r>
        <w:rPr>
          <w:rFonts w:hint="eastAsia"/>
          <w:color w:val="auto"/>
          <w:highlight w:val="none"/>
        </w:rPr>
        <w:t>6.1.3.5 限速器动作应灵敏可靠，润滑良好。保持限速器张紧装置正常工作，断绳安全开关的可靠性。</w:t>
      </w:r>
    </w:p>
    <w:p w14:paraId="4F0C5EC0">
      <w:pPr>
        <w:pStyle w:val="5"/>
        <w:numPr>
          <w:ilvl w:val="3"/>
          <w:numId w:val="0"/>
        </w:numPr>
        <w:rPr>
          <w:color w:val="auto"/>
          <w:highlight w:val="none"/>
        </w:rPr>
      </w:pPr>
      <w:r>
        <w:rPr>
          <w:rFonts w:hint="eastAsia"/>
          <w:color w:val="auto"/>
          <w:highlight w:val="none"/>
        </w:rPr>
        <w:t>6.1.3.6 安全钳</w:t>
      </w:r>
    </w:p>
    <w:p w14:paraId="3ADA2640">
      <w:pPr>
        <w:pStyle w:val="5"/>
        <w:numPr>
          <w:ilvl w:val="3"/>
          <w:numId w:val="0"/>
        </w:numPr>
        <w:rPr>
          <w:color w:val="auto"/>
          <w:highlight w:val="none"/>
        </w:rPr>
      </w:pPr>
      <w:r>
        <w:rPr>
          <w:rFonts w:hint="eastAsia"/>
          <w:color w:val="auto"/>
          <w:highlight w:val="none"/>
        </w:rPr>
        <w:t>6.1.3.6.1 传动杠杆配合转动处应有良好机油润滑钳口滚动或滑动部位涂锂基润滑脂.其动作应灵敏可靠。</w:t>
      </w:r>
    </w:p>
    <w:p w14:paraId="535FC06F">
      <w:pPr>
        <w:pStyle w:val="5"/>
        <w:numPr>
          <w:ilvl w:val="3"/>
          <w:numId w:val="0"/>
        </w:numPr>
        <w:rPr>
          <w:color w:val="auto"/>
          <w:highlight w:val="none"/>
        </w:rPr>
      </w:pPr>
      <w:r>
        <w:rPr>
          <w:rFonts w:hint="eastAsia"/>
          <w:color w:val="auto"/>
          <w:highlight w:val="none"/>
        </w:rPr>
        <w:t>6.1.3.6.2 安金钳楔块与导轨工作面间间隙为4毫米左右。</w:t>
      </w:r>
    </w:p>
    <w:p w14:paraId="60A0CE9A">
      <w:pPr>
        <w:pStyle w:val="5"/>
        <w:numPr>
          <w:ilvl w:val="3"/>
          <w:numId w:val="0"/>
        </w:numPr>
        <w:rPr>
          <w:color w:val="auto"/>
          <w:highlight w:val="none"/>
        </w:rPr>
      </w:pPr>
      <w:r>
        <w:rPr>
          <w:rFonts w:hint="eastAsia"/>
          <w:color w:val="auto"/>
          <w:highlight w:val="none"/>
        </w:rPr>
        <w:t>6.1.3.7 补偿链在运行中不允许产生噪音，消音绳应完好无折断，无严重磨损。6.1.3.8 安全触板的动作应灵敏可靠，其碰撞力不大于5牛顿。电梯故障停止运行时，在轿厢内能用手将门拨开，其拨力应在200-300牛顿范围内。</w:t>
      </w:r>
    </w:p>
    <w:p w14:paraId="3772ACE8">
      <w:pPr>
        <w:pStyle w:val="5"/>
        <w:numPr>
          <w:ilvl w:val="3"/>
          <w:numId w:val="0"/>
        </w:numPr>
        <w:rPr>
          <w:color w:val="auto"/>
          <w:highlight w:val="none"/>
        </w:rPr>
      </w:pPr>
      <w:r>
        <w:rPr>
          <w:rFonts w:hint="eastAsia"/>
          <w:color w:val="auto"/>
          <w:highlight w:val="none"/>
        </w:rPr>
        <w:t>6.1.3.9 缓冲器</w:t>
      </w:r>
    </w:p>
    <w:p w14:paraId="27C35E9D">
      <w:pPr>
        <w:pStyle w:val="5"/>
        <w:keepLines w:val="0"/>
        <w:numPr>
          <w:ilvl w:val="3"/>
          <w:numId w:val="0"/>
        </w:numPr>
        <w:rPr>
          <w:color w:val="auto"/>
          <w:highlight w:val="none"/>
        </w:rPr>
      </w:pPr>
      <w:r>
        <w:rPr>
          <w:rFonts w:hint="eastAsia"/>
          <w:color w:val="auto"/>
          <w:highlight w:val="none"/>
        </w:rPr>
        <w:t>6.1.3.9.1 油压缓冲器用油凝固点应在负10度以下，油面高度应保持在最低油以上。</w:t>
      </w:r>
    </w:p>
    <w:p w14:paraId="37203892">
      <w:pPr>
        <w:pStyle w:val="5"/>
        <w:keepLines w:val="0"/>
        <w:numPr>
          <w:ilvl w:val="3"/>
          <w:numId w:val="0"/>
        </w:numPr>
        <w:rPr>
          <w:color w:val="auto"/>
          <w:highlight w:val="none"/>
        </w:rPr>
      </w:pPr>
      <w:r>
        <w:rPr>
          <w:rFonts w:hint="eastAsia"/>
          <w:color w:val="auto"/>
          <w:highlight w:val="none"/>
        </w:rPr>
        <w:t>6.1.3.9.2 缓冲器所有螺栓应紧固无泄漏，无锈蚀。</w:t>
      </w:r>
    </w:p>
    <w:p w14:paraId="3A9F5308">
      <w:pPr>
        <w:pStyle w:val="5"/>
        <w:keepLines w:val="0"/>
        <w:numPr>
          <w:ilvl w:val="3"/>
          <w:numId w:val="0"/>
        </w:numPr>
        <w:rPr>
          <w:color w:val="auto"/>
          <w:highlight w:val="none"/>
        </w:rPr>
      </w:pPr>
      <w:r>
        <w:rPr>
          <w:rFonts w:hint="eastAsia"/>
          <w:color w:val="auto"/>
          <w:highlight w:val="none"/>
        </w:rPr>
        <w:t>6.1.3.9.3 缓冲器低速压到全压缩位置，释放回复自由高度位置时间应小于120秒。</w:t>
      </w:r>
    </w:p>
    <w:p w14:paraId="2E55C603">
      <w:pPr>
        <w:pStyle w:val="4"/>
        <w:numPr>
          <w:ilvl w:val="2"/>
          <w:numId w:val="0"/>
        </w:numPr>
        <w:rPr>
          <w:color w:val="auto"/>
          <w:highlight w:val="none"/>
        </w:rPr>
      </w:pPr>
      <w:r>
        <w:rPr>
          <w:rFonts w:hint="eastAsia"/>
          <w:color w:val="auto"/>
          <w:highlight w:val="none"/>
        </w:rPr>
        <w:t>6.1.4 电梯运行出现故障(困人)后，救援行动由专业持证人员在30分钟内或按（合同约定)到场实施救助，非专业持证人员禁止实施救助。</w:t>
      </w:r>
    </w:p>
    <w:p w14:paraId="3A422C12">
      <w:pPr>
        <w:pStyle w:val="2"/>
        <w:numPr>
          <w:ilvl w:val="1"/>
          <w:numId w:val="0"/>
        </w:numPr>
        <w:tabs>
          <w:tab w:val="left" w:pos="420"/>
        </w:tabs>
        <w:rPr>
          <w:color w:val="auto"/>
          <w:highlight w:val="none"/>
        </w:rPr>
      </w:pPr>
      <w:bookmarkStart w:id="37" w:name="_Toc3119"/>
      <w:r>
        <w:rPr>
          <w:rFonts w:hint="eastAsia"/>
          <w:color w:val="auto"/>
          <w:highlight w:val="none"/>
        </w:rPr>
        <w:t>6.2 日常操作注意事项</w:t>
      </w:r>
      <w:bookmarkEnd w:id="37"/>
    </w:p>
    <w:p w14:paraId="7608E832">
      <w:pPr>
        <w:pStyle w:val="4"/>
        <w:numPr>
          <w:ilvl w:val="2"/>
          <w:numId w:val="0"/>
        </w:numPr>
        <w:rPr>
          <w:color w:val="auto"/>
          <w:highlight w:val="none"/>
        </w:rPr>
      </w:pPr>
      <w:r>
        <w:rPr>
          <w:rFonts w:hint="eastAsia"/>
          <w:color w:val="auto"/>
          <w:highlight w:val="none"/>
        </w:rPr>
        <w:t>6.2.1 对手拉葫芦、钢丝绳套、滑轮、支撑木、脚手板等工器具，使用一前应认真检查，确无损坏方可使用，使用中注意承载能力防止过载；开闸扳手、盘车手轮应齐备、好用。</w:t>
      </w:r>
    </w:p>
    <w:p w14:paraId="2E3EC5D7">
      <w:pPr>
        <w:pStyle w:val="4"/>
        <w:numPr>
          <w:ilvl w:val="2"/>
          <w:numId w:val="0"/>
        </w:numPr>
        <w:rPr>
          <w:color w:val="auto"/>
          <w:highlight w:val="none"/>
        </w:rPr>
      </w:pPr>
      <w:r>
        <w:rPr>
          <w:rFonts w:hint="eastAsia"/>
          <w:color w:val="auto"/>
          <w:highlight w:val="none"/>
        </w:rPr>
        <w:t>6.2.2 在井道内作业时，严禁脚踏在轿顶，另一脚踏在井道中的任一固定点上的操作。</w:t>
      </w:r>
    </w:p>
    <w:p w14:paraId="3522D516">
      <w:pPr>
        <w:pStyle w:val="4"/>
        <w:numPr>
          <w:ilvl w:val="2"/>
          <w:numId w:val="0"/>
        </w:numPr>
        <w:rPr>
          <w:color w:val="auto"/>
          <w:highlight w:val="none"/>
        </w:rPr>
      </w:pPr>
      <w:r>
        <w:rPr>
          <w:rFonts w:hint="eastAsia"/>
          <w:color w:val="auto"/>
          <w:highlight w:val="none"/>
        </w:rPr>
        <w:t>6.2.3 在轿顶进行检修作业时，应将安全钳、联动开关和轿顶检修盒上的急停开关断开。</w:t>
      </w:r>
    </w:p>
    <w:p w14:paraId="2654DA23">
      <w:pPr>
        <w:pStyle w:val="4"/>
        <w:numPr>
          <w:ilvl w:val="2"/>
          <w:numId w:val="0"/>
        </w:numPr>
        <w:rPr>
          <w:color w:val="auto"/>
          <w:highlight w:val="none"/>
        </w:rPr>
      </w:pPr>
      <w:r>
        <w:rPr>
          <w:rFonts w:hint="eastAsia"/>
          <w:color w:val="auto"/>
          <w:highlight w:val="none"/>
        </w:rPr>
        <w:t>6.2.4 用手轮盘车升降电梯时，应断开总电源开关，并确保轿、厅门已关闭。</w:t>
      </w:r>
    </w:p>
    <w:p w14:paraId="5AE0847E">
      <w:pPr>
        <w:pStyle w:val="4"/>
        <w:numPr>
          <w:ilvl w:val="2"/>
          <w:numId w:val="0"/>
        </w:numPr>
        <w:rPr>
          <w:color w:val="auto"/>
          <w:highlight w:val="none"/>
        </w:rPr>
      </w:pPr>
      <w:r>
        <w:rPr>
          <w:rFonts w:hint="eastAsia"/>
          <w:color w:val="auto"/>
          <w:highlight w:val="none"/>
        </w:rPr>
        <w:t>6.2.5 在轿顶进行保养或检修，需要移动轿厢时.严禁快车运行；应采用慢车点动运行轿厢。</w:t>
      </w:r>
    </w:p>
    <w:p w14:paraId="730825C9">
      <w:pPr>
        <w:pStyle w:val="4"/>
        <w:numPr>
          <w:ilvl w:val="2"/>
          <w:numId w:val="0"/>
        </w:numPr>
        <w:rPr>
          <w:color w:val="auto"/>
          <w:highlight w:val="none"/>
        </w:rPr>
      </w:pPr>
      <w:r>
        <w:rPr>
          <w:rFonts w:hint="eastAsia"/>
          <w:color w:val="auto"/>
          <w:highlight w:val="none"/>
        </w:rPr>
        <w:t>6.2.6</w:t>
      </w:r>
      <w:r>
        <w:rPr>
          <w:rFonts w:hint="eastAsia"/>
          <w:color w:val="auto"/>
          <w:highlight w:val="none"/>
          <w:lang w:val="en-US" w:eastAsia="zh-CN"/>
        </w:rPr>
        <w:t xml:space="preserve"> </w:t>
      </w:r>
      <w:r>
        <w:rPr>
          <w:rFonts w:hint="eastAsia"/>
          <w:color w:val="auto"/>
          <w:highlight w:val="none"/>
        </w:rPr>
        <w:t>底坑作业时，应将限速器涨紧装置的安全开关和检修盒的急停开关断开。</w:t>
      </w:r>
    </w:p>
    <w:p w14:paraId="78339536">
      <w:pPr>
        <w:pStyle w:val="4"/>
        <w:numPr>
          <w:ilvl w:val="2"/>
          <w:numId w:val="0"/>
        </w:numPr>
        <w:rPr>
          <w:color w:val="auto"/>
          <w:highlight w:val="none"/>
        </w:rPr>
      </w:pPr>
      <w:r>
        <w:rPr>
          <w:rFonts w:hint="eastAsia"/>
          <w:color w:val="auto"/>
          <w:highlight w:val="none"/>
        </w:rPr>
        <w:t>6.2.7 禁止将安全开关如安全钳、安全窗、门联锁开关等用机械方法或电气短路方法封起来运行。</w:t>
      </w:r>
    </w:p>
    <w:p w14:paraId="4005E0B6">
      <w:pPr>
        <w:pStyle w:val="4"/>
        <w:numPr>
          <w:ilvl w:val="2"/>
          <w:numId w:val="0"/>
        </w:numPr>
        <w:rPr>
          <w:color w:val="auto"/>
          <w:highlight w:val="none"/>
        </w:rPr>
      </w:pPr>
      <w:r>
        <w:rPr>
          <w:rFonts w:hint="eastAsia"/>
          <w:color w:val="auto"/>
          <w:highlight w:val="none"/>
        </w:rPr>
        <w:t>6.2.8 只有在电梯停驶状态时，方可进行检查或保养曳引绳。</w:t>
      </w:r>
    </w:p>
    <w:p w14:paraId="5C0E162A">
      <w:pPr>
        <w:pStyle w:val="4"/>
        <w:numPr>
          <w:ilvl w:val="2"/>
          <w:numId w:val="0"/>
        </w:numPr>
        <w:rPr>
          <w:color w:val="auto"/>
          <w:highlight w:val="none"/>
        </w:rPr>
      </w:pPr>
      <w:r>
        <w:rPr>
          <w:rFonts w:hint="eastAsia"/>
          <w:color w:val="auto"/>
          <w:highlight w:val="none"/>
        </w:rPr>
        <w:t>6.2.9 当对电梯进行人和调整时，乘梯人员离开，保证轿厢内无人，并关闭轿厢门。</w:t>
      </w:r>
    </w:p>
    <w:p w14:paraId="6F8F85A9">
      <w:pPr>
        <w:pStyle w:val="4"/>
        <w:numPr>
          <w:ilvl w:val="2"/>
          <w:numId w:val="0"/>
        </w:numPr>
        <w:rPr>
          <w:color w:val="auto"/>
          <w:highlight w:val="none"/>
        </w:rPr>
      </w:pPr>
      <w:r>
        <w:rPr>
          <w:rFonts w:hint="eastAsia"/>
          <w:color w:val="auto"/>
          <w:highlight w:val="none"/>
        </w:rPr>
        <w:t>6.2.10 检修未完，检修人员需暂时撤离现场时，应做到：</w:t>
      </w:r>
    </w:p>
    <w:p w14:paraId="0385186E">
      <w:pPr>
        <w:pStyle w:val="5"/>
        <w:numPr>
          <w:ilvl w:val="3"/>
          <w:numId w:val="0"/>
        </w:numPr>
        <w:rPr>
          <w:color w:val="auto"/>
          <w:highlight w:val="none"/>
        </w:rPr>
      </w:pPr>
      <w:r>
        <w:rPr>
          <w:rFonts w:hint="eastAsia"/>
          <w:color w:val="auto"/>
          <w:highlight w:val="none"/>
        </w:rPr>
        <w:t>6.2.10.1 关闭所有厅门，一时关不上的必须设置防护，并在厅门悬持“危险，切勿靠近”的警告牌并派人看守。</w:t>
      </w:r>
    </w:p>
    <w:p w14:paraId="711F4A56">
      <w:pPr>
        <w:pStyle w:val="5"/>
        <w:numPr>
          <w:ilvl w:val="3"/>
          <w:numId w:val="0"/>
        </w:numPr>
        <w:rPr>
          <w:color w:val="auto"/>
          <w:highlight w:val="none"/>
        </w:rPr>
      </w:pPr>
      <w:r>
        <w:rPr>
          <w:rFonts w:hint="eastAsia"/>
          <w:color w:val="auto"/>
          <w:highlight w:val="none"/>
        </w:rPr>
        <w:t>6.2.10.2 切断总电源开关。</w:t>
      </w:r>
    </w:p>
    <w:p w14:paraId="0F36D175">
      <w:pPr>
        <w:pStyle w:val="5"/>
        <w:keepLines w:val="0"/>
        <w:numPr>
          <w:ilvl w:val="3"/>
          <w:numId w:val="0"/>
        </w:numPr>
        <w:rPr>
          <w:color w:val="auto"/>
          <w:highlight w:val="none"/>
        </w:rPr>
      </w:pPr>
      <w:r>
        <w:rPr>
          <w:rFonts w:hint="eastAsia"/>
          <w:color w:val="auto"/>
          <w:highlight w:val="none"/>
        </w:rPr>
        <w:t>6.2.10.3 排除热源，如喷、烙铁、强光灯、电焊、气焊等。</w:t>
      </w:r>
    </w:p>
    <w:p w14:paraId="3D9FAD46">
      <w:pPr>
        <w:pStyle w:val="5"/>
        <w:keepLines w:val="0"/>
        <w:numPr>
          <w:ilvl w:val="3"/>
          <w:numId w:val="0"/>
        </w:numPr>
        <w:rPr>
          <w:color w:val="auto"/>
          <w:highlight w:val="none"/>
        </w:rPr>
      </w:pPr>
      <w:r>
        <w:rPr>
          <w:rFonts w:hint="eastAsia"/>
          <w:color w:val="auto"/>
          <w:highlight w:val="none"/>
        </w:rPr>
        <w:t>6.2.10.4 通知有关人员，必要时应设专人值班。</w:t>
      </w:r>
    </w:p>
    <w:p w14:paraId="107216EE">
      <w:pPr>
        <w:pStyle w:val="5"/>
        <w:keepLines w:val="0"/>
        <w:numPr>
          <w:ilvl w:val="3"/>
          <w:numId w:val="0"/>
        </w:numPr>
        <w:rPr>
          <w:color w:val="auto"/>
          <w:highlight w:val="none"/>
        </w:rPr>
      </w:pPr>
      <w:r>
        <w:rPr>
          <w:rFonts w:hint="eastAsia"/>
          <w:color w:val="auto"/>
          <w:highlight w:val="none"/>
        </w:rPr>
        <w:t>6.2.11 维修、保养工作结束后应做到：</w:t>
      </w:r>
    </w:p>
    <w:p w14:paraId="7F20C299">
      <w:pPr>
        <w:pStyle w:val="5"/>
        <w:keepLines w:val="0"/>
        <w:numPr>
          <w:ilvl w:val="3"/>
          <w:numId w:val="0"/>
        </w:numPr>
        <w:rPr>
          <w:color w:val="auto"/>
          <w:highlight w:val="none"/>
        </w:rPr>
      </w:pPr>
      <w:r>
        <w:rPr>
          <w:rFonts w:hint="eastAsia"/>
          <w:color w:val="auto"/>
          <w:highlight w:val="none"/>
        </w:rPr>
        <w:t>6.2.11.1 将所有开关恢复到原来状态，检查工器具、材料有无遗落在设备上；</w:t>
      </w:r>
    </w:p>
    <w:p w14:paraId="601D2303">
      <w:pPr>
        <w:pStyle w:val="5"/>
        <w:keepLines w:val="0"/>
        <w:numPr>
          <w:ilvl w:val="3"/>
          <w:numId w:val="0"/>
        </w:numPr>
        <w:rPr>
          <w:color w:val="auto"/>
          <w:highlight w:val="none"/>
        </w:rPr>
      </w:pPr>
      <w:r>
        <w:rPr>
          <w:rFonts w:hint="eastAsia"/>
          <w:color w:val="auto"/>
          <w:highlight w:val="none"/>
        </w:rPr>
        <w:t>6.2.11.2 清点工具、材料打扫工作现场.撤除告示牌；</w:t>
      </w:r>
    </w:p>
    <w:p w14:paraId="08A9DCE6">
      <w:pPr>
        <w:pStyle w:val="5"/>
        <w:keepLines w:val="0"/>
        <w:numPr>
          <w:ilvl w:val="3"/>
          <w:numId w:val="0"/>
        </w:numPr>
        <w:rPr>
          <w:color w:val="auto"/>
          <w:highlight w:val="none"/>
        </w:rPr>
      </w:pPr>
      <w:r>
        <w:rPr>
          <w:rFonts w:hint="eastAsia"/>
          <w:color w:val="auto"/>
          <w:highlight w:val="none"/>
        </w:rPr>
        <w:t>6.2.11.3 送电试运行、观察电梯运行情况，发现异常及时停梯检查；</w:t>
      </w:r>
    </w:p>
    <w:p w14:paraId="3DA369D2">
      <w:pPr>
        <w:pStyle w:val="4"/>
        <w:numPr>
          <w:ilvl w:val="2"/>
          <w:numId w:val="0"/>
        </w:numPr>
        <w:rPr>
          <w:color w:val="auto"/>
          <w:highlight w:val="none"/>
        </w:rPr>
      </w:pPr>
      <w:r>
        <w:rPr>
          <w:rFonts w:hint="eastAsia"/>
          <w:color w:val="auto"/>
          <w:highlight w:val="none"/>
        </w:rPr>
        <w:t>6.2.12 更换电梯曳引绳/截绳作业要求作业人员必须做到：</w:t>
      </w:r>
    </w:p>
    <w:p w14:paraId="750DFB33">
      <w:pPr>
        <w:pStyle w:val="5"/>
        <w:numPr>
          <w:ilvl w:val="3"/>
          <w:numId w:val="0"/>
        </w:numPr>
        <w:rPr>
          <w:color w:val="auto"/>
          <w:highlight w:val="none"/>
        </w:rPr>
      </w:pPr>
      <w:r>
        <w:rPr>
          <w:rFonts w:hint="eastAsia"/>
          <w:color w:val="auto"/>
          <w:highlight w:val="none"/>
        </w:rPr>
        <w:t>6.2.12.1 施工前提交施工方案、安全技术交底、施工人员有效操作证件的复印件。检查施工方案是否合理；安全技术交底现场人员有无漏填；操作证真实性；6.2.12.2 安全钳将轿厢轧在导轨上，吊轿厢的吊链也必须拉紧，不得松弛；同时应将手拉链拴在起重链上；</w:t>
      </w:r>
    </w:p>
    <w:p w14:paraId="19515938">
      <w:pPr>
        <w:pStyle w:val="5"/>
        <w:numPr>
          <w:ilvl w:val="3"/>
          <w:numId w:val="0"/>
        </w:numPr>
        <w:rPr>
          <w:color w:val="auto"/>
          <w:highlight w:val="none"/>
        </w:rPr>
      </w:pPr>
      <w:r>
        <w:rPr>
          <w:rFonts w:hint="eastAsia"/>
          <w:color w:val="auto"/>
          <w:highlight w:val="none"/>
        </w:rPr>
        <w:t>6.2.12.3 换曳引绳时，严禁将曳引绳一次全部拆除;必须保留两根或两根以上的曳引绳；</w:t>
      </w:r>
    </w:p>
    <w:p w14:paraId="55876964">
      <w:pPr>
        <w:pStyle w:val="5"/>
        <w:numPr>
          <w:ilvl w:val="3"/>
          <w:numId w:val="0"/>
        </w:numPr>
        <w:rPr>
          <w:color w:val="auto"/>
          <w:highlight w:val="none"/>
        </w:rPr>
      </w:pPr>
      <w:r>
        <w:rPr>
          <w:rFonts w:hint="eastAsia"/>
          <w:color w:val="auto"/>
          <w:highlight w:val="none"/>
        </w:rPr>
        <w:t>6.2.12.4 严禁同时进行更换限速绳、曳引绳作业；</w:t>
      </w:r>
    </w:p>
    <w:p w14:paraId="3696FA51">
      <w:pPr>
        <w:pStyle w:val="5"/>
        <w:numPr>
          <w:ilvl w:val="3"/>
          <w:numId w:val="0"/>
        </w:numPr>
        <w:rPr>
          <w:color w:val="auto"/>
          <w:highlight w:val="none"/>
        </w:rPr>
      </w:pPr>
      <w:r>
        <w:rPr>
          <w:rFonts w:hint="eastAsia"/>
          <w:color w:val="auto"/>
          <w:highlight w:val="none"/>
        </w:rPr>
        <w:t>6.2.12.5 井道下部人员戴安全帽、在进行对重绳头作业时须系安全带；6.2.12.6 换绳完毕检查缓冲器越程距离和钢丝绳张力差，不符合要求的即时整改。</w:t>
      </w:r>
    </w:p>
    <w:p w14:paraId="35064E21">
      <w:pPr>
        <w:pStyle w:val="2"/>
        <w:numPr>
          <w:ilvl w:val="1"/>
          <w:numId w:val="0"/>
        </w:numPr>
        <w:tabs>
          <w:tab w:val="left" w:pos="420"/>
        </w:tabs>
        <w:rPr>
          <w:color w:val="auto"/>
          <w:highlight w:val="none"/>
        </w:rPr>
      </w:pPr>
      <w:bookmarkStart w:id="38" w:name="_Toc26695"/>
      <w:r>
        <w:rPr>
          <w:rFonts w:hint="eastAsia"/>
          <w:color w:val="auto"/>
          <w:highlight w:val="none"/>
        </w:rPr>
        <w:t>6.3 定期巡检及维护要求</w:t>
      </w:r>
      <w:bookmarkEnd w:id="38"/>
    </w:p>
    <w:p w14:paraId="75B1B687">
      <w:pPr>
        <w:pStyle w:val="4"/>
        <w:numPr>
          <w:ilvl w:val="2"/>
          <w:numId w:val="0"/>
        </w:numPr>
        <w:rPr>
          <w:rFonts w:hint="eastAsia"/>
          <w:color w:val="auto"/>
          <w:highlight w:val="none"/>
        </w:rPr>
      </w:pPr>
      <w:r>
        <w:rPr>
          <w:rFonts w:hint="eastAsia"/>
          <w:color w:val="auto"/>
          <w:highlight w:val="none"/>
        </w:rPr>
        <w:t>6.3.1 半月维护项目及要求</w:t>
      </w:r>
    </w:p>
    <w:p w14:paraId="4CDBDADC">
      <w:pPr>
        <w:ind w:left="0" w:leftChars="0" w:firstLine="0" w:firstLineChars="0"/>
        <w:jc w:val="center"/>
        <w:rPr>
          <w:rFonts w:hint="eastAsia" w:ascii="宋体" w:hAnsi="宋体" w:eastAsia="宋体" w:cs="宋体"/>
          <w:lang w:val="en-US" w:eastAsia="zh-CN"/>
        </w:rPr>
      </w:pPr>
      <w:r>
        <w:rPr>
          <w:rFonts w:hint="eastAsia" w:ascii="宋体" w:hAnsi="宋体" w:eastAsia="宋体" w:cs="宋体"/>
          <w:color w:val="auto"/>
          <w:highlight w:val="none"/>
          <w:lang w:val="en-US" w:eastAsia="zh-CN"/>
        </w:rPr>
        <w:t>表1</w:t>
      </w:r>
    </w:p>
    <w:tbl>
      <w:tblPr>
        <w:tblStyle w:val="12"/>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3819"/>
        <w:gridCol w:w="3878"/>
      </w:tblGrid>
      <w:tr w14:paraId="0A50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3F3B7554">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3819" w:type="dxa"/>
            <w:vAlign w:val="center"/>
          </w:tcPr>
          <w:p w14:paraId="05B64755">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维护部位</w:t>
            </w:r>
          </w:p>
        </w:tc>
        <w:tc>
          <w:tcPr>
            <w:tcW w:w="3878" w:type="dxa"/>
            <w:vAlign w:val="center"/>
          </w:tcPr>
          <w:p w14:paraId="6074E627">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标准</w:t>
            </w:r>
          </w:p>
        </w:tc>
      </w:tr>
      <w:tr w14:paraId="58B4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3AF91870">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3819" w:type="dxa"/>
            <w:vAlign w:val="center"/>
          </w:tcPr>
          <w:p w14:paraId="2DBA8B0D">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机房、滑轮间环境</w:t>
            </w:r>
          </w:p>
        </w:tc>
        <w:tc>
          <w:tcPr>
            <w:tcW w:w="3878" w:type="dxa"/>
            <w:vAlign w:val="center"/>
          </w:tcPr>
          <w:p w14:paraId="7C5A6072">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清洁、门窗完好、照明正常。</w:t>
            </w:r>
          </w:p>
        </w:tc>
      </w:tr>
      <w:tr w14:paraId="711C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53671730">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3819" w:type="dxa"/>
            <w:vAlign w:val="center"/>
          </w:tcPr>
          <w:p w14:paraId="033B40A4">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手动紧急操作装置</w:t>
            </w:r>
          </w:p>
        </w:tc>
        <w:tc>
          <w:tcPr>
            <w:tcW w:w="3878" w:type="dxa"/>
            <w:vAlign w:val="center"/>
          </w:tcPr>
          <w:p w14:paraId="37E85A4E">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齐全、在指定位置。</w:t>
            </w:r>
          </w:p>
        </w:tc>
      </w:tr>
      <w:tr w14:paraId="1E78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46E37251">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3819" w:type="dxa"/>
            <w:vAlign w:val="center"/>
          </w:tcPr>
          <w:p w14:paraId="380D3411">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曳引机</w:t>
            </w:r>
          </w:p>
        </w:tc>
        <w:tc>
          <w:tcPr>
            <w:tcW w:w="3878" w:type="dxa"/>
            <w:vAlign w:val="center"/>
          </w:tcPr>
          <w:p w14:paraId="592013D9">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运行时无异常震动或异常声响</w:t>
            </w:r>
          </w:p>
        </w:tc>
      </w:tr>
      <w:tr w14:paraId="088E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50A0F617">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3819" w:type="dxa"/>
            <w:vAlign w:val="center"/>
          </w:tcPr>
          <w:p w14:paraId="77D3A5DB">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制动器各销轴部位</w:t>
            </w:r>
          </w:p>
        </w:tc>
        <w:tc>
          <w:tcPr>
            <w:tcW w:w="3878" w:type="dxa"/>
            <w:vAlign w:val="center"/>
          </w:tcPr>
          <w:p w14:paraId="7AD88D9C">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润滑、动作灵活。</w:t>
            </w:r>
          </w:p>
        </w:tc>
      </w:tr>
      <w:tr w14:paraId="7D21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75058734">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3819" w:type="dxa"/>
            <w:vAlign w:val="center"/>
          </w:tcPr>
          <w:p w14:paraId="71BEC44B">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制动器间隙</w:t>
            </w:r>
          </w:p>
        </w:tc>
        <w:tc>
          <w:tcPr>
            <w:tcW w:w="3878" w:type="dxa"/>
            <w:vAlign w:val="center"/>
          </w:tcPr>
          <w:p w14:paraId="2542A0D6">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打开时，制动衬与制动轮不应发生摩擦。</w:t>
            </w:r>
          </w:p>
        </w:tc>
      </w:tr>
      <w:tr w14:paraId="4F37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56D32D73">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3819" w:type="dxa"/>
            <w:vAlign w:val="center"/>
          </w:tcPr>
          <w:p w14:paraId="7D0FAFA2">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编码器</w:t>
            </w:r>
          </w:p>
        </w:tc>
        <w:tc>
          <w:tcPr>
            <w:tcW w:w="3878" w:type="dxa"/>
            <w:vAlign w:val="center"/>
          </w:tcPr>
          <w:p w14:paraId="15EC6753">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清洁、安装牢固。</w:t>
            </w:r>
          </w:p>
        </w:tc>
      </w:tr>
      <w:tr w14:paraId="0F47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07A48C8E">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3819" w:type="dxa"/>
            <w:vAlign w:val="center"/>
          </w:tcPr>
          <w:p w14:paraId="1A97C30E">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限速器各销轴部位</w:t>
            </w:r>
          </w:p>
        </w:tc>
        <w:tc>
          <w:tcPr>
            <w:tcW w:w="3878" w:type="dxa"/>
            <w:vAlign w:val="center"/>
          </w:tcPr>
          <w:p w14:paraId="4F2F780E">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润滑、动作灵活，电器开关正常。</w:t>
            </w:r>
          </w:p>
        </w:tc>
      </w:tr>
      <w:tr w14:paraId="68F7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25F0D46E">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3819" w:type="dxa"/>
            <w:vAlign w:val="center"/>
          </w:tcPr>
          <w:p w14:paraId="41C865B4">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轿厢顶</w:t>
            </w:r>
          </w:p>
        </w:tc>
        <w:tc>
          <w:tcPr>
            <w:tcW w:w="3878" w:type="dxa"/>
            <w:vAlign w:val="center"/>
          </w:tcPr>
          <w:p w14:paraId="5F009577">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清洁、防护栏安全可靠。</w:t>
            </w:r>
          </w:p>
        </w:tc>
      </w:tr>
      <w:tr w14:paraId="01F8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3DECDC0E">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3819" w:type="dxa"/>
            <w:vAlign w:val="center"/>
          </w:tcPr>
          <w:p w14:paraId="0283A353">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箱顶检修开关、急停开关</w:t>
            </w:r>
          </w:p>
        </w:tc>
        <w:tc>
          <w:tcPr>
            <w:tcW w:w="3878" w:type="dxa"/>
            <w:vAlign w:val="center"/>
          </w:tcPr>
          <w:p w14:paraId="48276988">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工作正常。</w:t>
            </w:r>
          </w:p>
        </w:tc>
      </w:tr>
      <w:tr w14:paraId="0B8D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7F35470A">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3819" w:type="dxa"/>
            <w:vAlign w:val="center"/>
          </w:tcPr>
          <w:p w14:paraId="26BF6AE1">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导靴上油杯</w:t>
            </w:r>
          </w:p>
        </w:tc>
        <w:tc>
          <w:tcPr>
            <w:tcW w:w="3878" w:type="dxa"/>
            <w:vAlign w:val="center"/>
          </w:tcPr>
          <w:p w14:paraId="6BA5FAFD">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吸油毛毡齐全、油量适宜、油杯无泄漏。</w:t>
            </w:r>
          </w:p>
        </w:tc>
      </w:tr>
      <w:tr w14:paraId="5BDD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5DCC6AAD">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3819" w:type="dxa"/>
            <w:vAlign w:val="center"/>
          </w:tcPr>
          <w:p w14:paraId="60FB6D17">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对重块及其压板</w:t>
            </w:r>
          </w:p>
        </w:tc>
        <w:tc>
          <w:tcPr>
            <w:tcW w:w="3878" w:type="dxa"/>
            <w:vAlign w:val="center"/>
          </w:tcPr>
          <w:p w14:paraId="74707AC0">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对重块无松动、压紧紧固。</w:t>
            </w:r>
          </w:p>
        </w:tc>
      </w:tr>
      <w:tr w14:paraId="587E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5FE78356">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3819" w:type="dxa"/>
            <w:vAlign w:val="center"/>
          </w:tcPr>
          <w:p w14:paraId="28DCB13F">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井道照明</w:t>
            </w:r>
          </w:p>
        </w:tc>
        <w:tc>
          <w:tcPr>
            <w:tcW w:w="3878" w:type="dxa"/>
            <w:vAlign w:val="center"/>
          </w:tcPr>
          <w:p w14:paraId="57AD6070">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齐全、正常。</w:t>
            </w:r>
          </w:p>
        </w:tc>
      </w:tr>
      <w:tr w14:paraId="69FD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15749D1D">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13</w:t>
            </w:r>
          </w:p>
        </w:tc>
        <w:tc>
          <w:tcPr>
            <w:tcW w:w="3819" w:type="dxa"/>
            <w:vAlign w:val="center"/>
          </w:tcPr>
          <w:p w14:paraId="68813C7B">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轿厢照明、风扇、应急照明</w:t>
            </w:r>
          </w:p>
        </w:tc>
        <w:tc>
          <w:tcPr>
            <w:tcW w:w="3878" w:type="dxa"/>
            <w:vAlign w:val="center"/>
          </w:tcPr>
          <w:p w14:paraId="2E7D0DE6">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工作正常。</w:t>
            </w:r>
          </w:p>
        </w:tc>
      </w:tr>
      <w:tr w14:paraId="43E2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04E413F5">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14</w:t>
            </w:r>
          </w:p>
        </w:tc>
        <w:tc>
          <w:tcPr>
            <w:tcW w:w="3819" w:type="dxa"/>
            <w:vAlign w:val="center"/>
          </w:tcPr>
          <w:p w14:paraId="6AAAA18A">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轿厢检修开关、急停开关</w:t>
            </w:r>
          </w:p>
        </w:tc>
        <w:tc>
          <w:tcPr>
            <w:tcW w:w="3878" w:type="dxa"/>
            <w:vAlign w:val="center"/>
          </w:tcPr>
          <w:p w14:paraId="6B97F695">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工作正常。</w:t>
            </w:r>
          </w:p>
        </w:tc>
      </w:tr>
      <w:tr w14:paraId="11CD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1ED05144">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15</w:t>
            </w:r>
          </w:p>
        </w:tc>
        <w:tc>
          <w:tcPr>
            <w:tcW w:w="3819" w:type="dxa"/>
            <w:vAlign w:val="center"/>
          </w:tcPr>
          <w:p w14:paraId="76FB6978">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轿厢内报警装置、对讲系统</w:t>
            </w:r>
          </w:p>
        </w:tc>
        <w:tc>
          <w:tcPr>
            <w:tcW w:w="3878" w:type="dxa"/>
            <w:vAlign w:val="center"/>
          </w:tcPr>
          <w:p w14:paraId="41B3B0DE">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工作正常。</w:t>
            </w:r>
          </w:p>
        </w:tc>
      </w:tr>
      <w:tr w14:paraId="7440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1EC2094D">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16</w:t>
            </w:r>
          </w:p>
        </w:tc>
        <w:tc>
          <w:tcPr>
            <w:tcW w:w="3819" w:type="dxa"/>
            <w:vAlign w:val="center"/>
          </w:tcPr>
          <w:p w14:paraId="654307D1">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轿厢内显示、指令按钮</w:t>
            </w:r>
          </w:p>
        </w:tc>
        <w:tc>
          <w:tcPr>
            <w:tcW w:w="3878" w:type="dxa"/>
            <w:vAlign w:val="center"/>
          </w:tcPr>
          <w:p w14:paraId="226CBC01">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齐全、有效。</w:t>
            </w:r>
          </w:p>
        </w:tc>
      </w:tr>
      <w:tr w14:paraId="5A17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63C6813B">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17</w:t>
            </w:r>
          </w:p>
        </w:tc>
        <w:tc>
          <w:tcPr>
            <w:tcW w:w="3819" w:type="dxa"/>
            <w:vAlign w:val="center"/>
          </w:tcPr>
          <w:p w14:paraId="55FBBBC0">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轿门安全装置（安全触板、光电、光幕）</w:t>
            </w:r>
          </w:p>
        </w:tc>
        <w:tc>
          <w:tcPr>
            <w:tcW w:w="3878" w:type="dxa"/>
            <w:vAlign w:val="center"/>
          </w:tcPr>
          <w:p w14:paraId="455B5EB4">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功能有效。</w:t>
            </w:r>
          </w:p>
        </w:tc>
      </w:tr>
      <w:tr w14:paraId="4CAF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4C6FD925">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18</w:t>
            </w:r>
          </w:p>
        </w:tc>
        <w:tc>
          <w:tcPr>
            <w:tcW w:w="3819" w:type="dxa"/>
            <w:vAlign w:val="center"/>
          </w:tcPr>
          <w:p w14:paraId="60087D57">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轿门门锁电气触点</w:t>
            </w:r>
          </w:p>
        </w:tc>
        <w:tc>
          <w:tcPr>
            <w:tcW w:w="3878" w:type="dxa"/>
            <w:vAlign w:val="center"/>
          </w:tcPr>
          <w:p w14:paraId="38DC4670">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清洁、触点接触良好、接线可靠。</w:t>
            </w:r>
          </w:p>
        </w:tc>
      </w:tr>
      <w:tr w14:paraId="531E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315EB443">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19</w:t>
            </w:r>
          </w:p>
        </w:tc>
        <w:tc>
          <w:tcPr>
            <w:tcW w:w="3819" w:type="dxa"/>
            <w:vAlign w:val="center"/>
          </w:tcPr>
          <w:p w14:paraId="41ECD21B">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轿门运行</w:t>
            </w:r>
          </w:p>
        </w:tc>
        <w:tc>
          <w:tcPr>
            <w:tcW w:w="3878" w:type="dxa"/>
            <w:vAlign w:val="center"/>
          </w:tcPr>
          <w:p w14:paraId="287FFABF">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开启、关闭工作正常。</w:t>
            </w:r>
          </w:p>
        </w:tc>
      </w:tr>
      <w:tr w14:paraId="6AB4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7" w:type="dxa"/>
            <w:vAlign w:val="center"/>
          </w:tcPr>
          <w:p w14:paraId="56B60AB4">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20</w:t>
            </w:r>
          </w:p>
        </w:tc>
        <w:tc>
          <w:tcPr>
            <w:tcW w:w="3819" w:type="dxa"/>
            <w:vAlign w:val="center"/>
          </w:tcPr>
          <w:p w14:paraId="4BDDE603">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轿厢平层精度</w:t>
            </w:r>
          </w:p>
        </w:tc>
        <w:tc>
          <w:tcPr>
            <w:tcW w:w="3878" w:type="dxa"/>
            <w:vAlign w:val="center"/>
          </w:tcPr>
          <w:p w14:paraId="022E66AF">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符合标准（层门地坎和轿门地坎的高度差在±10mm的范围内）</w:t>
            </w:r>
          </w:p>
        </w:tc>
      </w:tr>
      <w:tr w14:paraId="6D22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21A9C1BF">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21</w:t>
            </w:r>
          </w:p>
        </w:tc>
        <w:tc>
          <w:tcPr>
            <w:tcW w:w="3819" w:type="dxa"/>
            <w:vAlign w:val="center"/>
          </w:tcPr>
          <w:p w14:paraId="63F06D0B">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层站召唤、层楼显示</w:t>
            </w:r>
          </w:p>
        </w:tc>
        <w:tc>
          <w:tcPr>
            <w:tcW w:w="3878" w:type="dxa"/>
            <w:vAlign w:val="center"/>
          </w:tcPr>
          <w:p w14:paraId="57DC7DB3">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齐全、有效</w:t>
            </w:r>
          </w:p>
        </w:tc>
      </w:tr>
      <w:tr w14:paraId="7F62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28D6FE8C">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22</w:t>
            </w:r>
          </w:p>
        </w:tc>
        <w:tc>
          <w:tcPr>
            <w:tcW w:w="3819" w:type="dxa"/>
            <w:vAlign w:val="center"/>
          </w:tcPr>
          <w:p w14:paraId="187CFB3C">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层门地坎</w:t>
            </w:r>
          </w:p>
        </w:tc>
        <w:tc>
          <w:tcPr>
            <w:tcW w:w="3878" w:type="dxa"/>
            <w:vAlign w:val="center"/>
          </w:tcPr>
          <w:p w14:paraId="1639E618">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清洁。</w:t>
            </w:r>
          </w:p>
        </w:tc>
      </w:tr>
      <w:tr w14:paraId="1683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66C840AA">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23</w:t>
            </w:r>
          </w:p>
        </w:tc>
        <w:tc>
          <w:tcPr>
            <w:tcW w:w="3819" w:type="dxa"/>
            <w:vAlign w:val="center"/>
          </w:tcPr>
          <w:p w14:paraId="6CC5ABDE">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层门自动关门装置</w:t>
            </w:r>
          </w:p>
        </w:tc>
        <w:tc>
          <w:tcPr>
            <w:tcW w:w="3878" w:type="dxa"/>
            <w:vAlign w:val="center"/>
          </w:tcPr>
          <w:p w14:paraId="68A906C7">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工作正常。</w:t>
            </w:r>
          </w:p>
        </w:tc>
      </w:tr>
      <w:tr w14:paraId="3D34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7" w:type="dxa"/>
            <w:vAlign w:val="center"/>
          </w:tcPr>
          <w:p w14:paraId="3B9143AD">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24</w:t>
            </w:r>
          </w:p>
        </w:tc>
        <w:tc>
          <w:tcPr>
            <w:tcW w:w="3819" w:type="dxa"/>
            <w:vAlign w:val="center"/>
          </w:tcPr>
          <w:p w14:paraId="52EFE478">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层门门锁自动复位</w:t>
            </w:r>
          </w:p>
        </w:tc>
        <w:tc>
          <w:tcPr>
            <w:tcW w:w="3878" w:type="dxa"/>
            <w:vAlign w:val="center"/>
          </w:tcPr>
          <w:p w14:paraId="1FC9B1BF">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用层门钥匙打开手动开锁装置释放后，层门门锁能自动复位。</w:t>
            </w:r>
          </w:p>
        </w:tc>
      </w:tr>
      <w:tr w14:paraId="4DA3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7B0BB516">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25</w:t>
            </w:r>
          </w:p>
        </w:tc>
        <w:tc>
          <w:tcPr>
            <w:tcW w:w="3819" w:type="dxa"/>
            <w:vAlign w:val="center"/>
          </w:tcPr>
          <w:p w14:paraId="3A6CA38C">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层门门锁电气触点</w:t>
            </w:r>
          </w:p>
        </w:tc>
        <w:tc>
          <w:tcPr>
            <w:tcW w:w="3878" w:type="dxa"/>
            <w:vAlign w:val="center"/>
          </w:tcPr>
          <w:p w14:paraId="1D1BA4F1">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清洁、触点接触良好、接线可靠。</w:t>
            </w:r>
          </w:p>
        </w:tc>
      </w:tr>
      <w:tr w14:paraId="3D14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7AC32892">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26</w:t>
            </w:r>
          </w:p>
        </w:tc>
        <w:tc>
          <w:tcPr>
            <w:tcW w:w="3819" w:type="dxa"/>
            <w:vAlign w:val="center"/>
          </w:tcPr>
          <w:p w14:paraId="3BC5A7A0">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层门锁紧原件</w:t>
            </w:r>
            <w:r>
              <w:rPr>
                <w:rFonts w:hint="eastAsia" w:ascii="宋体" w:hAnsi="宋体" w:cs="宋体"/>
                <w:color w:val="auto"/>
                <w:sz w:val="21"/>
                <w:szCs w:val="21"/>
                <w:highlight w:val="none"/>
                <w:shd w:val="clear" w:color="auto" w:fill="FFFFFF"/>
              </w:rPr>
              <w:t>啮合长度</w:t>
            </w:r>
          </w:p>
        </w:tc>
        <w:tc>
          <w:tcPr>
            <w:tcW w:w="3878" w:type="dxa"/>
            <w:vAlign w:val="center"/>
          </w:tcPr>
          <w:p w14:paraId="30B74865">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不小于7毫米。</w:t>
            </w:r>
          </w:p>
        </w:tc>
      </w:tr>
      <w:tr w14:paraId="0FA3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574CFFC0">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27</w:t>
            </w:r>
          </w:p>
        </w:tc>
        <w:tc>
          <w:tcPr>
            <w:tcW w:w="3819" w:type="dxa"/>
            <w:vAlign w:val="center"/>
          </w:tcPr>
          <w:p w14:paraId="248C9E95">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底坑环境</w:t>
            </w:r>
          </w:p>
        </w:tc>
        <w:tc>
          <w:tcPr>
            <w:tcW w:w="3878" w:type="dxa"/>
            <w:vAlign w:val="center"/>
          </w:tcPr>
          <w:p w14:paraId="77AB6D51">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清洁、无渗水、积水，照明正常</w:t>
            </w:r>
          </w:p>
        </w:tc>
      </w:tr>
      <w:tr w14:paraId="32F5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7" w:type="dxa"/>
            <w:vAlign w:val="center"/>
          </w:tcPr>
          <w:p w14:paraId="15F474B3">
            <w:pPr>
              <w:autoSpaceDE w:val="0"/>
              <w:autoSpaceDN w:val="0"/>
              <w:adjustRightInd w:val="0"/>
              <w:spacing w:line="36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28</w:t>
            </w:r>
          </w:p>
        </w:tc>
        <w:tc>
          <w:tcPr>
            <w:tcW w:w="3819" w:type="dxa"/>
            <w:vAlign w:val="center"/>
          </w:tcPr>
          <w:p w14:paraId="706544E2">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底坑急停开关</w:t>
            </w:r>
          </w:p>
        </w:tc>
        <w:tc>
          <w:tcPr>
            <w:tcW w:w="3878" w:type="dxa"/>
            <w:vAlign w:val="center"/>
          </w:tcPr>
          <w:p w14:paraId="44B45388">
            <w:pPr>
              <w:autoSpaceDE w:val="0"/>
              <w:autoSpaceDN w:val="0"/>
              <w:adjustRightInd w:val="0"/>
              <w:spacing w:line="36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工作正常。</w:t>
            </w:r>
          </w:p>
        </w:tc>
      </w:tr>
    </w:tbl>
    <w:p w14:paraId="0F9E7CF9">
      <w:pPr>
        <w:pStyle w:val="4"/>
        <w:numPr>
          <w:ilvl w:val="2"/>
          <w:numId w:val="0"/>
        </w:numPr>
        <w:rPr>
          <w:rFonts w:hint="eastAsia"/>
          <w:color w:val="auto"/>
          <w:highlight w:val="none"/>
        </w:rPr>
      </w:pPr>
      <w:r>
        <w:rPr>
          <w:rFonts w:hint="eastAsia"/>
          <w:color w:val="auto"/>
          <w:highlight w:val="none"/>
        </w:rPr>
        <w:t>6.3.2 季度维护项目和要求</w:t>
      </w:r>
    </w:p>
    <w:p w14:paraId="62E847F5">
      <w:pPr>
        <w:ind w:left="0" w:leftChars="0" w:firstLine="0" w:firstLineChars="0"/>
        <w:jc w:val="center"/>
        <w:rPr>
          <w:rFonts w:hint="default"/>
          <w:lang w:val="en-US"/>
        </w:rPr>
      </w:pPr>
      <w:r>
        <w:rPr>
          <w:rFonts w:hint="eastAsia" w:ascii="宋体" w:hAnsi="宋体" w:eastAsia="宋体" w:cs="宋体"/>
          <w:color w:val="auto"/>
          <w:highlight w:val="none"/>
          <w:lang w:val="en-US" w:eastAsia="zh-CN"/>
        </w:rPr>
        <w:t>表</w:t>
      </w:r>
      <w:r>
        <w:rPr>
          <w:rFonts w:hint="eastAsia" w:ascii="宋体" w:hAnsi="宋体" w:cs="宋体"/>
          <w:color w:val="auto"/>
          <w:highlight w:val="none"/>
          <w:lang w:val="en-US" w:eastAsia="zh-CN"/>
        </w:rPr>
        <w:t>2</w:t>
      </w:r>
    </w:p>
    <w:tbl>
      <w:tblPr>
        <w:tblStyle w:val="12"/>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3540"/>
        <w:gridCol w:w="3878"/>
      </w:tblGrid>
      <w:tr w14:paraId="23D3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96" w:type="dxa"/>
            <w:vAlign w:val="center"/>
          </w:tcPr>
          <w:p w14:paraId="3F4BE95D">
            <w:pPr>
              <w:autoSpaceDE w:val="0"/>
              <w:autoSpaceDN w:val="0"/>
              <w:adjustRightInd w:val="0"/>
              <w:spacing w:line="32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3540" w:type="dxa"/>
            <w:vAlign w:val="center"/>
          </w:tcPr>
          <w:p w14:paraId="7B2D07D7">
            <w:pPr>
              <w:autoSpaceDE w:val="0"/>
              <w:autoSpaceDN w:val="0"/>
              <w:adjustRightInd w:val="0"/>
              <w:spacing w:line="32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维护项目</w:t>
            </w:r>
          </w:p>
        </w:tc>
        <w:tc>
          <w:tcPr>
            <w:tcW w:w="3878" w:type="dxa"/>
            <w:vAlign w:val="center"/>
          </w:tcPr>
          <w:p w14:paraId="3E6096CC">
            <w:pPr>
              <w:autoSpaceDE w:val="0"/>
              <w:autoSpaceDN w:val="0"/>
              <w:adjustRightInd w:val="0"/>
              <w:spacing w:line="32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标准</w:t>
            </w:r>
          </w:p>
        </w:tc>
      </w:tr>
      <w:tr w14:paraId="17F3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6" w:type="dxa"/>
            <w:vAlign w:val="center"/>
          </w:tcPr>
          <w:p w14:paraId="56CA4A7C">
            <w:pPr>
              <w:autoSpaceDE w:val="0"/>
              <w:autoSpaceDN w:val="0"/>
              <w:adjustRightInd w:val="0"/>
              <w:spacing w:line="32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3540" w:type="dxa"/>
            <w:vAlign w:val="center"/>
          </w:tcPr>
          <w:p w14:paraId="7F044D86">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电动机与减速机联轴器螺栓</w:t>
            </w:r>
          </w:p>
        </w:tc>
        <w:tc>
          <w:tcPr>
            <w:tcW w:w="3878" w:type="dxa"/>
            <w:vAlign w:val="center"/>
          </w:tcPr>
          <w:p w14:paraId="71675E4D">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无松动。</w:t>
            </w:r>
          </w:p>
        </w:tc>
      </w:tr>
      <w:tr w14:paraId="19F1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6" w:type="dxa"/>
            <w:vAlign w:val="center"/>
          </w:tcPr>
          <w:p w14:paraId="60567C14">
            <w:pPr>
              <w:autoSpaceDE w:val="0"/>
              <w:autoSpaceDN w:val="0"/>
              <w:adjustRightInd w:val="0"/>
              <w:spacing w:line="32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3540" w:type="dxa"/>
            <w:vAlign w:val="center"/>
          </w:tcPr>
          <w:p w14:paraId="20730284">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曳引轮、导向轮轴承部</w:t>
            </w:r>
          </w:p>
        </w:tc>
        <w:tc>
          <w:tcPr>
            <w:tcW w:w="3878" w:type="dxa"/>
            <w:vAlign w:val="center"/>
          </w:tcPr>
          <w:p w14:paraId="651ADC24">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无异常声、无振动、润滑良好。</w:t>
            </w:r>
          </w:p>
        </w:tc>
      </w:tr>
      <w:tr w14:paraId="24AC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6" w:type="dxa"/>
            <w:vAlign w:val="center"/>
          </w:tcPr>
          <w:p w14:paraId="6AC59AD6">
            <w:pPr>
              <w:autoSpaceDE w:val="0"/>
              <w:autoSpaceDN w:val="0"/>
              <w:adjustRightInd w:val="0"/>
              <w:spacing w:line="32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3540" w:type="dxa"/>
            <w:vAlign w:val="center"/>
          </w:tcPr>
          <w:p w14:paraId="4D658CE7">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曳引轮槽</w:t>
            </w:r>
          </w:p>
        </w:tc>
        <w:tc>
          <w:tcPr>
            <w:tcW w:w="3878" w:type="dxa"/>
            <w:vAlign w:val="center"/>
          </w:tcPr>
          <w:p w14:paraId="0A703669">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磨损量不超标。</w:t>
            </w:r>
          </w:p>
        </w:tc>
      </w:tr>
      <w:tr w14:paraId="6DBB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6" w:type="dxa"/>
            <w:vAlign w:val="center"/>
          </w:tcPr>
          <w:p w14:paraId="6D7BA4FD">
            <w:pPr>
              <w:autoSpaceDE w:val="0"/>
              <w:autoSpaceDN w:val="0"/>
              <w:adjustRightInd w:val="0"/>
              <w:spacing w:line="32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3540" w:type="dxa"/>
            <w:vAlign w:val="center"/>
          </w:tcPr>
          <w:p w14:paraId="76103B8C">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制动器上检测开关</w:t>
            </w:r>
          </w:p>
        </w:tc>
        <w:tc>
          <w:tcPr>
            <w:tcW w:w="3878" w:type="dxa"/>
            <w:vAlign w:val="center"/>
          </w:tcPr>
          <w:p w14:paraId="276BE516">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工作正常、制动器动作可靠。</w:t>
            </w:r>
          </w:p>
        </w:tc>
      </w:tr>
      <w:tr w14:paraId="5CB4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6" w:type="dxa"/>
            <w:vAlign w:val="center"/>
          </w:tcPr>
          <w:p w14:paraId="4AC06C12">
            <w:pPr>
              <w:autoSpaceDE w:val="0"/>
              <w:autoSpaceDN w:val="0"/>
              <w:adjustRightInd w:val="0"/>
              <w:spacing w:line="32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3540" w:type="dxa"/>
            <w:vAlign w:val="center"/>
          </w:tcPr>
          <w:p w14:paraId="5564B3FF">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控制柜内各接线端子</w:t>
            </w:r>
          </w:p>
        </w:tc>
        <w:tc>
          <w:tcPr>
            <w:tcW w:w="3878" w:type="dxa"/>
            <w:vAlign w:val="center"/>
          </w:tcPr>
          <w:p w14:paraId="3C39E0B9">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各接线紧固、整齐、线好齐全清晰</w:t>
            </w:r>
          </w:p>
        </w:tc>
      </w:tr>
      <w:tr w14:paraId="5256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6" w:type="dxa"/>
            <w:vAlign w:val="center"/>
          </w:tcPr>
          <w:p w14:paraId="43818D3D">
            <w:pPr>
              <w:autoSpaceDE w:val="0"/>
              <w:autoSpaceDN w:val="0"/>
              <w:adjustRightInd w:val="0"/>
              <w:spacing w:line="32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3540" w:type="dxa"/>
            <w:vAlign w:val="center"/>
          </w:tcPr>
          <w:p w14:paraId="53417FA6">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控制柜各仪表</w:t>
            </w:r>
          </w:p>
        </w:tc>
        <w:tc>
          <w:tcPr>
            <w:tcW w:w="3878" w:type="dxa"/>
            <w:vAlign w:val="center"/>
          </w:tcPr>
          <w:p w14:paraId="559FC18E">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显示正确。</w:t>
            </w:r>
          </w:p>
        </w:tc>
      </w:tr>
      <w:tr w14:paraId="44DE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6" w:type="dxa"/>
            <w:vAlign w:val="center"/>
          </w:tcPr>
          <w:p w14:paraId="77724C0C">
            <w:pPr>
              <w:autoSpaceDE w:val="0"/>
              <w:autoSpaceDN w:val="0"/>
              <w:adjustRightInd w:val="0"/>
              <w:spacing w:line="32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3540" w:type="dxa"/>
            <w:vAlign w:val="center"/>
          </w:tcPr>
          <w:p w14:paraId="386E54EC">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井道、对重、轿顶各反绳轮轴承部</w:t>
            </w:r>
          </w:p>
        </w:tc>
        <w:tc>
          <w:tcPr>
            <w:tcW w:w="3878" w:type="dxa"/>
            <w:vAlign w:val="center"/>
          </w:tcPr>
          <w:p w14:paraId="13DDFAEC">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无异常声、无振动、润滑良好:</w:t>
            </w:r>
          </w:p>
        </w:tc>
      </w:tr>
      <w:tr w14:paraId="55C2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6" w:type="dxa"/>
            <w:vAlign w:val="center"/>
          </w:tcPr>
          <w:p w14:paraId="688BCEF8">
            <w:pPr>
              <w:autoSpaceDE w:val="0"/>
              <w:autoSpaceDN w:val="0"/>
              <w:adjustRightInd w:val="0"/>
              <w:spacing w:line="32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3540" w:type="dxa"/>
            <w:vAlign w:val="center"/>
          </w:tcPr>
          <w:p w14:paraId="134F5065">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曳引绳、补偿绳</w:t>
            </w:r>
          </w:p>
        </w:tc>
        <w:tc>
          <w:tcPr>
            <w:tcW w:w="3878" w:type="dxa"/>
            <w:vAlign w:val="center"/>
          </w:tcPr>
          <w:p w14:paraId="5ED913E1">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磨损量、断丝数不超标。</w:t>
            </w:r>
          </w:p>
        </w:tc>
      </w:tr>
      <w:tr w14:paraId="3594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6" w:type="dxa"/>
            <w:vAlign w:val="center"/>
          </w:tcPr>
          <w:p w14:paraId="3629AF7A">
            <w:pPr>
              <w:autoSpaceDE w:val="0"/>
              <w:autoSpaceDN w:val="0"/>
              <w:adjustRightInd w:val="0"/>
              <w:spacing w:line="32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3540" w:type="dxa"/>
            <w:vAlign w:val="center"/>
          </w:tcPr>
          <w:p w14:paraId="6DE5C773">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曳引绳绳头组合</w:t>
            </w:r>
          </w:p>
        </w:tc>
        <w:tc>
          <w:tcPr>
            <w:tcW w:w="3878" w:type="dxa"/>
            <w:vAlign w:val="center"/>
          </w:tcPr>
          <w:p w14:paraId="3C0FB936">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螺母无松动。</w:t>
            </w:r>
          </w:p>
        </w:tc>
      </w:tr>
      <w:tr w14:paraId="7B6A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6" w:type="dxa"/>
            <w:vAlign w:val="center"/>
          </w:tcPr>
          <w:p w14:paraId="1ED7AE82">
            <w:pPr>
              <w:autoSpaceDE w:val="0"/>
              <w:autoSpaceDN w:val="0"/>
              <w:adjustRightInd w:val="0"/>
              <w:spacing w:line="32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3540" w:type="dxa"/>
            <w:vAlign w:val="center"/>
          </w:tcPr>
          <w:p w14:paraId="2B26E6F6">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限速器钢丝绳</w:t>
            </w:r>
          </w:p>
        </w:tc>
        <w:tc>
          <w:tcPr>
            <w:tcW w:w="3878" w:type="dxa"/>
            <w:vAlign w:val="center"/>
          </w:tcPr>
          <w:p w14:paraId="64CD29DA">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磨损量、断丝数不超标。</w:t>
            </w:r>
          </w:p>
        </w:tc>
      </w:tr>
      <w:tr w14:paraId="4333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96" w:type="dxa"/>
            <w:vAlign w:val="center"/>
          </w:tcPr>
          <w:p w14:paraId="230B4E86">
            <w:pPr>
              <w:autoSpaceDE w:val="0"/>
              <w:autoSpaceDN w:val="0"/>
              <w:adjustRightInd w:val="0"/>
              <w:spacing w:line="32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3540" w:type="dxa"/>
            <w:vAlign w:val="center"/>
          </w:tcPr>
          <w:p w14:paraId="4939F3F2">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层门、轿门门扇</w:t>
            </w:r>
          </w:p>
        </w:tc>
        <w:tc>
          <w:tcPr>
            <w:tcW w:w="3878" w:type="dxa"/>
            <w:vAlign w:val="center"/>
          </w:tcPr>
          <w:p w14:paraId="756C14C2">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门扇各相关间隙符合标准（乘客电梯门扇间隙应为1-6mm，载货电梯门扇间隙应为1-8mm）。</w:t>
            </w:r>
          </w:p>
        </w:tc>
      </w:tr>
      <w:tr w14:paraId="220B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6" w:type="dxa"/>
            <w:vAlign w:val="center"/>
          </w:tcPr>
          <w:p w14:paraId="70C38D01">
            <w:pPr>
              <w:autoSpaceDE w:val="0"/>
              <w:autoSpaceDN w:val="0"/>
              <w:adjustRightInd w:val="0"/>
              <w:spacing w:line="32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3540" w:type="dxa"/>
            <w:vAlign w:val="center"/>
          </w:tcPr>
          <w:p w14:paraId="7ADB548C">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对重缓冲距</w:t>
            </w:r>
          </w:p>
        </w:tc>
        <w:tc>
          <w:tcPr>
            <w:tcW w:w="3878" w:type="dxa"/>
            <w:vAlign w:val="center"/>
          </w:tcPr>
          <w:p w14:paraId="4BCD9E81">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符合标准。</w:t>
            </w:r>
          </w:p>
        </w:tc>
      </w:tr>
      <w:tr w14:paraId="3B20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6" w:type="dxa"/>
            <w:vAlign w:val="center"/>
          </w:tcPr>
          <w:p w14:paraId="5F5E227E">
            <w:pPr>
              <w:autoSpaceDE w:val="0"/>
              <w:autoSpaceDN w:val="0"/>
              <w:adjustRightInd w:val="0"/>
              <w:spacing w:line="32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13</w:t>
            </w:r>
          </w:p>
        </w:tc>
        <w:tc>
          <w:tcPr>
            <w:tcW w:w="3540" w:type="dxa"/>
            <w:vAlign w:val="center"/>
          </w:tcPr>
          <w:p w14:paraId="2F782641">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补偿链（绳）与轿厢、对重接合处</w:t>
            </w:r>
          </w:p>
        </w:tc>
        <w:tc>
          <w:tcPr>
            <w:tcW w:w="3878" w:type="dxa"/>
            <w:vAlign w:val="center"/>
          </w:tcPr>
          <w:p w14:paraId="3642B93A">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固定、无松动。</w:t>
            </w:r>
          </w:p>
        </w:tc>
      </w:tr>
      <w:tr w14:paraId="5F19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6" w:type="dxa"/>
            <w:vAlign w:val="center"/>
          </w:tcPr>
          <w:p w14:paraId="0D58F24A">
            <w:pPr>
              <w:autoSpaceDE w:val="0"/>
              <w:autoSpaceDN w:val="0"/>
              <w:adjustRightInd w:val="0"/>
              <w:spacing w:line="32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14</w:t>
            </w:r>
          </w:p>
        </w:tc>
        <w:tc>
          <w:tcPr>
            <w:tcW w:w="3540" w:type="dxa"/>
            <w:vAlign w:val="center"/>
          </w:tcPr>
          <w:p w14:paraId="61B2127C">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上下极限开关</w:t>
            </w:r>
          </w:p>
        </w:tc>
        <w:tc>
          <w:tcPr>
            <w:tcW w:w="3878" w:type="dxa"/>
            <w:vAlign w:val="center"/>
          </w:tcPr>
          <w:p w14:paraId="0CA84D6E">
            <w:pPr>
              <w:autoSpaceDE w:val="0"/>
              <w:autoSpaceDN w:val="0"/>
              <w:adjustRightInd w:val="0"/>
              <w:spacing w:line="32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工作正常。</w:t>
            </w:r>
          </w:p>
        </w:tc>
      </w:tr>
    </w:tbl>
    <w:p w14:paraId="1E3E35BC">
      <w:pPr>
        <w:pStyle w:val="4"/>
        <w:numPr>
          <w:ilvl w:val="2"/>
          <w:numId w:val="0"/>
        </w:numPr>
        <w:rPr>
          <w:rFonts w:hint="eastAsia"/>
          <w:color w:val="auto"/>
          <w:highlight w:val="none"/>
        </w:rPr>
      </w:pPr>
      <w:r>
        <w:rPr>
          <w:rFonts w:hint="eastAsia"/>
          <w:color w:val="auto"/>
          <w:highlight w:val="none"/>
        </w:rPr>
        <w:t>6.3.3 半年维护项目和要求</w:t>
      </w:r>
    </w:p>
    <w:p w14:paraId="55E4B2EC">
      <w:pPr>
        <w:ind w:left="0" w:leftChars="0" w:firstLine="0" w:firstLineChars="0"/>
        <w:jc w:val="center"/>
        <w:rPr>
          <w:rFonts w:hint="default"/>
          <w:lang w:val="en-US"/>
        </w:rPr>
      </w:pPr>
      <w:r>
        <w:rPr>
          <w:rFonts w:hint="eastAsia" w:ascii="宋体" w:hAnsi="宋体" w:eastAsia="宋体" w:cs="宋体"/>
          <w:color w:val="auto"/>
          <w:highlight w:val="none"/>
          <w:lang w:val="en-US" w:eastAsia="zh-CN"/>
        </w:rPr>
        <w:t>表</w:t>
      </w:r>
      <w:r>
        <w:rPr>
          <w:rFonts w:hint="eastAsia" w:ascii="宋体" w:hAnsi="宋体" w:cs="宋体"/>
          <w:color w:val="auto"/>
          <w:highlight w:val="none"/>
          <w:lang w:val="en-US" w:eastAsia="zh-CN"/>
        </w:rPr>
        <w:t>3</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3847"/>
        <w:gridCol w:w="3572"/>
      </w:tblGrid>
      <w:tr w14:paraId="25EC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03" w:type="dxa"/>
          </w:tcPr>
          <w:p w14:paraId="242CEE36">
            <w:pPr>
              <w:autoSpaceDE w:val="0"/>
              <w:autoSpaceDN w:val="0"/>
              <w:adjustRightInd w:val="0"/>
              <w:spacing w:line="4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3847" w:type="dxa"/>
          </w:tcPr>
          <w:p w14:paraId="4C75CDF0">
            <w:pPr>
              <w:autoSpaceDE w:val="0"/>
              <w:autoSpaceDN w:val="0"/>
              <w:adjustRightInd w:val="0"/>
              <w:spacing w:line="4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维护项目</w:t>
            </w:r>
          </w:p>
        </w:tc>
        <w:tc>
          <w:tcPr>
            <w:tcW w:w="3572" w:type="dxa"/>
          </w:tcPr>
          <w:p w14:paraId="7CB13503">
            <w:pPr>
              <w:autoSpaceDE w:val="0"/>
              <w:autoSpaceDN w:val="0"/>
              <w:adjustRightInd w:val="0"/>
              <w:spacing w:line="4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标准</w:t>
            </w:r>
          </w:p>
        </w:tc>
      </w:tr>
      <w:tr w14:paraId="6B9B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03" w:type="dxa"/>
          </w:tcPr>
          <w:p w14:paraId="3DC88CC1">
            <w:pPr>
              <w:autoSpaceDE w:val="0"/>
              <w:autoSpaceDN w:val="0"/>
              <w:adjustRightInd w:val="0"/>
              <w:spacing w:line="4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3847" w:type="dxa"/>
          </w:tcPr>
          <w:p w14:paraId="007CB6AB">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电动机与减速机联轴器螺栓</w:t>
            </w:r>
          </w:p>
        </w:tc>
        <w:tc>
          <w:tcPr>
            <w:tcW w:w="3572" w:type="dxa"/>
          </w:tcPr>
          <w:p w14:paraId="266BBC36">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无松动。</w:t>
            </w:r>
          </w:p>
        </w:tc>
      </w:tr>
      <w:tr w14:paraId="412D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03" w:type="dxa"/>
          </w:tcPr>
          <w:p w14:paraId="55D7DFD9">
            <w:pPr>
              <w:autoSpaceDE w:val="0"/>
              <w:autoSpaceDN w:val="0"/>
              <w:adjustRightInd w:val="0"/>
              <w:spacing w:line="4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3847" w:type="dxa"/>
          </w:tcPr>
          <w:p w14:paraId="76B56BB5">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曳引轮、导向轮轴承部</w:t>
            </w:r>
          </w:p>
        </w:tc>
        <w:tc>
          <w:tcPr>
            <w:tcW w:w="3572" w:type="dxa"/>
          </w:tcPr>
          <w:p w14:paraId="2EE646A4">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无异常声、无振动、润滑良好。</w:t>
            </w:r>
          </w:p>
        </w:tc>
      </w:tr>
      <w:tr w14:paraId="5245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03" w:type="dxa"/>
          </w:tcPr>
          <w:p w14:paraId="24F709B9">
            <w:pPr>
              <w:autoSpaceDE w:val="0"/>
              <w:autoSpaceDN w:val="0"/>
              <w:adjustRightInd w:val="0"/>
              <w:spacing w:line="4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3847" w:type="dxa"/>
          </w:tcPr>
          <w:p w14:paraId="05234FBD">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曳引轮槽</w:t>
            </w:r>
          </w:p>
        </w:tc>
        <w:tc>
          <w:tcPr>
            <w:tcW w:w="3572" w:type="dxa"/>
          </w:tcPr>
          <w:p w14:paraId="3719C415">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磨损量不超标。</w:t>
            </w:r>
          </w:p>
        </w:tc>
      </w:tr>
      <w:tr w14:paraId="6B3D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03" w:type="dxa"/>
          </w:tcPr>
          <w:p w14:paraId="1051DB57">
            <w:pPr>
              <w:autoSpaceDE w:val="0"/>
              <w:autoSpaceDN w:val="0"/>
              <w:adjustRightInd w:val="0"/>
              <w:spacing w:line="4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3847" w:type="dxa"/>
          </w:tcPr>
          <w:p w14:paraId="3F44C6EA">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制动器上检测开关</w:t>
            </w:r>
          </w:p>
        </w:tc>
        <w:tc>
          <w:tcPr>
            <w:tcW w:w="3572" w:type="dxa"/>
          </w:tcPr>
          <w:p w14:paraId="3C05CFC5">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工作正常、制动器动作可靠。</w:t>
            </w:r>
          </w:p>
        </w:tc>
      </w:tr>
      <w:tr w14:paraId="6F88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03" w:type="dxa"/>
          </w:tcPr>
          <w:p w14:paraId="4191EF11">
            <w:pPr>
              <w:autoSpaceDE w:val="0"/>
              <w:autoSpaceDN w:val="0"/>
              <w:adjustRightInd w:val="0"/>
              <w:spacing w:line="4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3847" w:type="dxa"/>
          </w:tcPr>
          <w:p w14:paraId="5C4D4089">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控制柜内各接线端子</w:t>
            </w:r>
          </w:p>
        </w:tc>
        <w:tc>
          <w:tcPr>
            <w:tcW w:w="3572" w:type="dxa"/>
          </w:tcPr>
          <w:p w14:paraId="28375C3A">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各接线紧固、整齐、线好齐全清晰</w:t>
            </w:r>
          </w:p>
        </w:tc>
      </w:tr>
      <w:tr w14:paraId="1780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03" w:type="dxa"/>
          </w:tcPr>
          <w:p w14:paraId="57AA9DE9">
            <w:pPr>
              <w:autoSpaceDE w:val="0"/>
              <w:autoSpaceDN w:val="0"/>
              <w:adjustRightInd w:val="0"/>
              <w:spacing w:line="4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3847" w:type="dxa"/>
          </w:tcPr>
          <w:p w14:paraId="5A604980">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控制柜各仪表</w:t>
            </w:r>
          </w:p>
        </w:tc>
        <w:tc>
          <w:tcPr>
            <w:tcW w:w="3572" w:type="dxa"/>
          </w:tcPr>
          <w:p w14:paraId="412474D8">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显示正确。</w:t>
            </w:r>
          </w:p>
        </w:tc>
      </w:tr>
      <w:tr w14:paraId="64D1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03" w:type="dxa"/>
          </w:tcPr>
          <w:p w14:paraId="40F27F4B">
            <w:pPr>
              <w:autoSpaceDE w:val="0"/>
              <w:autoSpaceDN w:val="0"/>
              <w:adjustRightInd w:val="0"/>
              <w:spacing w:line="4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3847" w:type="dxa"/>
          </w:tcPr>
          <w:p w14:paraId="7BB63EAA">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井道、对重、轿顶各反绳轮轴承部</w:t>
            </w:r>
          </w:p>
        </w:tc>
        <w:tc>
          <w:tcPr>
            <w:tcW w:w="3572" w:type="dxa"/>
          </w:tcPr>
          <w:p w14:paraId="3924166F">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无异常声、无振动、润滑良好:</w:t>
            </w:r>
          </w:p>
        </w:tc>
      </w:tr>
      <w:tr w14:paraId="2E33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03" w:type="dxa"/>
          </w:tcPr>
          <w:p w14:paraId="3C85C2C7">
            <w:pPr>
              <w:autoSpaceDE w:val="0"/>
              <w:autoSpaceDN w:val="0"/>
              <w:adjustRightInd w:val="0"/>
              <w:spacing w:line="4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3847" w:type="dxa"/>
          </w:tcPr>
          <w:p w14:paraId="5AA72A20">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曳引绳、补偿绳</w:t>
            </w:r>
          </w:p>
        </w:tc>
        <w:tc>
          <w:tcPr>
            <w:tcW w:w="3572" w:type="dxa"/>
          </w:tcPr>
          <w:p w14:paraId="34B43490">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磨损量、断丝数不超标。</w:t>
            </w:r>
          </w:p>
        </w:tc>
      </w:tr>
      <w:tr w14:paraId="7A61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03" w:type="dxa"/>
          </w:tcPr>
          <w:p w14:paraId="2535C48F">
            <w:pPr>
              <w:autoSpaceDE w:val="0"/>
              <w:autoSpaceDN w:val="0"/>
              <w:adjustRightInd w:val="0"/>
              <w:spacing w:line="4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3847" w:type="dxa"/>
          </w:tcPr>
          <w:p w14:paraId="44B7E570">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曳引绳绳头组合</w:t>
            </w:r>
          </w:p>
        </w:tc>
        <w:tc>
          <w:tcPr>
            <w:tcW w:w="3572" w:type="dxa"/>
          </w:tcPr>
          <w:p w14:paraId="1D781F85">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螺母无松动。</w:t>
            </w:r>
          </w:p>
        </w:tc>
      </w:tr>
      <w:tr w14:paraId="3F36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03" w:type="dxa"/>
          </w:tcPr>
          <w:p w14:paraId="5A8DEA1B">
            <w:pPr>
              <w:autoSpaceDE w:val="0"/>
              <w:autoSpaceDN w:val="0"/>
              <w:adjustRightInd w:val="0"/>
              <w:spacing w:line="4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3847" w:type="dxa"/>
          </w:tcPr>
          <w:p w14:paraId="196BDB5F">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限速器钢丝绳</w:t>
            </w:r>
          </w:p>
        </w:tc>
        <w:tc>
          <w:tcPr>
            <w:tcW w:w="3572" w:type="dxa"/>
          </w:tcPr>
          <w:p w14:paraId="10B58288">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磨损量、断丝数不超标。</w:t>
            </w:r>
          </w:p>
        </w:tc>
      </w:tr>
      <w:tr w14:paraId="65C4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1103" w:type="dxa"/>
            <w:vAlign w:val="center"/>
          </w:tcPr>
          <w:p w14:paraId="733737ED">
            <w:pPr>
              <w:autoSpaceDE w:val="0"/>
              <w:autoSpaceDN w:val="0"/>
              <w:adjustRightInd w:val="0"/>
              <w:spacing w:line="4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3847" w:type="dxa"/>
            <w:vAlign w:val="center"/>
          </w:tcPr>
          <w:p w14:paraId="2FF267F1">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层门、轿门门扇</w:t>
            </w:r>
          </w:p>
        </w:tc>
        <w:tc>
          <w:tcPr>
            <w:tcW w:w="3572" w:type="dxa"/>
          </w:tcPr>
          <w:p w14:paraId="77B898EE">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门扇各相关间隙符合标准（乘客电梯门扇间隙应为1-6mm，载货电梯门扇间隙应为1-8mm）。</w:t>
            </w:r>
          </w:p>
        </w:tc>
      </w:tr>
      <w:tr w14:paraId="1DC8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03" w:type="dxa"/>
          </w:tcPr>
          <w:p w14:paraId="3F4E51F2">
            <w:pPr>
              <w:autoSpaceDE w:val="0"/>
              <w:autoSpaceDN w:val="0"/>
              <w:adjustRightInd w:val="0"/>
              <w:spacing w:line="4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3847" w:type="dxa"/>
          </w:tcPr>
          <w:p w14:paraId="3E5D69B9">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对重缓冲距</w:t>
            </w:r>
          </w:p>
        </w:tc>
        <w:tc>
          <w:tcPr>
            <w:tcW w:w="3572" w:type="dxa"/>
          </w:tcPr>
          <w:p w14:paraId="7FC89539">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符合标准。</w:t>
            </w:r>
          </w:p>
        </w:tc>
      </w:tr>
      <w:tr w14:paraId="7D88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03" w:type="dxa"/>
          </w:tcPr>
          <w:p w14:paraId="18E31605">
            <w:pPr>
              <w:autoSpaceDE w:val="0"/>
              <w:autoSpaceDN w:val="0"/>
              <w:adjustRightInd w:val="0"/>
              <w:spacing w:line="4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13</w:t>
            </w:r>
          </w:p>
        </w:tc>
        <w:tc>
          <w:tcPr>
            <w:tcW w:w="3847" w:type="dxa"/>
          </w:tcPr>
          <w:p w14:paraId="20C68798">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补偿链（绳）与轿厢、对重接合处</w:t>
            </w:r>
          </w:p>
        </w:tc>
        <w:tc>
          <w:tcPr>
            <w:tcW w:w="3572" w:type="dxa"/>
          </w:tcPr>
          <w:p w14:paraId="5210647C">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固定、无松动。</w:t>
            </w:r>
          </w:p>
        </w:tc>
      </w:tr>
      <w:tr w14:paraId="165B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03" w:type="dxa"/>
          </w:tcPr>
          <w:p w14:paraId="038E40DC">
            <w:pPr>
              <w:autoSpaceDE w:val="0"/>
              <w:autoSpaceDN w:val="0"/>
              <w:adjustRightInd w:val="0"/>
              <w:spacing w:line="4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14</w:t>
            </w:r>
          </w:p>
        </w:tc>
        <w:tc>
          <w:tcPr>
            <w:tcW w:w="3847" w:type="dxa"/>
          </w:tcPr>
          <w:p w14:paraId="4F2DE65D">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上下极限开关</w:t>
            </w:r>
          </w:p>
        </w:tc>
        <w:tc>
          <w:tcPr>
            <w:tcW w:w="3572" w:type="dxa"/>
          </w:tcPr>
          <w:p w14:paraId="1042568F">
            <w:pPr>
              <w:autoSpaceDE w:val="0"/>
              <w:autoSpaceDN w:val="0"/>
              <w:adjustRightInd w:val="0"/>
              <w:spacing w:line="4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工作正常。</w:t>
            </w:r>
          </w:p>
        </w:tc>
      </w:tr>
    </w:tbl>
    <w:p w14:paraId="5F75CBDE">
      <w:pPr>
        <w:pStyle w:val="4"/>
        <w:numPr>
          <w:ilvl w:val="2"/>
          <w:numId w:val="0"/>
        </w:numPr>
        <w:rPr>
          <w:rFonts w:hint="eastAsia"/>
          <w:color w:val="auto"/>
          <w:highlight w:val="none"/>
        </w:rPr>
      </w:pPr>
      <w:r>
        <w:rPr>
          <w:rFonts w:hint="eastAsia"/>
          <w:color w:val="auto"/>
          <w:highlight w:val="none"/>
        </w:rPr>
        <w:t>6.3.4 年度维护项目及要求</w:t>
      </w:r>
    </w:p>
    <w:p w14:paraId="73977AAD">
      <w:pPr>
        <w:ind w:left="0" w:leftChars="0" w:firstLine="0" w:firstLineChars="0"/>
        <w:jc w:val="center"/>
        <w:rPr>
          <w:rFonts w:hint="default"/>
          <w:lang w:val="en-US"/>
        </w:rPr>
      </w:pPr>
      <w:r>
        <w:rPr>
          <w:rFonts w:hint="eastAsia" w:ascii="宋体" w:hAnsi="宋体" w:eastAsia="宋体" w:cs="宋体"/>
          <w:color w:val="auto"/>
          <w:highlight w:val="none"/>
          <w:lang w:val="en-US" w:eastAsia="zh-CN"/>
        </w:rPr>
        <w:t>表</w:t>
      </w:r>
      <w:r>
        <w:rPr>
          <w:rFonts w:hint="eastAsia" w:ascii="宋体" w:hAnsi="宋体" w:cs="宋体"/>
          <w:color w:val="auto"/>
          <w:highlight w:val="none"/>
          <w:lang w:val="en-US" w:eastAsia="zh-CN"/>
        </w:rPr>
        <w:t>3</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3838"/>
        <w:gridCol w:w="3572"/>
      </w:tblGrid>
      <w:tr w14:paraId="3982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112" w:type="dxa"/>
            <w:vAlign w:val="center"/>
          </w:tcPr>
          <w:p w14:paraId="48F68586">
            <w:pPr>
              <w:autoSpaceDE w:val="0"/>
              <w:autoSpaceDN w:val="0"/>
              <w:adjustRightInd w:val="0"/>
              <w:spacing w:line="40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3838" w:type="dxa"/>
          </w:tcPr>
          <w:p w14:paraId="0A1D3AED">
            <w:pPr>
              <w:autoSpaceDE w:val="0"/>
              <w:autoSpaceDN w:val="0"/>
              <w:adjustRightInd w:val="0"/>
              <w:spacing w:line="40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维护项目</w:t>
            </w:r>
          </w:p>
        </w:tc>
        <w:tc>
          <w:tcPr>
            <w:tcW w:w="3572" w:type="dxa"/>
          </w:tcPr>
          <w:p w14:paraId="2E6F0775">
            <w:pPr>
              <w:autoSpaceDE w:val="0"/>
              <w:autoSpaceDN w:val="0"/>
              <w:adjustRightInd w:val="0"/>
              <w:spacing w:line="40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要求</w:t>
            </w:r>
          </w:p>
        </w:tc>
      </w:tr>
      <w:tr w14:paraId="258E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2" w:type="dxa"/>
            <w:vAlign w:val="center"/>
          </w:tcPr>
          <w:p w14:paraId="2C039F5E">
            <w:pPr>
              <w:autoSpaceDE w:val="0"/>
              <w:autoSpaceDN w:val="0"/>
              <w:adjustRightInd w:val="0"/>
              <w:spacing w:line="40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3838" w:type="dxa"/>
            <w:vAlign w:val="center"/>
          </w:tcPr>
          <w:p w14:paraId="32C84104">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减速机润滑油</w:t>
            </w:r>
          </w:p>
        </w:tc>
        <w:tc>
          <w:tcPr>
            <w:tcW w:w="3572" w:type="dxa"/>
            <w:vAlign w:val="center"/>
          </w:tcPr>
          <w:p w14:paraId="5C684B4A">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更换、优质达标。</w:t>
            </w:r>
          </w:p>
        </w:tc>
      </w:tr>
      <w:tr w14:paraId="3333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2" w:type="dxa"/>
            <w:vAlign w:val="center"/>
          </w:tcPr>
          <w:p w14:paraId="3C09ACD1">
            <w:pPr>
              <w:autoSpaceDE w:val="0"/>
              <w:autoSpaceDN w:val="0"/>
              <w:adjustRightInd w:val="0"/>
              <w:spacing w:line="40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3838" w:type="dxa"/>
            <w:vAlign w:val="center"/>
          </w:tcPr>
          <w:p w14:paraId="2DEE66A7">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控制柜接触器、继电器触点</w:t>
            </w:r>
          </w:p>
        </w:tc>
        <w:tc>
          <w:tcPr>
            <w:tcW w:w="3572" w:type="dxa"/>
            <w:vAlign w:val="center"/>
          </w:tcPr>
          <w:p w14:paraId="13BBA17D">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接触良好。</w:t>
            </w:r>
          </w:p>
        </w:tc>
      </w:tr>
      <w:tr w14:paraId="7CFE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2" w:type="dxa"/>
            <w:vAlign w:val="center"/>
          </w:tcPr>
          <w:p w14:paraId="5238CA96">
            <w:pPr>
              <w:autoSpaceDE w:val="0"/>
              <w:autoSpaceDN w:val="0"/>
              <w:adjustRightInd w:val="0"/>
              <w:spacing w:line="40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3838" w:type="dxa"/>
            <w:vAlign w:val="center"/>
          </w:tcPr>
          <w:p w14:paraId="4BA35DFB">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制动器铁芯（柱塞）</w:t>
            </w:r>
          </w:p>
        </w:tc>
        <w:tc>
          <w:tcPr>
            <w:tcW w:w="3572" w:type="dxa"/>
            <w:vAlign w:val="center"/>
          </w:tcPr>
          <w:p w14:paraId="796D5973">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进行清洁、润滑检查，磨损量不超标。</w:t>
            </w:r>
          </w:p>
        </w:tc>
      </w:tr>
      <w:tr w14:paraId="7098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2" w:type="dxa"/>
            <w:vAlign w:val="center"/>
          </w:tcPr>
          <w:p w14:paraId="2BE204F4">
            <w:pPr>
              <w:autoSpaceDE w:val="0"/>
              <w:autoSpaceDN w:val="0"/>
              <w:adjustRightInd w:val="0"/>
              <w:spacing w:line="40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3838" w:type="dxa"/>
            <w:vAlign w:val="center"/>
          </w:tcPr>
          <w:p w14:paraId="7CA3AE05">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制动器制动弹簧压缩量</w:t>
            </w:r>
          </w:p>
        </w:tc>
        <w:tc>
          <w:tcPr>
            <w:tcW w:w="3572" w:type="dxa"/>
            <w:vAlign w:val="center"/>
          </w:tcPr>
          <w:p w14:paraId="7F030894">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达标，有足够的制动力。</w:t>
            </w:r>
          </w:p>
        </w:tc>
      </w:tr>
      <w:tr w14:paraId="590B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2" w:type="dxa"/>
            <w:vAlign w:val="center"/>
          </w:tcPr>
          <w:p w14:paraId="1942AA31">
            <w:pPr>
              <w:autoSpaceDE w:val="0"/>
              <w:autoSpaceDN w:val="0"/>
              <w:adjustRightInd w:val="0"/>
              <w:spacing w:line="40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3838" w:type="dxa"/>
            <w:vAlign w:val="center"/>
          </w:tcPr>
          <w:p w14:paraId="5C0C5B40">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导电回路绝缘性能测试</w:t>
            </w:r>
          </w:p>
        </w:tc>
        <w:tc>
          <w:tcPr>
            <w:tcW w:w="3572" w:type="dxa"/>
            <w:vAlign w:val="center"/>
          </w:tcPr>
          <w:p w14:paraId="11271502">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达标。</w:t>
            </w:r>
          </w:p>
        </w:tc>
      </w:tr>
      <w:tr w14:paraId="473F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2" w:type="dxa"/>
            <w:vAlign w:val="center"/>
          </w:tcPr>
          <w:p w14:paraId="0D7803CB">
            <w:pPr>
              <w:autoSpaceDE w:val="0"/>
              <w:autoSpaceDN w:val="0"/>
              <w:adjustRightInd w:val="0"/>
              <w:spacing w:line="40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3838" w:type="dxa"/>
            <w:vAlign w:val="center"/>
          </w:tcPr>
          <w:p w14:paraId="5852899C">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限速器安全钳联动试验</w:t>
            </w:r>
          </w:p>
        </w:tc>
        <w:tc>
          <w:tcPr>
            <w:tcW w:w="3572" w:type="dxa"/>
            <w:vAlign w:val="center"/>
          </w:tcPr>
          <w:p w14:paraId="1B376688">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工作正常。</w:t>
            </w:r>
          </w:p>
        </w:tc>
      </w:tr>
      <w:tr w14:paraId="4DC2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2" w:type="dxa"/>
            <w:vAlign w:val="center"/>
          </w:tcPr>
          <w:p w14:paraId="5C257906">
            <w:pPr>
              <w:autoSpaceDE w:val="0"/>
              <w:autoSpaceDN w:val="0"/>
              <w:adjustRightInd w:val="0"/>
              <w:spacing w:line="40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3838" w:type="dxa"/>
            <w:vAlign w:val="center"/>
          </w:tcPr>
          <w:p w14:paraId="103B59C9">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上行超速保护装置动作试验</w:t>
            </w:r>
          </w:p>
        </w:tc>
        <w:tc>
          <w:tcPr>
            <w:tcW w:w="3572" w:type="dxa"/>
            <w:vAlign w:val="center"/>
          </w:tcPr>
          <w:p w14:paraId="7E77774E">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工作正常。</w:t>
            </w:r>
          </w:p>
        </w:tc>
      </w:tr>
      <w:tr w14:paraId="17A0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2" w:type="dxa"/>
            <w:vAlign w:val="center"/>
          </w:tcPr>
          <w:p w14:paraId="18A665F0">
            <w:pPr>
              <w:autoSpaceDE w:val="0"/>
              <w:autoSpaceDN w:val="0"/>
              <w:adjustRightInd w:val="0"/>
              <w:spacing w:line="40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3838" w:type="dxa"/>
            <w:vAlign w:val="center"/>
          </w:tcPr>
          <w:p w14:paraId="438F2348">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轿顶、轿厢架、轿门及其附件安装螺栓</w:t>
            </w:r>
          </w:p>
        </w:tc>
        <w:tc>
          <w:tcPr>
            <w:tcW w:w="3572" w:type="dxa"/>
            <w:vAlign w:val="center"/>
          </w:tcPr>
          <w:p w14:paraId="433A63A2">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紧固。</w:t>
            </w:r>
          </w:p>
        </w:tc>
      </w:tr>
      <w:tr w14:paraId="02A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2" w:type="dxa"/>
            <w:vAlign w:val="center"/>
          </w:tcPr>
          <w:p w14:paraId="4BF83283">
            <w:pPr>
              <w:autoSpaceDE w:val="0"/>
              <w:autoSpaceDN w:val="0"/>
              <w:adjustRightInd w:val="0"/>
              <w:spacing w:line="40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3838" w:type="dxa"/>
            <w:vAlign w:val="center"/>
          </w:tcPr>
          <w:p w14:paraId="13232642">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轿厢和对重的导轨支架</w:t>
            </w:r>
          </w:p>
        </w:tc>
        <w:tc>
          <w:tcPr>
            <w:tcW w:w="3572" w:type="dxa"/>
            <w:vAlign w:val="center"/>
          </w:tcPr>
          <w:p w14:paraId="12B71D00">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固定、无松动。</w:t>
            </w:r>
          </w:p>
        </w:tc>
      </w:tr>
      <w:tr w14:paraId="3C41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2" w:type="dxa"/>
            <w:vAlign w:val="center"/>
          </w:tcPr>
          <w:p w14:paraId="426EFF95">
            <w:pPr>
              <w:autoSpaceDE w:val="0"/>
              <w:autoSpaceDN w:val="0"/>
              <w:adjustRightInd w:val="0"/>
              <w:spacing w:line="40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3838" w:type="dxa"/>
            <w:vAlign w:val="center"/>
          </w:tcPr>
          <w:p w14:paraId="1D593A13">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轿厢和对重的导轨</w:t>
            </w:r>
          </w:p>
        </w:tc>
        <w:tc>
          <w:tcPr>
            <w:tcW w:w="3572" w:type="dxa"/>
            <w:vAlign w:val="center"/>
          </w:tcPr>
          <w:p w14:paraId="159EC56D">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清洁、压板牢固。</w:t>
            </w:r>
          </w:p>
        </w:tc>
      </w:tr>
      <w:tr w14:paraId="4CF1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2" w:type="dxa"/>
            <w:vAlign w:val="center"/>
          </w:tcPr>
          <w:p w14:paraId="2FDA11A0">
            <w:pPr>
              <w:autoSpaceDE w:val="0"/>
              <w:autoSpaceDN w:val="0"/>
              <w:adjustRightInd w:val="0"/>
              <w:spacing w:line="40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3838" w:type="dxa"/>
            <w:vAlign w:val="center"/>
          </w:tcPr>
          <w:p w14:paraId="6D690B3F">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随行电缆</w:t>
            </w:r>
          </w:p>
        </w:tc>
        <w:tc>
          <w:tcPr>
            <w:tcW w:w="3572" w:type="dxa"/>
            <w:vAlign w:val="center"/>
          </w:tcPr>
          <w:p w14:paraId="15162075">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无损伤。</w:t>
            </w:r>
          </w:p>
        </w:tc>
      </w:tr>
      <w:tr w14:paraId="3D1B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2" w:type="dxa"/>
            <w:vAlign w:val="center"/>
          </w:tcPr>
          <w:p w14:paraId="489B04E5">
            <w:pPr>
              <w:autoSpaceDE w:val="0"/>
              <w:autoSpaceDN w:val="0"/>
              <w:adjustRightInd w:val="0"/>
              <w:spacing w:line="40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3838" w:type="dxa"/>
            <w:vAlign w:val="center"/>
          </w:tcPr>
          <w:p w14:paraId="3AF4E76A">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层门装置和地坎</w:t>
            </w:r>
          </w:p>
        </w:tc>
        <w:tc>
          <w:tcPr>
            <w:tcW w:w="3572" w:type="dxa"/>
            <w:vAlign w:val="center"/>
          </w:tcPr>
          <w:p w14:paraId="7E58EE0F">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无变形、各安装螺栓紧固。</w:t>
            </w:r>
          </w:p>
        </w:tc>
      </w:tr>
      <w:tr w14:paraId="3880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2" w:type="dxa"/>
            <w:vAlign w:val="center"/>
          </w:tcPr>
          <w:p w14:paraId="7295716C">
            <w:pPr>
              <w:autoSpaceDE w:val="0"/>
              <w:autoSpaceDN w:val="0"/>
              <w:adjustRightInd w:val="0"/>
              <w:spacing w:line="40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13</w:t>
            </w:r>
          </w:p>
        </w:tc>
        <w:tc>
          <w:tcPr>
            <w:tcW w:w="3838" w:type="dxa"/>
            <w:vAlign w:val="center"/>
          </w:tcPr>
          <w:p w14:paraId="068B4748">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轿厢称重装置</w:t>
            </w:r>
          </w:p>
        </w:tc>
        <w:tc>
          <w:tcPr>
            <w:tcW w:w="3572" w:type="dxa"/>
            <w:vAlign w:val="center"/>
          </w:tcPr>
          <w:p w14:paraId="2091C3DC">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准确有效。</w:t>
            </w:r>
          </w:p>
        </w:tc>
      </w:tr>
      <w:tr w14:paraId="3CAF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2" w:type="dxa"/>
            <w:vAlign w:val="center"/>
          </w:tcPr>
          <w:p w14:paraId="4CA5DD32">
            <w:pPr>
              <w:autoSpaceDE w:val="0"/>
              <w:autoSpaceDN w:val="0"/>
              <w:adjustRightInd w:val="0"/>
              <w:spacing w:line="40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14</w:t>
            </w:r>
          </w:p>
        </w:tc>
        <w:tc>
          <w:tcPr>
            <w:tcW w:w="3838" w:type="dxa"/>
            <w:vAlign w:val="center"/>
          </w:tcPr>
          <w:p w14:paraId="32ACD438">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安全钳钳座</w:t>
            </w:r>
          </w:p>
        </w:tc>
        <w:tc>
          <w:tcPr>
            <w:tcW w:w="3572" w:type="dxa"/>
            <w:vAlign w:val="center"/>
          </w:tcPr>
          <w:p w14:paraId="55892F77">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固定、无松动。</w:t>
            </w:r>
          </w:p>
        </w:tc>
      </w:tr>
      <w:tr w14:paraId="5452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2" w:type="dxa"/>
            <w:vAlign w:val="center"/>
          </w:tcPr>
          <w:p w14:paraId="5EFCC0ED">
            <w:pPr>
              <w:autoSpaceDE w:val="0"/>
              <w:autoSpaceDN w:val="0"/>
              <w:adjustRightInd w:val="0"/>
              <w:spacing w:line="40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15</w:t>
            </w:r>
          </w:p>
        </w:tc>
        <w:tc>
          <w:tcPr>
            <w:tcW w:w="3838" w:type="dxa"/>
            <w:vAlign w:val="center"/>
          </w:tcPr>
          <w:p w14:paraId="42803CB6">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轿底各安装螺栓</w:t>
            </w:r>
          </w:p>
        </w:tc>
        <w:tc>
          <w:tcPr>
            <w:tcW w:w="3572" w:type="dxa"/>
            <w:vAlign w:val="center"/>
          </w:tcPr>
          <w:p w14:paraId="6C7212B0">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紧固。</w:t>
            </w:r>
          </w:p>
        </w:tc>
      </w:tr>
      <w:tr w14:paraId="14C4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2" w:type="dxa"/>
            <w:vAlign w:val="center"/>
          </w:tcPr>
          <w:p w14:paraId="51EF786E">
            <w:pPr>
              <w:autoSpaceDE w:val="0"/>
              <w:autoSpaceDN w:val="0"/>
              <w:adjustRightInd w:val="0"/>
              <w:spacing w:line="40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16</w:t>
            </w:r>
          </w:p>
        </w:tc>
        <w:tc>
          <w:tcPr>
            <w:tcW w:w="3838" w:type="dxa"/>
            <w:vAlign w:val="center"/>
          </w:tcPr>
          <w:p w14:paraId="37715984">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缓冲器</w:t>
            </w:r>
          </w:p>
        </w:tc>
        <w:tc>
          <w:tcPr>
            <w:tcW w:w="3572" w:type="dxa"/>
            <w:vAlign w:val="center"/>
          </w:tcPr>
          <w:p w14:paraId="7945B4F5">
            <w:pPr>
              <w:autoSpaceDE w:val="0"/>
              <w:autoSpaceDN w:val="0"/>
              <w:adjustRightInd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固定、无松动。</w:t>
            </w:r>
          </w:p>
        </w:tc>
      </w:tr>
      <w:bookmarkEnd w:id="9"/>
    </w:tbl>
    <w:p w14:paraId="781515E9">
      <w:pPr>
        <w:ind w:firstLine="0" w:firstLineChars="0"/>
        <w:rPr>
          <w:color w:val="auto"/>
          <w:highlight w:val="none"/>
        </w:rPr>
      </w:pPr>
    </w:p>
    <w:p w14:paraId="586E6BD6">
      <w:bookmarkStart w:id="39" w:name="_GoBack"/>
      <w:bookmarkEnd w:id="39"/>
    </w:p>
    <w:sectPr>
      <w:footerReference r:id="rId7" w:type="first"/>
      <w:footerReference r:id="rId5" w:type="default"/>
      <w:footerReference r:id="rId6" w:type="even"/>
      <w:pgSz w:w="11906" w:h="16838"/>
      <w:pgMar w:top="1418" w:right="1134" w:bottom="1418"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E7F66">
    <w:pPr>
      <w:pStyle w:val="7"/>
      <w:pBdr>
        <w:top w:val="single" w:color="auto" w:sz="4" w:space="1"/>
        <w:left w:val="none" w:color="auto" w:sz="0" w:space="4"/>
        <w:bottom w:val="none" w:color="auto" w:sz="0" w:space="1"/>
        <w:right w:val="none" w:color="auto" w:sz="0" w:space="4"/>
      </w:pBdr>
      <w:wordWrap w:val="0"/>
      <w:ind w:firstLine="360"/>
      <w:jc w:val="right"/>
    </w:pPr>
    <w:r>
      <mc:AlternateContent>
        <mc:Choice Requires="wps">
          <w:drawing>
            <wp:anchor distT="0" distB="0" distL="114300" distR="114300" simplePos="0" relativeHeight="251659264" behindDoc="0" locked="0" layoutInCell="1" allowOverlap="1">
              <wp:simplePos x="0" y="0"/>
              <wp:positionH relativeFrom="margin">
                <wp:posOffset>4869180</wp:posOffset>
              </wp:positionH>
              <wp:positionV relativeFrom="paragraph">
                <wp:posOffset>-24130</wp:posOffset>
              </wp:positionV>
              <wp:extent cx="1256665" cy="2286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56665"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9ADDB">
                          <w:pPr>
                            <w:snapToGrid w:val="0"/>
                            <w:ind w:firstLine="0" w:firstLineChars="0"/>
                            <w:rPr>
                              <w:rFonts w:ascii="宋体" w:hAnsi="宋体" w:cs="宋体"/>
                              <w:sz w:val="21"/>
                              <w:szCs w:val="21"/>
                            </w:rPr>
                          </w:pPr>
                          <w:r>
                            <w:rPr>
                              <w:rFonts w:ascii="宋体" w:hAnsi="宋体" w:cs="宋体"/>
                              <w:sz w:val="21"/>
                              <w:szCs w:val="21"/>
                            </w:rPr>
                            <w:t xml:space="preserve">第 </w:t>
                          </w: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hAnsi="宋体" w:cs="宋体"/>
                              <w:sz w:val="21"/>
                              <w:szCs w:val="21"/>
                            </w:rPr>
                            <w:t>11</w:t>
                          </w:r>
                          <w:r>
                            <w:rPr>
                              <w:rFonts w:ascii="宋体" w:hAnsi="宋体" w:cs="宋体"/>
                              <w:sz w:val="21"/>
                              <w:szCs w:val="21"/>
                            </w:rPr>
                            <w:fldChar w:fldCharType="end"/>
                          </w:r>
                          <w:r>
                            <w:rPr>
                              <w:rFonts w:ascii="宋体" w:hAnsi="宋体" w:cs="宋体"/>
                              <w:sz w:val="21"/>
                              <w:szCs w:val="21"/>
                            </w:rPr>
                            <w:t xml:space="preserve"> 页 共 </w:t>
                          </w:r>
                          <w:r>
                            <w:rPr>
                              <w:rFonts w:ascii="宋体" w:hAnsi="宋体" w:cs="宋体"/>
                              <w:sz w:val="21"/>
                              <w:szCs w:val="21"/>
                            </w:rPr>
                            <w:fldChar w:fldCharType="begin"/>
                          </w:r>
                          <w:r>
                            <w:rPr>
                              <w:rFonts w:ascii="宋体" w:hAnsi="宋体" w:cs="宋体"/>
                              <w:sz w:val="21"/>
                              <w:szCs w:val="21"/>
                            </w:rPr>
                            <w:instrText xml:space="preserve"> NUMPAGES  \* MERGEFORMAT </w:instrText>
                          </w:r>
                          <w:r>
                            <w:rPr>
                              <w:rFonts w:ascii="宋体" w:hAnsi="宋体" w:cs="宋体"/>
                              <w:sz w:val="21"/>
                              <w:szCs w:val="21"/>
                            </w:rPr>
                            <w:fldChar w:fldCharType="separate"/>
                          </w:r>
                          <w:r>
                            <w:rPr>
                              <w:rFonts w:ascii="宋体" w:hAnsi="宋体" w:cs="宋体"/>
                              <w:sz w:val="21"/>
                              <w:szCs w:val="21"/>
                            </w:rPr>
                            <w:t>11</w:t>
                          </w:r>
                          <w:r>
                            <w:rPr>
                              <w:rFonts w:ascii="宋体" w:hAnsi="宋体" w:cs="宋体"/>
                              <w:sz w:val="21"/>
                              <w:szCs w:val="21"/>
                            </w:rPr>
                            <w:fldChar w:fldCharType="end"/>
                          </w:r>
                          <w:r>
                            <w:rPr>
                              <w:rFonts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83.4pt;margin-top:-1.9pt;height:18pt;width:98.95pt;mso-position-horizontal-relative:margin;z-index:251659264;mso-width-relative:page;mso-height-relative:page;" filled="f" stroked="f" coordsize="21600,21600" o:gfxdata="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8uWxfZAAAACQEAAA8AAAAAAAAAAQAgAAAAIgAAAGRycy9kb3ducmV2Lnht&#10;bFBLAQIUABQAAAAIAIdO4kCtjkAuMQIAAFYEAAAOAAAAAAAAAAEAIAAAACgBAABkcnMvZTJvRG9j&#10;LnhtbFBLBQYAAAAABgAGAFkBAADLBQAAAAA=&#10;">
              <v:fill on="f" focussize="0,0"/>
              <v:stroke on="f" weight="0.5pt"/>
              <v:imagedata o:title=""/>
              <o:lock v:ext="edit" aspectratio="f"/>
              <v:textbox inset="0mm,0mm,0mm,0mm">
                <w:txbxContent>
                  <w:p w14:paraId="4339ADDB">
                    <w:pPr>
                      <w:snapToGrid w:val="0"/>
                      <w:ind w:firstLine="0" w:firstLineChars="0"/>
                      <w:rPr>
                        <w:rFonts w:ascii="宋体" w:hAnsi="宋体" w:cs="宋体"/>
                        <w:sz w:val="21"/>
                        <w:szCs w:val="21"/>
                      </w:rPr>
                    </w:pPr>
                    <w:r>
                      <w:rPr>
                        <w:rFonts w:ascii="宋体" w:hAnsi="宋体" w:cs="宋体"/>
                        <w:sz w:val="21"/>
                        <w:szCs w:val="21"/>
                      </w:rPr>
                      <w:t xml:space="preserve">第 </w:t>
                    </w: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hAnsi="宋体" w:cs="宋体"/>
                        <w:sz w:val="21"/>
                        <w:szCs w:val="21"/>
                      </w:rPr>
                      <w:t>11</w:t>
                    </w:r>
                    <w:r>
                      <w:rPr>
                        <w:rFonts w:ascii="宋体" w:hAnsi="宋体" w:cs="宋体"/>
                        <w:sz w:val="21"/>
                        <w:szCs w:val="21"/>
                      </w:rPr>
                      <w:fldChar w:fldCharType="end"/>
                    </w:r>
                    <w:r>
                      <w:rPr>
                        <w:rFonts w:ascii="宋体" w:hAnsi="宋体" w:cs="宋体"/>
                        <w:sz w:val="21"/>
                        <w:szCs w:val="21"/>
                      </w:rPr>
                      <w:t xml:space="preserve"> 页 共 </w:t>
                    </w:r>
                    <w:r>
                      <w:rPr>
                        <w:rFonts w:ascii="宋体" w:hAnsi="宋体" w:cs="宋体"/>
                        <w:sz w:val="21"/>
                        <w:szCs w:val="21"/>
                      </w:rPr>
                      <w:fldChar w:fldCharType="begin"/>
                    </w:r>
                    <w:r>
                      <w:rPr>
                        <w:rFonts w:ascii="宋体" w:hAnsi="宋体" w:cs="宋体"/>
                        <w:sz w:val="21"/>
                        <w:szCs w:val="21"/>
                      </w:rPr>
                      <w:instrText xml:space="preserve"> NUMPAGES  \* MERGEFORMAT </w:instrText>
                    </w:r>
                    <w:r>
                      <w:rPr>
                        <w:rFonts w:ascii="宋体" w:hAnsi="宋体" w:cs="宋体"/>
                        <w:sz w:val="21"/>
                        <w:szCs w:val="21"/>
                      </w:rPr>
                      <w:fldChar w:fldCharType="separate"/>
                    </w:r>
                    <w:r>
                      <w:rPr>
                        <w:rFonts w:ascii="宋体" w:hAnsi="宋体" w:cs="宋体"/>
                        <w:sz w:val="21"/>
                        <w:szCs w:val="21"/>
                      </w:rPr>
                      <w:t>11</w:t>
                    </w:r>
                    <w:r>
                      <w:rPr>
                        <w:rFonts w:ascii="宋体" w:hAnsi="宋体" w:cs="宋体"/>
                        <w:sz w:val="21"/>
                        <w:szCs w:val="21"/>
                      </w:rPr>
                      <w:fldChar w:fldCharType="end"/>
                    </w:r>
                    <w:r>
                      <w:rPr>
                        <w:rFonts w:ascii="宋体" w:hAnsi="宋体" w:cs="宋体"/>
                        <w:sz w:val="21"/>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7ACE5">
    <w:pPr>
      <w:pStyle w:val="7"/>
      <w:pBdr>
        <w:top w:val="single" w:color="auto" w:sz="4" w:space="1"/>
        <w:left w:val="none" w:color="auto" w:sz="0" w:space="4"/>
        <w:bottom w:val="none" w:color="auto" w:sz="0" w:space="1"/>
        <w:right w:val="none" w:color="auto" w:sz="0" w:space="4"/>
      </w:pBdr>
      <w:ind w:firstLine="360"/>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D2949">
                          <w:pPr>
                            <w:pStyle w:val="7"/>
                            <w:ind w:firstLine="0" w:firstLineChars="0"/>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10</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10</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646D2949">
                    <w:pPr>
                      <w:pStyle w:val="7"/>
                      <w:ind w:firstLine="0" w:firstLineChars="0"/>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10</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10</w:t>
                    </w:r>
                    <w:r>
                      <w:rPr>
                        <w:sz w:val="21"/>
                        <w:szCs w:val="21"/>
                      </w:rPr>
                      <w:fldChar w:fldCharType="end"/>
                    </w:r>
                    <w:r>
                      <w:rPr>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01040">
    <w:pPr>
      <w:pStyle w:val="7"/>
    </w:pPr>
    <w:r>
      <w:rPr>
        <w:sz w:val="18"/>
        <w:szCs w:val="18"/>
      </w:rPr>
      <mc:AlternateContent>
        <mc:Choice Requires="wps">
          <w:drawing>
            <wp:anchor distT="0" distB="0" distL="114300" distR="114300" simplePos="0" relativeHeight="251661312" behindDoc="0" locked="0" layoutInCell="1" allowOverlap="1">
              <wp:simplePos x="0" y="0"/>
              <wp:positionH relativeFrom="margin">
                <wp:posOffset>13335</wp:posOffset>
              </wp:positionH>
              <wp:positionV relativeFrom="paragraph">
                <wp:posOffset>-27305</wp:posOffset>
              </wp:positionV>
              <wp:extent cx="1208405"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20840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89DA2">
                          <w:pPr>
                            <w:snapToGrid w:val="0"/>
                            <w:ind w:firstLine="0" w:firstLineChars="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2</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11</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05pt;margin-top:-2.15pt;height:144pt;width:95.15pt;mso-position-horizontal-relative:margin;z-index:251661312;mso-width-relative:page;mso-height-relative:page;" filled="f" stroked="f" coordsize="21600,21600" o:gfxdata="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FVvA/XAAAACAEAAA8AAAAAAAAAAQAgAAAAIgAAAGRycy9kb3ducmV2Lnht&#10;bFBLAQIUABQAAAAIAIdO4kBEyTqzMwIAAFcEAAAOAAAAAAAAAAEAIAAAACYBAABkcnMvZTJvRG9j&#10;LnhtbFBLBQYAAAAABgAGAFkBAADLBQAAAAA=&#10;">
              <v:fill on="f" focussize="0,0"/>
              <v:stroke on="f" weight="0.5pt"/>
              <v:imagedata o:title=""/>
              <o:lock v:ext="edit" aspectratio="f"/>
              <v:textbox inset="0mm,0mm,0mm,0mm" style="mso-fit-shape-to-text:t;">
                <w:txbxContent>
                  <w:p w14:paraId="19A89DA2">
                    <w:pPr>
                      <w:snapToGrid w:val="0"/>
                      <w:ind w:firstLine="0" w:firstLineChars="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2</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11</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2F2847"/>
    <w:multiLevelType w:val="multilevel"/>
    <w:tmpl w:val="602F2847"/>
    <w:lvl w:ilvl="0" w:tentative="0">
      <w:start w:val="1"/>
      <w:numFmt w:val="decimal"/>
      <w:pStyle w:val="2"/>
      <w:lvlText w:val="%1."/>
      <w:lvlJc w:val="left"/>
      <w:pPr>
        <w:ind w:left="432" w:hanging="432"/>
      </w:pPr>
      <w:rPr>
        <w:rFonts w:hint="default" w:ascii="黑体" w:hAnsi="黑体" w:eastAsia="黑体" w:cs="黑体"/>
        <w:sz w:val="24"/>
        <w:szCs w:val="24"/>
      </w:rPr>
    </w:lvl>
    <w:lvl w:ilvl="1" w:tentative="0">
      <w:start w:val="1"/>
      <w:numFmt w:val="decimal"/>
      <w:lvlText w:val="%1.%2."/>
      <w:lvlJc w:val="left"/>
      <w:pPr>
        <w:ind w:left="575" w:hanging="575"/>
      </w:pPr>
      <w:rPr>
        <w:rFonts w:hint="default" w:ascii="黑体" w:hAnsi="黑体" w:eastAsia="黑体" w:cs="黑体"/>
        <w:sz w:val="24"/>
        <w:szCs w:val="24"/>
      </w:rPr>
    </w:lvl>
    <w:lvl w:ilvl="2" w:tentative="0">
      <w:start w:val="1"/>
      <w:numFmt w:val="decimal"/>
      <w:lvlText w:val="%1.%2.%3."/>
      <w:lvlJc w:val="left"/>
      <w:pPr>
        <w:ind w:left="2160" w:hanging="720"/>
      </w:pPr>
      <w:rPr>
        <w:rFonts w:hint="default" w:ascii="宋体" w:hAnsi="宋体" w:cs="宋体"/>
        <w:sz w:val="24"/>
        <w:szCs w:val="24"/>
      </w:rPr>
    </w:lvl>
    <w:lvl w:ilvl="3" w:tentative="0">
      <w:start w:val="1"/>
      <w:numFmt w:val="decimal"/>
      <w:suff w:val="space"/>
      <w:lvlText w:val="%1.%2.%3.%4."/>
      <w:lvlJc w:val="left"/>
      <w:pPr>
        <w:tabs>
          <w:tab w:val="left" w:pos="-9"/>
        </w:tabs>
        <w:ind w:left="6" w:hanging="6"/>
      </w:pPr>
      <w:rPr>
        <w:rFonts w:hint="default" w:ascii="宋体" w:hAnsi="宋体" w:cs="宋体"/>
        <w:sz w:val="24"/>
        <w:szCs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60593F2A"/>
    <w:multiLevelType w:val="multilevel"/>
    <w:tmpl w:val="60593F2A"/>
    <w:lvl w:ilvl="0" w:tentative="0">
      <w:start w:val="1"/>
      <w:numFmt w:val="decimal"/>
      <w:lvlText w:val="%1."/>
      <w:lvlJc w:val="left"/>
      <w:pPr>
        <w:ind w:left="432" w:hanging="432"/>
      </w:pPr>
      <w:rPr>
        <w:rFonts w:hint="default" w:ascii="黑体" w:hAnsi="黑体" w:eastAsia="黑体" w:cs="黑体"/>
        <w:sz w:val="24"/>
        <w:szCs w:val="24"/>
      </w:rPr>
    </w:lvl>
    <w:lvl w:ilvl="1" w:tentative="0">
      <w:start w:val="1"/>
      <w:numFmt w:val="decimal"/>
      <w:pStyle w:val="3"/>
      <w:lvlText w:val="%1.%2."/>
      <w:lvlJc w:val="left"/>
      <w:pPr>
        <w:ind w:left="575" w:hanging="575"/>
      </w:pPr>
      <w:rPr>
        <w:rFonts w:hint="default" w:ascii="黑体" w:hAnsi="黑体" w:eastAsia="黑体" w:cs="黑体"/>
        <w:sz w:val="24"/>
        <w:szCs w:val="24"/>
      </w:rPr>
    </w:lvl>
    <w:lvl w:ilvl="2" w:tentative="0">
      <w:start w:val="1"/>
      <w:numFmt w:val="decimal"/>
      <w:pStyle w:val="4"/>
      <w:lvlText w:val="%1.%2.%3."/>
      <w:lvlJc w:val="left"/>
      <w:pPr>
        <w:ind w:left="2160" w:hanging="720"/>
      </w:pPr>
      <w:rPr>
        <w:rFonts w:hint="default" w:ascii="宋体" w:hAnsi="宋体" w:cs="宋体"/>
        <w:sz w:val="24"/>
        <w:szCs w:val="24"/>
      </w:rPr>
    </w:lvl>
    <w:lvl w:ilvl="3" w:tentative="0">
      <w:start w:val="1"/>
      <w:numFmt w:val="decimal"/>
      <w:pStyle w:val="5"/>
      <w:suff w:val="space"/>
      <w:lvlText w:val="%1.%2.%3.%4."/>
      <w:lvlJc w:val="left"/>
      <w:pPr>
        <w:tabs>
          <w:tab w:val="left" w:pos="-9"/>
        </w:tabs>
        <w:ind w:left="6" w:hanging="6"/>
      </w:pPr>
      <w:rPr>
        <w:rFonts w:hint="default" w:ascii="宋体" w:hAnsi="宋体" w:cs="宋体"/>
        <w:sz w:val="24"/>
        <w:szCs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6441F"/>
    <w:rsid w:val="2486441F"/>
    <w:rsid w:val="337F4B44"/>
    <w:rsid w:val="4BD56877"/>
    <w:rsid w:val="7B651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680" w:firstLineChars="20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0"/>
    <w:pPr>
      <w:keepLines/>
      <w:numPr>
        <w:ilvl w:val="0"/>
        <w:numId w:val="1"/>
      </w:numPr>
      <w:ind w:left="431" w:hanging="431" w:firstLineChars="0"/>
      <w:outlineLvl w:val="0"/>
    </w:pPr>
    <w:rPr>
      <w:rFonts w:ascii="黑体" w:hAnsi="黑体" w:eastAsia="黑体" w:cstheme="minorBidi"/>
      <w:kern w:val="44"/>
    </w:rPr>
  </w:style>
  <w:style w:type="paragraph" w:styleId="3">
    <w:name w:val="heading 2"/>
    <w:basedOn w:val="2"/>
    <w:next w:val="1"/>
    <w:unhideWhenUsed/>
    <w:qFormat/>
    <w:uiPriority w:val="0"/>
    <w:pPr>
      <w:numPr>
        <w:ilvl w:val="1"/>
        <w:numId w:val="2"/>
      </w:numPr>
      <w:tabs>
        <w:tab w:val="left" w:pos="420"/>
      </w:tabs>
      <w:outlineLvl w:val="1"/>
    </w:pPr>
  </w:style>
  <w:style w:type="paragraph" w:styleId="4">
    <w:name w:val="heading 3"/>
    <w:basedOn w:val="3"/>
    <w:next w:val="1"/>
    <w:unhideWhenUsed/>
    <w:qFormat/>
    <w:uiPriority w:val="0"/>
    <w:pPr>
      <w:numPr>
        <w:ilvl w:val="2"/>
      </w:numPr>
      <w:ind w:left="0" w:firstLine="0"/>
      <w:outlineLvl w:val="2"/>
    </w:pPr>
    <w:rPr>
      <w:rFonts w:ascii="宋体" w:hAnsi="宋体" w:eastAsia="宋体"/>
    </w:rPr>
  </w:style>
  <w:style w:type="paragraph" w:styleId="5">
    <w:name w:val="heading 4"/>
    <w:basedOn w:val="4"/>
    <w:next w:val="1"/>
    <w:unhideWhenUsed/>
    <w:qFormat/>
    <w:uiPriority w:val="0"/>
    <w:pPr>
      <w:numPr>
        <w:ilvl w:val="3"/>
      </w:numPr>
      <w:ind w:left="0" w:firstLine="0"/>
      <w:outlineLvl w:val="3"/>
    </w:p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6">
    <w:name w:val="Body Text Indent"/>
    <w:basedOn w:val="1"/>
    <w:qFormat/>
    <w:uiPriority w:val="0"/>
    <w:pPr>
      <w:ind w:firstLine="480"/>
    </w:pPr>
  </w:style>
  <w:style w:type="paragraph" w:styleId="7">
    <w:name w:val="footer"/>
    <w:basedOn w:val="1"/>
    <w:qFormat/>
    <w:uiPriority w:val="0"/>
    <w:pPr>
      <w:tabs>
        <w:tab w:val="center" w:pos="4153"/>
        <w:tab w:val="right" w:pos="8306"/>
      </w:tabs>
      <w:snapToGrid w:val="0"/>
      <w:jc w:val="left"/>
    </w:pPr>
    <w:rPr>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qFormat/>
    <w:uiPriority w:val="0"/>
    <w:pPr>
      <w:widowControl/>
      <w:spacing w:after="100" w:line="259" w:lineRule="auto"/>
      <w:jc w:val="left"/>
    </w:pPr>
    <w:rPr>
      <w:rFonts w:ascii="等线" w:hAnsi="等线" w:eastAsia="等线"/>
      <w:kern w:val="0"/>
      <w:sz w:val="22"/>
    </w:rPr>
  </w:style>
  <w:style w:type="paragraph" w:styleId="10">
    <w:name w:val="Body Text Indent 3"/>
    <w:basedOn w:val="1"/>
    <w:qFormat/>
    <w:uiPriority w:val="0"/>
    <w:pPr>
      <w:adjustRightInd w:val="0"/>
      <w:snapToGrid w:val="0"/>
      <w:ind w:left="1" w:leftChars="1" w:firstLine="560"/>
    </w:pPr>
  </w:style>
  <w:style w:type="paragraph" w:styleId="11">
    <w:name w:val="toc 2"/>
    <w:basedOn w:val="1"/>
    <w:next w:val="1"/>
    <w:qFormat/>
    <w:uiPriority w:val="0"/>
    <w:pPr>
      <w:widowControl/>
      <w:spacing w:after="100" w:line="259" w:lineRule="auto"/>
      <w:ind w:left="220"/>
      <w:jc w:val="left"/>
    </w:pPr>
    <w:rPr>
      <w:rFonts w:ascii="等线" w:hAnsi="等线" w:eastAsia="等线"/>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4283</Words>
  <Characters>4851</Characters>
  <Lines>0</Lines>
  <Paragraphs>0</Paragraphs>
  <TotalTime>5</TotalTime>
  <ScaleCrop>false</ScaleCrop>
  <LinksUpToDate>false</LinksUpToDate>
  <CharactersWithSpaces>4974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2023-08-07T07:27:00Z</dcterms:created>
  <dc:creator>何碧莹</dc:creator>
  <cp:lastModifiedBy>孙静</cp:lastModifiedBy>
  <dcterms:modified xsi:type="dcterms:W3CDTF">2026-04-21T07:20:25Z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CA97C6533D154446A40967944C695E4D_13</vt:lpwstr>
  </property>
  <property fmtid="{D5CDD505-2E9C-101B-9397-08002B2CF9AE}" pid="4" name="KSOTemplateDocerSaveRecord">
    <vt:lpwstr>eyJoZGlkIjoiNWNhMmVjNGE2MmQxOTI5YzQzZmY4NTY5MTRjYzgyMjIiLCJ1c2VySWQiOiI2NTMwNjQ5MzEifQ==</vt:lpwstr>
  </property>
</Properties>
</file>