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杭州市拱墅区建国北路308号房屋3年租赁权</w:t>
      </w:r>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w:t>
      </w:r>
      <w:bookmarkStart w:id="1" w:name="_GoBack"/>
      <w:bookmarkEnd w:id="1"/>
      <w:r>
        <w:rPr>
          <w:rFonts w:hint="eastAsia" w:asciiTheme="minorEastAsia" w:hAnsiTheme="minorEastAsia"/>
          <w:sz w:val="21"/>
          <w:szCs w:val="21"/>
        </w:rPr>
        <w:t>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我方知悉并承诺：本次租赁房屋原承租人已于出租方签署《杭州市市直机关事业单位房屋租赁合同》确认租期至2026年5月10日止。原承租人已承诺若未获得本交易标的的，在房屋租赁到期之日起7日内将租赁房屋腾空后归还给出租方，若出租方未能及时清退原承租人的，承租方应同意等待租赁房屋的清退，直至交付止，同时，不提出任何附加条件或修改已签订的《杭州市市直机关事业单位房屋租赁合同》。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13</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2026-04-15T06:35:31Z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