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25C1A">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14:paraId="5DC030E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E4BC43">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14:paraId="1D8A090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承租杭州市上城区清泰街499号金隆花园北区1层房屋2年租赁权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690E21F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14:paraId="4E904E1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DE1AB3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《承租单位安全（消防）管理责任书》</w:t>
      </w:r>
      <w:r>
        <w:rPr>
          <w:rFonts w:hint="eastAsia"/>
          <w:color w:val="auto"/>
        </w:rPr>
        <w:t>，并在《成交通知书》、《房屋租赁协议书》、</w:t>
      </w:r>
      <w:r>
        <w:rPr>
          <w:rFonts w:hint="eastAsia"/>
          <w:color w:val="auto"/>
          <w:lang w:eastAsia="zh-CN"/>
        </w:rPr>
        <w:t>《承租单位安全（消防）管理责任书》</w:t>
      </w:r>
      <w:r>
        <w:rPr>
          <w:rFonts w:hint="eastAsia"/>
          <w:color w:val="auto"/>
        </w:rPr>
        <w:t>签署之日起5个工作日内向杭交所指定账户一次性支付交易服务费、履约保证金</w:t>
      </w:r>
      <w:r>
        <w:rPr>
          <w:rFonts w:hint="eastAsia"/>
          <w:color w:val="auto"/>
          <w:lang w:val="en-US" w:eastAsia="zh-CN"/>
        </w:rPr>
        <w:t>和首期租金</w:t>
      </w:r>
      <w:r>
        <w:rPr>
          <w:rFonts w:hint="eastAsia"/>
          <w:color w:val="auto"/>
        </w:rPr>
        <w:t>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val="en-US" w:eastAsia="zh-CN"/>
        </w:rPr>
        <w:t>和首期租金</w:t>
      </w:r>
      <w:r>
        <w:rPr>
          <w:rFonts w:hint="eastAsia" w:ascii="Times New Roman" w:hAnsi="Times New Roman" w:eastAsia="宋体" w:cs="Times New Roman"/>
          <w:color w:val="auto"/>
          <w:lang w:val="en-US" w:eastAsia="zh-CN"/>
        </w:rPr>
        <w:t>）。</w:t>
      </w:r>
    </w:p>
    <w:p w14:paraId="0448444E">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14:paraId="3B8A56E1">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14:paraId="2B1BD2A0">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租赁房屋的房屋所有权证证载设计用途为非住宅，所在地块国有土地使用证证载用途为商服用地，使用权类型为出让。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14:paraId="14AA221E">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14:paraId="7FC3360D">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承租方已自行了解房屋的结构、装修、位置、环境、设施、物业及水电可供容量等现状，承诺承租后不得有噪音扰民等情形，后续租赁期限内若与相邻租户发生纠纷，需自行处理、解决，出租方不承担任何责任。</w:t>
      </w:r>
    </w:p>
    <w:p w14:paraId="22636AF6">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14:paraId="265442C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在租赁期内，租赁房屋未经出租方书面同意不得转租。如承租方擅自转租的，转租行为无效。出租方有权单方面解除《房屋租赁协议书》收回房屋。如由此引起的经济损失由承租方自行承担，出租方不负任何责任。</w:t>
      </w:r>
    </w:p>
    <w:p w14:paraId="27D265A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w:t>
      </w:r>
    </w:p>
    <w:p w14:paraId="31E24FF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业按要求提供申请及作业方案），无相关许可不得私自作业。</w:t>
      </w:r>
    </w:p>
    <w:p w14:paraId="6BBA9A48">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）承租方已知悉并承诺：为用电安全，建议承租方在承租物业内安装灭弧式智慧用电报警装置，费用自行承担。</w:t>
      </w:r>
    </w:p>
    <w:p w14:paraId="5808CEF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rPr>
        <w:t>）承租方已知悉并承诺：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14:paraId="3B16E042">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cs="Times New Roman"/>
          <w:b w:val="0"/>
          <w:bCs/>
          <w:color w:val="auto"/>
          <w:szCs w:val="21"/>
          <w:highlight w:val="none"/>
          <w:lang w:val="en-US" w:eastAsia="zh-CN"/>
        </w:rPr>
        <w:t>9</w:t>
      </w:r>
      <w:r>
        <w:rPr>
          <w:rFonts w:hint="eastAsia" w:ascii="宋体" w:hAnsi="宋体" w:eastAsia="宋体" w:cs="Times New Roman"/>
          <w:b w:val="0"/>
          <w:bCs/>
          <w:color w:val="auto"/>
          <w:szCs w:val="21"/>
          <w:highlight w:val="none"/>
        </w:rPr>
        <w:t>）承租方已知悉并承诺：承租方根据实际经营需要经相关部门审批通过后开展装修改造，租赁房屋内已有设施设备经我公司同意后可二次利用，不得擅自拆除、损坏、丢弃等，若因此给我公司造成的一切损失均由承租方承担。此外，上述行为所产生的一切费用由承租方承担。</w:t>
      </w:r>
    </w:p>
    <w:p w14:paraId="380FAD4C">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）承租方已知悉并承诺：承租方根据实际经营需要应及时办理相关审批工作，包含但不限于消防安全开业前检查等。</w:t>
      </w:r>
    </w:p>
    <w:p w14:paraId="56D87693">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）承租方已知悉并承诺：承租方在租赁期间需交纳相应的物业管理费，具体以实际物业公司收取为准。</w:t>
      </w:r>
    </w:p>
    <w:p w14:paraId="1E399A08">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14:paraId="51856CB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rPr>
        <w:t>意向承租方承诺所提供的所有材料都是真实、准确、完整的；如有不实陈述或违反上述承诺的，自愿承担一</w:t>
      </w:r>
      <w:bookmarkStart w:id="0" w:name="_GoBack"/>
      <w:bookmarkEnd w:id="0"/>
      <w:r>
        <w:rPr>
          <w:rFonts w:hint="eastAsia" w:ascii="宋体" w:hAnsi="宋体" w:eastAsia="宋体" w:cs="Times New Roman"/>
          <w:b w:val="0"/>
          <w:bCs/>
          <w:color w:val="auto"/>
          <w:szCs w:val="21"/>
          <w:highlight w:val="none"/>
        </w:rPr>
        <w:t>切法律责任，无条件接受取消报名资格、中标资格、不良行为记录、没收交易保证金等处罚。对因此造成的损失，由承租方承担全额赔偿责任。</w:t>
      </w:r>
    </w:p>
    <w:p w14:paraId="585EA7B4">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14:paraId="7F470567">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ascii="宋体" w:hAnsi="宋体" w:cs="Times New Roman"/>
          <w:b w:val="0"/>
          <w:bCs/>
          <w:color w:val="auto"/>
          <w:szCs w:val="21"/>
          <w:highlight w:val="none"/>
          <w:lang w:eastAsia="zh-CN"/>
        </w:rPr>
        <w:t>：</w:t>
      </w:r>
      <w:r>
        <w:rPr>
          <w:rFonts w:hint="eastAsia" w:ascii="宋体" w:hAnsi="宋体" w:cs="Times New Roman"/>
          <w:b/>
          <w:bCs w:val="0"/>
          <w:color w:val="auto"/>
          <w:szCs w:val="21"/>
          <w:highlight w:val="none"/>
          <w:lang w:eastAsia="zh-CN"/>
        </w:rPr>
        <w:t>各年累计租金在800万元以下，按照各年累计租金的2%收取；各年累计租金在800万元以上的，按照各年累计租金的1.5%收取。如仅一位意向承租方报名且成交的，可按以上收费标准减半收取。</w:t>
      </w:r>
    </w:p>
    <w:p w14:paraId="1536EBF6">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14:paraId="3B5F2837">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14:paraId="5D90554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780429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14:paraId="057EC78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14:paraId="730D87D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14:paraId="70276521">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14:paraId="5A0F9095">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1F74CB4"/>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316449E"/>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556222"/>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401CC"/>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6751D8E"/>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AE5344"/>
    <w:rsid w:val="63DB45BE"/>
    <w:rsid w:val="63F50A4F"/>
    <w:rsid w:val="649E10A3"/>
    <w:rsid w:val="65BC6383"/>
    <w:rsid w:val="66817BE1"/>
    <w:rsid w:val="669B59E7"/>
    <w:rsid w:val="66E42BA0"/>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6E6019F"/>
    <w:rsid w:val="77D53699"/>
    <w:rsid w:val="7827478A"/>
    <w:rsid w:val="795928F1"/>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2"/>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160</Words>
  <Characters>912</Characters>
  <Lines>7</Lines>
  <Paragraphs>2</Paragraphs>
  <TotalTime>5</TotalTime>
  <ScaleCrop>false</ScaleCrop>
  <LinksUpToDate>false</LinksUpToDate>
  <CharactersWithSpaces>1070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2026-04-14T01:58:56Z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89F2E91492584960A2BD8545D904B2E2</vt:lpwstr>
  </property>
</Properties>
</file>