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杭州市西湖区横缘居2幢102室及103室二层房屋5年租赁权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val="en-US" w:eastAsia="zh-CN"/>
        </w:rPr>
        <w:t>和装修保证金</w:t>
      </w:r>
      <w:bookmarkStart w:id="3" w:name="_GoBack"/>
      <w:bookmarkEnd w:id="3"/>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本次租赁的业态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、意向承诺方须承诺：租赁期内，承租方不得擅自改变房屋的使用性质。未经出租方书面同意，承租方不得将房屋全部或部分转租、转让、转借他人或调换使用的</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出租方和承租方的权利义务具体以出租方提供的《租赁合同》（样本）为准。</w:t>
      </w:r>
    </w:p>
    <w:p w14:paraId="2023346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3E433010">
      <w:pPr>
        <w:pStyle w:val="2"/>
        <w:rPr>
          <w:rFonts w:hint="eastAsia"/>
        </w:rPr>
      </w:pP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2794E74"/>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7B5326"/>
    <w:rsid w:val="62A03507"/>
    <w:rsid w:val="633A51EB"/>
    <w:rsid w:val="63B756F0"/>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66A3860"/>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1416</Words>
  <Characters>1419</Characters>
  <Lines>15</Lines>
  <Paragraphs>4</Paragraphs>
  <TotalTime>31</TotalTime>
  <ScaleCrop>false</ScaleCrop>
  <LinksUpToDate>false</LinksUpToDate>
  <CharactersWithSpaces>1522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2026-04-01T02:36:39Z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