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CD34D">
      <w:pPr>
        <w:spacing w:line="276" w:lineRule="auto"/>
        <w:jc w:val="center"/>
        <w:rPr>
          <w:rFonts w:ascii="方正大标宋简体" w:hAnsi="宋体" w:eastAsia="方正大标宋简体" w:cs="宋体"/>
          <w:sz w:val="44"/>
          <w:szCs w:val="44"/>
        </w:rPr>
      </w:pPr>
      <w:r>
        <w:rPr>
          <w:rFonts w:hint="eastAsia" w:ascii="方正大标宋简体" w:hAnsi="宋体" w:eastAsia="方正大标宋简体" w:cs="宋体"/>
          <w:sz w:val="44"/>
          <w:szCs w:val="44"/>
        </w:rPr>
        <w:t>房屋租赁合同</w:t>
      </w:r>
    </w:p>
    <w:p w14:paraId="17D86AFA">
      <w:pPr>
        <w:spacing w:line="276" w:lineRule="auto"/>
        <w:ind w:right="560"/>
        <w:jc w:val="right"/>
        <w:rPr>
          <w:rFonts w:ascii="仿宋_GB2312" w:hAnsi="仿宋_GB2312" w:eastAsia="仿宋_GB2312" w:cs="仿宋_GB2312"/>
          <w:sz w:val="28"/>
          <w:szCs w:val="28"/>
          <w:lang w:eastAsia="zh"/>
        </w:rPr>
      </w:pPr>
      <w:r>
        <w:rPr>
          <w:rFonts w:hint="eastAsia" w:ascii="仿宋_GB2312" w:hAnsi="仿宋_GB2312" w:eastAsia="仿宋_GB2312" w:cs="仿宋_GB2312"/>
          <w:sz w:val="28"/>
          <w:szCs w:val="28"/>
        </w:rPr>
        <w:t>合同编号：</w:t>
      </w:r>
    </w:p>
    <w:p w14:paraId="1511F4C8">
      <w:p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甲方（出租人）：杭州市军粮供应中心</w:t>
      </w:r>
    </w:p>
    <w:p w14:paraId="3815E64B">
      <w:p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乙方（承租人）：</w:t>
      </w:r>
    </w:p>
    <w:p w14:paraId="46C5D212">
      <w:pPr>
        <w:spacing w:line="500" w:lineRule="exact"/>
        <w:ind w:firstLine="560" w:firstLineChars="200"/>
        <w:rPr>
          <w:rFonts w:ascii="仿宋_GB2312" w:hAnsi="仿宋_GB2312" w:eastAsia="仿宋_GB2312" w:cs="仿宋_GB2312"/>
          <w:sz w:val="28"/>
          <w:szCs w:val="28"/>
        </w:rPr>
      </w:pPr>
    </w:p>
    <w:p w14:paraId="04B22DCC">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根据国家、省有关法律、法规和本市的有关规定，甲、乙双方在自愿、公平、诚实信用、等价有偿原则的基础上，经充分协商，同意就下列房屋租赁事项，订立本合同，并共同遵守。</w:t>
      </w:r>
    </w:p>
    <w:p w14:paraId="23CBA61C">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一、甲方同意将坐落于</w:t>
      </w:r>
      <w:r>
        <w:rPr>
          <w:rFonts w:hint="eastAsia" w:ascii="仿宋_GB2312" w:hAnsi="仿宋_GB2312" w:eastAsia="仿宋_GB2312" w:cs="仿宋_GB2312"/>
          <w:color w:val="000000" w:themeColor="text1"/>
          <w:sz w:val="28"/>
          <w:szCs w:val="28"/>
          <w:u w:val="single"/>
          <w14:textFill>
            <w14:solidFill>
              <w14:schemeClr w14:val="tx1"/>
            </w14:solidFill>
          </w14:textFill>
        </w:rPr>
        <w:t>杭州市西湖区横缘居2幢</w:t>
      </w:r>
      <w:r>
        <w:rPr>
          <w:rFonts w:ascii="仿宋_GB2312" w:hAnsi="仿宋_GB2312" w:eastAsia="仿宋_GB2312" w:cs="仿宋_GB2312"/>
          <w:color w:val="000000" w:themeColor="text1"/>
          <w:sz w:val="28"/>
          <w:szCs w:val="28"/>
          <w:u w:val="single"/>
          <w14:textFill>
            <w14:solidFill>
              <w14:schemeClr w14:val="tx1"/>
            </w14:solidFill>
          </w14:textFill>
        </w:rPr>
        <w:t>102室</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及103室二层房屋 </w:t>
      </w:r>
      <w:r>
        <w:rPr>
          <w:rFonts w:hint="eastAsia" w:ascii="仿宋_GB2312" w:hAnsi="仿宋_GB2312" w:eastAsia="仿宋_GB2312" w:cs="仿宋_GB2312"/>
          <w:color w:val="000000" w:themeColor="text1"/>
          <w:sz w:val="28"/>
          <w:szCs w:val="28"/>
          <w14:textFill>
            <w14:solidFill>
              <w14:schemeClr w14:val="tx1"/>
            </w14:solidFill>
          </w14:textFill>
        </w:rPr>
        <w:t>，房屋建筑面积</w:t>
      </w:r>
      <w:r>
        <w:rPr>
          <w:rFonts w:ascii="仿宋_GB2312" w:hAnsi="仿宋_GB2312" w:eastAsia="仿宋_GB2312" w:cs="仿宋_GB2312"/>
          <w:b/>
          <w:color w:val="000000" w:themeColor="text1"/>
          <w:sz w:val="28"/>
          <w:szCs w:val="28"/>
          <w:u w:val="single"/>
          <w14:textFill>
            <w14:solidFill>
              <w14:schemeClr w14:val="tx1"/>
            </w14:solidFill>
          </w14:textFill>
        </w:rPr>
        <w:t xml:space="preserve">   501.37   </w:t>
      </w:r>
      <w:r>
        <w:rPr>
          <w:rFonts w:hint="eastAsia" w:ascii="仿宋_GB2312" w:hAnsi="仿宋_GB2312" w:eastAsia="仿宋_GB2312" w:cs="仿宋_GB2312"/>
          <w:color w:val="000000" w:themeColor="text1"/>
          <w:sz w:val="28"/>
          <w:szCs w:val="28"/>
          <w14:textFill>
            <w14:solidFill>
              <w14:schemeClr w14:val="tx1"/>
            </w14:solidFill>
          </w14:textFill>
        </w:rPr>
        <w:t>平方米，出租给乙方使用。乙方已对甲方所要出租的房屋做了充分了解，自愿承租该房屋。</w:t>
      </w:r>
    </w:p>
    <w:p w14:paraId="6D6E88FE">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二、该房屋租赁期5年，自</w:t>
      </w:r>
      <w:r>
        <w:rPr>
          <w:rFonts w:hint="eastAsia" w:ascii="仿宋_GB2312" w:hAnsi="仿宋_GB2312" w:eastAsia="仿宋_GB2312" w:cs="仿宋_GB2312"/>
          <w:color w:val="000000" w:themeColor="text1"/>
          <w:sz w:val="28"/>
          <w:szCs w:val="28"/>
          <w:u w:val="single"/>
          <w14:textFill>
            <w14:solidFill>
              <w14:schemeClr w14:val="tx1"/>
            </w14:solidFill>
          </w14:textFill>
        </w:rPr>
        <w:t>20</w:t>
      </w:r>
      <w:r>
        <w:rPr>
          <w:rFonts w:ascii="仿宋_GB2312" w:hAnsi="仿宋_GB2312" w:eastAsia="仿宋_GB2312" w:cs="仿宋_GB2312"/>
          <w:color w:val="000000" w:themeColor="text1"/>
          <w:sz w:val="28"/>
          <w:szCs w:val="28"/>
          <w:u w:val="single"/>
          <w14:textFill>
            <w14:solidFill>
              <w14:schemeClr w14:val="tx1"/>
            </w14:solidFill>
          </w14:textFill>
        </w:rPr>
        <w:t>26</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日起至</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日止。</w:t>
      </w:r>
    </w:p>
    <w:p w14:paraId="0C932C98">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免租期：首年装修免租期为</w:t>
      </w:r>
      <w:r>
        <w:rPr>
          <w:rFonts w:hint="eastAsia" w:ascii="仿宋_GB2312" w:hAnsi="仿宋_GB2312" w:eastAsia="仿宋_GB2312" w:cs="仿宋_GB2312"/>
          <w:b/>
          <w:color w:val="000000" w:themeColor="text1"/>
          <w:sz w:val="28"/>
          <w:szCs w:val="28"/>
          <w:u w:val="single"/>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个月（在首年租金中减免</w:t>
      </w:r>
      <w:r>
        <w:rPr>
          <w:rFonts w:hint="eastAsia" w:ascii="仿宋_GB2312" w:hAnsi="仿宋_GB2312" w:eastAsia="仿宋_GB2312" w:cs="仿宋_GB2312"/>
          <w:color w:val="000000" w:themeColor="text1"/>
          <w:sz w:val="28"/>
          <w:szCs w:val="28"/>
          <w:u w:val="single"/>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个月）。</w:t>
      </w:r>
    </w:p>
    <w:p w14:paraId="08769DC7">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乙方确认对租赁物业现状充分了解、按现状承租。</w:t>
      </w:r>
    </w:p>
    <w:p w14:paraId="40F6955C">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乙方指派</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（身份证号）</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代表乙方向甲方领取房屋钥匙，交付标准为现状。但乙方代表是否按期领取房屋钥匙，不影响前款约定的交付日认定。</w:t>
      </w:r>
    </w:p>
    <w:p w14:paraId="5D287137">
      <w:pPr>
        <w:numPr>
          <w:ilvl w:val="0"/>
          <w:numId w:val="1"/>
        </w:num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房屋公开招租中标价为</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，房屋租金第一年为￥</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，第二年为￥</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；第三年起每年租金在前一年租金的基础上递增</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ascii="仿宋_GB2312" w:hAnsi="仿宋_GB2312" w:eastAsia="仿宋_GB2312" w:cs="仿宋_GB2312"/>
          <w:color w:val="000000" w:themeColor="text1"/>
          <w:sz w:val="28"/>
          <w:szCs w:val="28"/>
          <w:u w:val="single"/>
          <w14:textFill>
            <w14:solidFill>
              <w14:schemeClr w14:val="tx1"/>
            </w14:solidFill>
          </w14:textFill>
        </w:rPr>
        <w:t>1</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%，即：第三年租金为￥</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，第四年租金为￥</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，第五年租金为￥</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；本合同租赁期内房屋租金总额共计￥</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（大写）</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w:t>
      </w:r>
    </w:p>
    <w:p w14:paraId="38DBD828">
      <w:pPr>
        <w:spacing w:line="560" w:lineRule="exact"/>
        <w:ind w:firstLine="560" w:firstLineChars="200"/>
        <w:rPr>
          <w:rFonts w:ascii="仿宋_GB2312" w:hAnsi="华文仿宋" w:eastAsia="仿宋_GB2312" w:cs="仿宋"/>
          <w:color w:val="000000" w:themeColor="text1"/>
          <w:sz w:val="28"/>
          <w:szCs w:val="28"/>
          <w14:textFill>
            <w14:solidFill>
              <w14:schemeClr w14:val="tx1"/>
            </w14:solidFill>
          </w14:textFill>
        </w:rPr>
      </w:pPr>
      <w:r>
        <w:rPr>
          <w:rFonts w:hint="eastAsia" w:ascii="仿宋_GB2312" w:hAnsi="华文仿宋" w:eastAsia="仿宋_GB2312" w:cs="仿宋"/>
          <w:color w:val="000000" w:themeColor="text1"/>
          <w:sz w:val="28"/>
          <w:szCs w:val="28"/>
          <w14:textFill>
            <w14:solidFill>
              <w14:schemeClr w14:val="tx1"/>
            </w14:solidFill>
          </w14:textFill>
        </w:rPr>
        <w:t>租金支付方式及付款日期如下：</w:t>
      </w:r>
    </w:p>
    <w:tbl>
      <w:tblPr>
        <w:tblStyle w:val="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268"/>
        <w:gridCol w:w="3969"/>
      </w:tblGrid>
      <w:tr w14:paraId="5461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3CF83AFE">
            <w:pPr>
              <w:spacing w:line="600" w:lineRule="exact"/>
              <w:jc w:val="center"/>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租金支付时间</w:t>
            </w:r>
          </w:p>
        </w:tc>
        <w:tc>
          <w:tcPr>
            <w:tcW w:w="2268" w:type="dxa"/>
            <w:vAlign w:val="center"/>
          </w:tcPr>
          <w:p w14:paraId="4065EF69">
            <w:pPr>
              <w:spacing w:line="600" w:lineRule="exact"/>
              <w:jc w:val="center"/>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支付金额（元）</w:t>
            </w:r>
          </w:p>
        </w:tc>
        <w:tc>
          <w:tcPr>
            <w:tcW w:w="3969" w:type="dxa"/>
            <w:vAlign w:val="center"/>
          </w:tcPr>
          <w:p w14:paraId="65A03A64">
            <w:pPr>
              <w:spacing w:line="600" w:lineRule="exact"/>
              <w:jc w:val="center"/>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对应租期</w:t>
            </w:r>
          </w:p>
        </w:tc>
      </w:tr>
      <w:tr w14:paraId="3394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44784DF1">
            <w:pPr>
              <w:spacing w:line="600" w:lineRule="exact"/>
              <w:jc w:val="center"/>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年 月 日24点前</w:t>
            </w:r>
          </w:p>
        </w:tc>
        <w:tc>
          <w:tcPr>
            <w:tcW w:w="2268" w:type="dxa"/>
            <w:vAlign w:val="center"/>
          </w:tcPr>
          <w:p w14:paraId="3296D80A">
            <w:pPr>
              <w:spacing w:line="600" w:lineRule="exact"/>
              <w:jc w:val="center"/>
              <w:rPr>
                <w:rFonts w:ascii="仿宋_GB2312" w:hAnsi="仿宋" w:eastAsia="仿宋_GB2312" w:cs="仿宋"/>
                <w:color w:val="000000" w:themeColor="text1"/>
                <w:sz w:val="28"/>
                <w:szCs w:val="28"/>
                <w14:textFill>
                  <w14:solidFill>
                    <w14:schemeClr w14:val="tx1"/>
                  </w14:solidFill>
                </w14:textFill>
              </w:rPr>
            </w:pPr>
          </w:p>
        </w:tc>
        <w:tc>
          <w:tcPr>
            <w:tcW w:w="3969" w:type="dxa"/>
            <w:vAlign w:val="center"/>
          </w:tcPr>
          <w:p w14:paraId="4134E946">
            <w:pPr>
              <w:spacing w:line="600" w:lineRule="exact"/>
              <w:jc w:val="center"/>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年 月 日至 年 月 日</w:t>
            </w:r>
          </w:p>
        </w:tc>
      </w:tr>
      <w:tr w14:paraId="23D7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310923B4">
            <w:pPr>
              <w:spacing w:line="600" w:lineRule="exact"/>
              <w:jc w:val="center"/>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年 月 日24点前</w:t>
            </w:r>
          </w:p>
        </w:tc>
        <w:tc>
          <w:tcPr>
            <w:tcW w:w="2268" w:type="dxa"/>
            <w:vAlign w:val="center"/>
          </w:tcPr>
          <w:p w14:paraId="2CD73E2A">
            <w:pPr>
              <w:spacing w:line="600" w:lineRule="exact"/>
              <w:jc w:val="center"/>
              <w:rPr>
                <w:rFonts w:ascii="仿宋_GB2312" w:hAnsi="仿宋" w:eastAsia="仿宋_GB2312" w:cs="仿宋"/>
                <w:color w:val="000000" w:themeColor="text1"/>
                <w:sz w:val="28"/>
                <w:szCs w:val="28"/>
                <w14:textFill>
                  <w14:solidFill>
                    <w14:schemeClr w14:val="tx1"/>
                  </w14:solidFill>
                </w14:textFill>
              </w:rPr>
            </w:pPr>
          </w:p>
        </w:tc>
        <w:tc>
          <w:tcPr>
            <w:tcW w:w="3969" w:type="dxa"/>
            <w:vAlign w:val="center"/>
          </w:tcPr>
          <w:p w14:paraId="1D72A873">
            <w:pPr>
              <w:spacing w:line="600" w:lineRule="exact"/>
              <w:jc w:val="center"/>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年 月 日至 年 月 日</w:t>
            </w:r>
          </w:p>
        </w:tc>
      </w:tr>
      <w:tr w14:paraId="7004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49B23D96">
            <w:pPr>
              <w:spacing w:line="600" w:lineRule="exact"/>
              <w:jc w:val="center"/>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年 月 日24点前</w:t>
            </w:r>
          </w:p>
        </w:tc>
        <w:tc>
          <w:tcPr>
            <w:tcW w:w="2268" w:type="dxa"/>
            <w:vAlign w:val="center"/>
          </w:tcPr>
          <w:p w14:paraId="66543D12">
            <w:pPr>
              <w:spacing w:line="600" w:lineRule="exact"/>
              <w:jc w:val="center"/>
              <w:rPr>
                <w:rFonts w:ascii="仿宋_GB2312" w:hAnsi="仿宋" w:eastAsia="仿宋_GB2312" w:cs="仿宋"/>
                <w:color w:val="000000" w:themeColor="text1"/>
                <w:sz w:val="28"/>
                <w:szCs w:val="28"/>
                <w14:textFill>
                  <w14:solidFill>
                    <w14:schemeClr w14:val="tx1"/>
                  </w14:solidFill>
                </w14:textFill>
              </w:rPr>
            </w:pPr>
          </w:p>
        </w:tc>
        <w:tc>
          <w:tcPr>
            <w:tcW w:w="3969" w:type="dxa"/>
            <w:vAlign w:val="center"/>
          </w:tcPr>
          <w:p w14:paraId="60C4C4F0">
            <w:pPr>
              <w:spacing w:line="600" w:lineRule="exact"/>
              <w:jc w:val="center"/>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年 月 日至 年 月 日</w:t>
            </w:r>
          </w:p>
        </w:tc>
      </w:tr>
      <w:tr w14:paraId="2DA40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21F0378B">
            <w:pPr>
              <w:spacing w:line="600" w:lineRule="exact"/>
              <w:jc w:val="center"/>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年 月 日24点前</w:t>
            </w:r>
          </w:p>
        </w:tc>
        <w:tc>
          <w:tcPr>
            <w:tcW w:w="2268" w:type="dxa"/>
            <w:vAlign w:val="center"/>
          </w:tcPr>
          <w:p w14:paraId="64FA0F6B">
            <w:pPr>
              <w:spacing w:line="600" w:lineRule="exact"/>
              <w:jc w:val="center"/>
              <w:rPr>
                <w:rFonts w:ascii="仿宋_GB2312" w:hAnsi="仿宋" w:eastAsia="仿宋_GB2312" w:cs="仿宋"/>
                <w:color w:val="000000" w:themeColor="text1"/>
                <w:sz w:val="28"/>
                <w:szCs w:val="28"/>
                <w14:textFill>
                  <w14:solidFill>
                    <w14:schemeClr w14:val="tx1"/>
                  </w14:solidFill>
                </w14:textFill>
              </w:rPr>
            </w:pPr>
          </w:p>
        </w:tc>
        <w:tc>
          <w:tcPr>
            <w:tcW w:w="3969" w:type="dxa"/>
            <w:vAlign w:val="center"/>
          </w:tcPr>
          <w:p w14:paraId="3D8834FF">
            <w:pPr>
              <w:spacing w:line="600" w:lineRule="exact"/>
              <w:jc w:val="center"/>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年 月 日至 年 月 日</w:t>
            </w:r>
          </w:p>
        </w:tc>
      </w:tr>
      <w:tr w14:paraId="66E3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2F6506A8">
            <w:pPr>
              <w:spacing w:line="600" w:lineRule="exact"/>
              <w:jc w:val="center"/>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年 月 日24点前</w:t>
            </w:r>
          </w:p>
        </w:tc>
        <w:tc>
          <w:tcPr>
            <w:tcW w:w="2268" w:type="dxa"/>
            <w:vAlign w:val="center"/>
          </w:tcPr>
          <w:p w14:paraId="246FEBDD">
            <w:pPr>
              <w:spacing w:line="600" w:lineRule="exact"/>
              <w:jc w:val="center"/>
              <w:rPr>
                <w:rFonts w:ascii="仿宋_GB2312" w:hAnsi="仿宋" w:eastAsia="仿宋_GB2312" w:cs="仿宋"/>
                <w:color w:val="000000" w:themeColor="text1"/>
                <w:sz w:val="28"/>
                <w:szCs w:val="28"/>
                <w14:textFill>
                  <w14:solidFill>
                    <w14:schemeClr w14:val="tx1"/>
                  </w14:solidFill>
                </w14:textFill>
              </w:rPr>
            </w:pPr>
          </w:p>
        </w:tc>
        <w:tc>
          <w:tcPr>
            <w:tcW w:w="3969" w:type="dxa"/>
            <w:vAlign w:val="center"/>
          </w:tcPr>
          <w:p w14:paraId="3A63F927">
            <w:pPr>
              <w:spacing w:line="600" w:lineRule="exact"/>
              <w:jc w:val="center"/>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年 月 日至 年 月 日</w:t>
            </w:r>
          </w:p>
        </w:tc>
      </w:tr>
      <w:tr w14:paraId="4D7F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4D8B9930">
            <w:pPr>
              <w:spacing w:line="600" w:lineRule="exact"/>
              <w:jc w:val="center"/>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合计</w:t>
            </w:r>
          </w:p>
        </w:tc>
        <w:tc>
          <w:tcPr>
            <w:tcW w:w="2268" w:type="dxa"/>
            <w:vAlign w:val="center"/>
          </w:tcPr>
          <w:p w14:paraId="71675894">
            <w:pPr>
              <w:spacing w:line="600" w:lineRule="exact"/>
              <w:jc w:val="center"/>
              <w:rPr>
                <w:rFonts w:ascii="仿宋_GB2312" w:hAnsi="仿宋" w:eastAsia="仿宋_GB2312" w:cs="仿宋"/>
                <w:color w:val="000000" w:themeColor="text1"/>
                <w:sz w:val="28"/>
                <w:szCs w:val="28"/>
                <w14:textFill>
                  <w14:solidFill>
                    <w14:schemeClr w14:val="tx1"/>
                  </w14:solidFill>
                </w14:textFill>
              </w:rPr>
            </w:pPr>
          </w:p>
        </w:tc>
        <w:tc>
          <w:tcPr>
            <w:tcW w:w="3969" w:type="dxa"/>
            <w:vAlign w:val="center"/>
          </w:tcPr>
          <w:p w14:paraId="6553C2B7">
            <w:pPr>
              <w:spacing w:line="600" w:lineRule="exact"/>
              <w:jc w:val="center"/>
              <w:rPr>
                <w:rFonts w:ascii="仿宋_GB2312" w:hAnsi="仿宋" w:eastAsia="仿宋_GB2312" w:cs="仿宋"/>
                <w:color w:val="000000" w:themeColor="text1"/>
                <w:sz w:val="28"/>
                <w:szCs w:val="28"/>
                <w14:textFill>
                  <w14:solidFill>
                    <w14:schemeClr w14:val="tx1"/>
                  </w14:solidFill>
                </w14:textFill>
              </w:rPr>
            </w:pPr>
          </w:p>
        </w:tc>
      </w:tr>
    </w:tbl>
    <w:p w14:paraId="575A05B6">
      <w:pPr>
        <w:pStyle w:val="7"/>
        <w:adjustRightInd w:val="0"/>
        <w:snapToGrid w:val="0"/>
        <w:spacing w:after="0" w:line="500" w:lineRule="exact"/>
        <w:ind w:left="0" w:leftChars="0"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p>
    <w:p w14:paraId="0EE6F252">
      <w:pPr>
        <w:pStyle w:val="7"/>
        <w:adjustRightInd w:val="0"/>
        <w:snapToGrid w:val="0"/>
        <w:spacing w:after="0" w:line="500" w:lineRule="exact"/>
        <w:ind w:left="0" w:leftChars="0"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乙方必须按时向甲方缴纳租金，每一年为一期，先付后用。第一期租金在本合同签订之日起10日内支付至杭交所指定账户，其后每一周期开始前15日内向甲方指定账户支付下一周期租金，具体以本合同第三条的约定的租金支付时间为准。所有租金必须以网银的形式支付至甲方指定账户。</w:t>
      </w:r>
    </w:p>
    <w:p w14:paraId="7AF4F4C8">
      <w:pPr>
        <w:pStyle w:val="7"/>
        <w:adjustRightInd w:val="0"/>
        <w:snapToGrid w:val="0"/>
        <w:spacing w:after="0" w:line="500" w:lineRule="exact"/>
        <w:ind w:left="0" w:leftChars="0"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甲方收取乙方后续房租等费用的指定账户为： </w:t>
      </w:r>
    </w:p>
    <w:p w14:paraId="59CF8776">
      <w:pPr>
        <w:pStyle w:val="7"/>
        <w:adjustRightInd w:val="0"/>
        <w:snapToGrid w:val="0"/>
        <w:spacing w:after="0" w:line="500" w:lineRule="exact"/>
        <w:ind w:left="0" w:leftChars="0"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开户行：农行杭州物流中心支行</w:t>
      </w:r>
    </w:p>
    <w:p w14:paraId="24809225">
      <w:pPr>
        <w:pStyle w:val="7"/>
        <w:adjustRightInd w:val="0"/>
        <w:snapToGrid w:val="0"/>
        <w:spacing w:after="0" w:line="500" w:lineRule="exact"/>
        <w:ind w:left="0" w:leftChars="0"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户 </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名：杭州市军粮供应中心</w:t>
      </w:r>
    </w:p>
    <w:p w14:paraId="670C4DD4">
      <w:pPr>
        <w:pStyle w:val="7"/>
        <w:adjustRightInd w:val="0"/>
        <w:snapToGrid w:val="0"/>
        <w:spacing w:after="0" w:line="500" w:lineRule="exact"/>
        <w:ind w:left="0" w:leftChars="0"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账 </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号：</w:t>
      </w:r>
      <w:r>
        <w:rPr>
          <w:rFonts w:ascii="仿宋_GB2312" w:hAnsi="仿宋_GB2312" w:eastAsia="仿宋_GB2312" w:cs="仿宋_GB2312"/>
          <w:color w:val="000000" w:themeColor="text1"/>
          <w:sz w:val="28"/>
          <w:szCs w:val="28"/>
          <w14:textFill>
            <w14:solidFill>
              <w14:schemeClr w14:val="tx1"/>
            </w14:solidFill>
          </w14:textFill>
        </w:rPr>
        <w:t>19052901040000826</w:t>
      </w:r>
    </w:p>
    <w:p w14:paraId="1569C89E">
      <w:pPr>
        <w:pStyle w:val="7"/>
        <w:adjustRightInd w:val="0"/>
        <w:snapToGrid w:val="0"/>
        <w:spacing w:after="0" w:line="500" w:lineRule="exact"/>
        <w:ind w:left="0" w:leftChars="0"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凡未向该指定账户交纳上述费用的，均不得视为乙方已向甲方履行了本合同义务。甲方开具给乙方的发票等票据不得作为已付款的凭证。上述费用乙方每延迟一天，乙方应按当期应付未付租金的【</w:t>
      </w:r>
      <w:r>
        <w:rPr>
          <w:rFonts w:hint="eastAsia" w:ascii="仿宋_GB2312" w:hAnsi="仿宋_GB2312" w:eastAsia="仿宋_GB2312" w:cs="仿宋_GB2312"/>
          <w:color w:val="000000" w:themeColor="text1"/>
          <w:sz w:val="28"/>
          <w:szCs w:val="28"/>
          <w:u w:val="single"/>
          <w14:textFill>
            <w14:solidFill>
              <w14:schemeClr w14:val="tx1"/>
            </w14:solidFill>
          </w14:textFill>
        </w:rPr>
        <w:t>万分之三</w:t>
      </w:r>
      <w:r>
        <w:rPr>
          <w:rFonts w:hint="eastAsia" w:ascii="仿宋_GB2312" w:hAnsi="仿宋_GB2312" w:eastAsia="仿宋_GB2312" w:cs="仿宋_GB2312"/>
          <w:color w:val="000000" w:themeColor="text1"/>
          <w:sz w:val="28"/>
          <w:szCs w:val="28"/>
          <w14:textFill>
            <w14:solidFill>
              <w14:schemeClr w14:val="tx1"/>
            </w14:solidFill>
          </w14:textFill>
        </w:rPr>
        <w:t>】向甲方支付滞纳金，滞纳金计算至甲方通知合同解除之日。</w:t>
      </w:r>
    </w:p>
    <w:p w14:paraId="4D4FA111">
      <w:pPr>
        <w:pStyle w:val="7"/>
        <w:adjustRightInd w:val="0"/>
        <w:snapToGrid w:val="0"/>
        <w:spacing w:after="0" w:line="500" w:lineRule="exact"/>
        <w:ind w:left="0" w:leftChars="0"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（一）甲、乙双方约定，乙方应当在本合同签订之日起10日内向杭交所指定账户交付房屋的履约保证金，履约保证金为</w:t>
      </w:r>
      <w:r>
        <w:rPr>
          <w:rFonts w:hint="eastAsia" w:ascii="仿宋_GB2312" w:hAnsi="仿宋_GB2312" w:eastAsia="仿宋_GB2312" w:cs="仿宋_GB2312"/>
          <w:b/>
          <w:color w:val="000000" w:themeColor="text1"/>
          <w:sz w:val="28"/>
          <w:szCs w:val="28"/>
          <w:u w:val="single"/>
          <w14:textFill>
            <w14:solidFill>
              <w14:schemeClr w14:val="tx1"/>
            </w14:solidFill>
          </w14:textFill>
        </w:rPr>
        <w:t>2</w:t>
      </w:r>
      <w:r>
        <w:rPr>
          <w:rFonts w:ascii="仿宋_GB2312" w:hAnsi="仿宋_GB2312" w:eastAsia="仿宋_GB2312" w:cs="仿宋_GB2312"/>
          <w:b/>
          <w:color w:val="000000" w:themeColor="text1"/>
          <w:sz w:val="28"/>
          <w:szCs w:val="28"/>
          <w:u w:val="single"/>
          <w14:textFill>
            <w14:solidFill>
              <w14:schemeClr w14:val="tx1"/>
            </w14:solidFill>
          </w14:textFill>
        </w:rPr>
        <w:t>0000</w:t>
      </w:r>
      <w:r>
        <w:rPr>
          <w:rFonts w:hint="eastAsia" w:ascii="仿宋_GB2312" w:hAnsi="仿宋_GB2312" w:eastAsia="仿宋_GB2312" w:cs="仿宋_GB2312"/>
          <w:b/>
          <w:color w:val="000000" w:themeColor="text1"/>
          <w:sz w:val="28"/>
          <w:szCs w:val="28"/>
          <w:u w:val="single"/>
          <w14:textFill>
            <w14:solidFill>
              <w14:schemeClr w14:val="tx1"/>
            </w14:solidFill>
          </w14:textFill>
        </w:rPr>
        <w:t xml:space="preserve"> 元（大写：贰万元整</w:t>
      </w:r>
      <w:r>
        <w:rPr>
          <w:rFonts w:hint="eastAsia" w:ascii="仿宋_GB2312" w:hAnsi="仿宋_GB2312" w:eastAsia="仿宋_GB2312" w:cs="仿宋_GB2312"/>
          <w:color w:val="000000" w:themeColor="text1"/>
          <w:sz w:val="28"/>
          <w:szCs w:val="28"/>
          <w14:textFill>
            <w14:solidFill>
              <w14:schemeClr w14:val="tx1"/>
            </w14:solidFill>
          </w14:textFill>
        </w:rPr>
        <w:t>），甲方收取保证金后应向乙方开具收款凭证。</w:t>
      </w:r>
    </w:p>
    <w:p w14:paraId="229D291F">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租赁期间，如因乙方因违反本租赁合同约定给甲方造成财产损失的或有其他违约行为的，甲方有权从该保证金中直接扣除乙方应承担的违约金及甲方由此遭受实际损失，甲方扣除后将及时以书面方式通知乙方。乙方须于收到上述通知后7日内，向甲方补足被扣除的保证金，除非此时租赁合同已终止。乙方对甲方扣除行为有异议的，可通过磋商或诉讼等方式主张权利，但不影响先行补足保证金的义务。甲方通知催告后7日内乙方仍未补足保证金，甲方有权解除本合同，因此产生的全部损失和费用由乙方承担。</w:t>
      </w:r>
    </w:p>
    <w:p w14:paraId="79833287">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租赁期间，使用该租赁房屋期间所发生的物业费、垃圾清运费、排污费等年检费、区街道收取的各项费用、基本电费、其他签订合同时未知的税费等应由乙方自行负担。即便在租赁期间乙方停止使用租赁房屋及附属设施，仍应按相关规定交纳上述费用。租赁期间乙方单方停止使用租赁房屋不作为减免租金及其他费用的理由。</w:t>
      </w:r>
    </w:p>
    <w:p w14:paraId="03F615B0">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如需甲方代缴其他费用的，次月甲方凭相关凭证向乙方收取。</w:t>
      </w:r>
    </w:p>
    <w:p w14:paraId="679DB83D">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（三）租赁关系终止时，若乙方依照本合同约定交还该租赁房屋，则甲方在保证金中扣除本合同约定由乙方承担的费用、赔偿金、违约金后，剩余部分无息归还乙方。 </w:t>
      </w:r>
    </w:p>
    <w:p w14:paraId="529D3403">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w:t>
      </w:r>
      <w:r>
        <w:rPr>
          <w:rFonts w:ascii="仿宋_GB2312" w:hAnsi="仿宋_GB2312" w:eastAsia="仿宋_GB2312" w:cs="仿宋_GB2312"/>
          <w:color w:val="000000" w:themeColor="text1"/>
          <w:sz w:val="28"/>
          <w:szCs w:val="28"/>
          <w14:textFill>
            <w14:solidFill>
              <w14:schemeClr w14:val="tx1"/>
            </w14:solidFill>
          </w14:textFill>
        </w:rPr>
        <w:t>出租用途要求：商业性用房，</w:t>
      </w:r>
      <w:r>
        <w:rPr>
          <w:rFonts w:hint="eastAsia" w:ascii="仿宋_GB2312" w:hAnsi="仿宋_GB2312" w:eastAsia="仿宋_GB2312" w:cs="仿宋_GB2312"/>
          <w:color w:val="000000" w:themeColor="text1"/>
          <w:sz w:val="28"/>
          <w:szCs w:val="28"/>
          <w14:textFill>
            <w14:solidFill>
              <w14:schemeClr w14:val="tx1"/>
            </w14:solidFill>
          </w14:textFill>
        </w:rPr>
        <w:t>乙方须</w:t>
      </w:r>
      <w:r>
        <w:rPr>
          <w:rFonts w:ascii="仿宋_GB2312" w:hAnsi="仿宋_GB2312" w:eastAsia="仿宋_GB2312" w:cs="仿宋_GB2312"/>
          <w:color w:val="000000" w:themeColor="text1"/>
          <w:sz w:val="28"/>
          <w:szCs w:val="28"/>
          <w14:textFill>
            <w14:solidFill>
              <w14:schemeClr w14:val="tx1"/>
            </w14:solidFill>
          </w14:textFill>
        </w:rPr>
        <w:t>根据政府管理部门相关规定执行，</w:t>
      </w:r>
      <w:r>
        <w:rPr>
          <w:rFonts w:hint="eastAsia" w:ascii="仿宋_GB2312" w:hAnsi="仿宋_GB2312" w:eastAsia="仿宋_GB2312" w:cs="仿宋_GB2312"/>
          <w:color w:val="000000" w:themeColor="text1"/>
          <w:sz w:val="28"/>
          <w:szCs w:val="28"/>
          <w14:textFill>
            <w14:solidFill>
              <w14:schemeClr w14:val="tx1"/>
            </w14:solidFill>
          </w14:textFill>
        </w:rPr>
        <w:t>不得参与</w:t>
      </w:r>
      <w:r>
        <w:rPr>
          <w:rFonts w:ascii="仿宋_GB2312" w:hAnsi="仿宋_GB2312" w:eastAsia="仿宋_GB2312" w:cs="仿宋_GB2312"/>
          <w:color w:val="000000" w:themeColor="text1"/>
          <w:sz w:val="28"/>
          <w:szCs w:val="28"/>
          <w14:textFill>
            <w14:solidFill>
              <w14:schemeClr w14:val="tx1"/>
            </w14:solidFill>
          </w14:textFill>
        </w:rPr>
        <w:t>娱乐性质、高风险性</w:t>
      </w:r>
      <w:r>
        <w:rPr>
          <w:rFonts w:hint="eastAsia" w:ascii="仿宋_GB2312" w:hAnsi="仿宋_GB2312" w:eastAsia="仿宋_GB2312" w:cs="仿宋_GB2312"/>
          <w:color w:val="000000" w:themeColor="text1"/>
          <w:sz w:val="28"/>
          <w:szCs w:val="28"/>
          <w14:textFill>
            <w14:solidFill>
              <w14:schemeClr w14:val="tx1"/>
            </w14:solidFill>
          </w14:textFill>
        </w:rPr>
        <w:t>经营</w:t>
      </w:r>
      <w:r>
        <w:rPr>
          <w:rFonts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乙方</w:t>
      </w:r>
      <w:r>
        <w:rPr>
          <w:rFonts w:ascii="仿宋_GB2312" w:hAnsi="仿宋_GB2312" w:eastAsia="仿宋_GB2312" w:cs="仿宋_GB2312"/>
          <w:color w:val="000000" w:themeColor="text1"/>
          <w:sz w:val="28"/>
          <w:szCs w:val="28"/>
          <w14:textFill>
            <w14:solidFill>
              <w14:schemeClr w14:val="tx1"/>
            </w14:solidFill>
          </w14:textFill>
        </w:rPr>
        <w:t>的经营业态必须符合国家环境保护规定、杭州市有关消防安全条例等相关法律法规。生产经营场所不得产生声、光、水、电、气等环境污染，不得经营会所及其它有关消防安全隐患的项目，不得经营殡葬、化工（油漆、易燃易爆等）危险品等影响周边日常生活及杭州市消防、卫生、环境等职能部门限制或禁止的业态，其余业态经行政部门审批后可经营。未事先取得</w:t>
      </w:r>
      <w:r>
        <w:rPr>
          <w:rFonts w:hint="eastAsia" w:ascii="仿宋_GB2312" w:hAnsi="仿宋_GB2312" w:eastAsia="仿宋_GB2312" w:cs="仿宋_GB2312"/>
          <w:color w:val="000000" w:themeColor="text1"/>
          <w:sz w:val="28"/>
          <w:szCs w:val="28"/>
          <w14:textFill>
            <w14:solidFill>
              <w14:schemeClr w14:val="tx1"/>
            </w14:solidFill>
          </w14:textFill>
        </w:rPr>
        <w:t>甲方</w:t>
      </w:r>
      <w:r>
        <w:rPr>
          <w:rFonts w:ascii="仿宋_GB2312" w:hAnsi="仿宋_GB2312" w:eastAsia="仿宋_GB2312" w:cs="仿宋_GB2312"/>
          <w:color w:val="000000" w:themeColor="text1"/>
          <w:sz w:val="28"/>
          <w:szCs w:val="28"/>
          <w14:textFill>
            <w14:solidFill>
              <w14:schemeClr w14:val="tx1"/>
            </w14:solidFill>
          </w14:textFill>
        </w:rPr>
        <w:t>的书面同意并按规定报经相关行政主管机关核准，</w:t>
      </w:r>
      <w:r>
        <w:rPr>
          <w:rFonts w:hint="eastAsia" w:ascii="仿宋_GB2312" w:hAnsi="仿宋_GB2312" w:eastAsia="仿宋_GB2312" w:cs="仿宋_GB2312"/>
          <w:color w:val="000000" w:themeColor="text1"/>
          <w:sz w:val="28"/>
          <w:szCs w:val="28"/>
          <w14:textFill>
            <w14:solidFill>
              <w14:schemeClr w14:val="tx1"/>
            </w14:solidFill>
          </w14:textFill>
        </w:rPr>
        <w:t>乙方</w:t>
      </w:r>
      <w:r>
        <w:rPr>
          <w:rFonts w:ascii="仿宋_GB2312" w:hAnsi="仿宋_GB2312" w:eastAsia="仿宋_GB2312" w:cs="仿宋_GB2312"/>
          <w:color w:val="000000" w:themeColor="text1"/>
          <w:sz w:val="28"/>
          <w:szCs w:val="28"/>
          <w14:textFill>
            <w14:solidFill>
              <w14:schemeClr w14:val="tx1"/>
            </w14:solidFill>
          </w14:textFill>
        </w:rPr>
        <w:t>不得擅自改变房屋的用途。</w:t>
      </w:r>
    </w:p>
    <w:p w14:paraId="65113AA7">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六、租赁期内，乙方不得擅自改变房屋的使用性质。未经甲方书面同意，乙方不得将房屋全部或部分转租、转让、转借他人或调换使用的。</w:t>
      </w:r>
    </w:p>
    <w:p w14:paraId="4E71FF36">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七、在租赁期内，乙方应负责该房地产的维修保养工作使其处于甲方交付时的良好运营状态，并承担相关费用。除非本合同另有约定或甲乙双方另行协商一致,乙方应于租用结束后将该房屋按租前原状返还，保证该房屋的完整性及功能性。但涉及房屋主体结构维修费用由甲方承担，如房屋漏水、围墙贯穿性裂缝等。</w:t>
      </w:r>
    </w:p>
    <w:p w14:paraId="3988481C">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八、甲方维修房屋及其附着设施，应提前</w:t>
      </w:r>
      <w:r>
        <w:rPr>
          <w:rFonts w:hint="eastAsia" w:ascii="仿宋_GB2312" w:hAnsi="仿宋_GB2312" w:eastAsia="仿宋_GB2312" w:cs="仿宋_GB2312"/>
          <w:b/>
          <w:color w:val="000000" w:themeColor="text1"/>
          <w:sz w:val="28"/>
          <w:szCs w:val="28"/>
          <w:u w:val="single"/>
          <w14:textFill>
            <w14:solidFill>
              <w14:schemeClr w14:val="tx1"/>
            </w14:solidFill>
          </w14:textFill>
        </w:rPr>
        <w:t xml:space="preserve">5 </w:t>
      </w:r>
      <w:r>
        <w:rPr>
          <w:rFonts w:hint="eastAsia" w:ascii="仿宋_GB2312" w:hAnsi="仿宋_GB2312" w:eastAsia="仿宋_GB2312" w:cs="仿宋_GB2312"/>
          <w:color w:val="000000" w:themeColor="text1"/>
          <w:sz w:val="28"/>
          <w:szCs w:val="28"/>
          <w14:textFill>
            <w14:solidFill>
              <w14:schemeClr w14:val="tx1"/>
            </w14:solidFill>
          </w14:textFill>
        </w:rPr>
        <w:t>天书面通知乙方，乙方应积极协助和配合。</w:t>
      </w:r>
    </w:p>
    <w:p w14:paraId="0A3D68E6">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乙方如需对房屋进行装修改造或增扩设备时，应事先书面征得甲方的同意后，按规定向有关部门办理申报手续。审批通过后，应向甲方提交装修图纸，方可施工。未经甲方同意擅自装修的，提前解除合同时不给予补偿，且甲方</w:t>
      </w:r>
      <w:r>
        <w:rPr>
          <w:rFonts w:hint="eastAsia" w:ascii="仿宋_GB2312" w:hAnsi="仿宋_GB2312" w:eastAsia="仿宋_GB2312" w:cs="仿宋_GB2312"/>
          <w:color w:val="000000" w:themeColor="text1"/>
          <w:sz w:val="28"/>
          <w:szCs w:val="28"/>
          <w:lang w:eastAsia="zh"/>
          <w14:textFill>
            <w14:solidFill>
              <w14:schemeClr w14:val="tx1"/>
            </w14:solidFill>
          </w14:textFill>
        </w:rPr>
        <w:t>有权</w:t>
      </w:r>
      <w:r>
        <w:rPr>
          <w:rFonts w:hint="eastAsia" w:ascii="仿宋_GB2312" w:hAnsi="仿宋_GB2312" w:eastAsia="仿宋_GB2312" w:cs="仿宋_GB2312"/>
          <w:color w:val="000000" w:themeColor="text1"/>
          <w:sz w:val="28"/>
          <w:szCs w:val="28"/>
          <w14:textFill>
            <w14:solidFill>
              <w14:schemeClr w14:val="tx1"/>
            </w14:solidFill>
          </w14:textFill>
        </w:rPr>
        <w:t>要求恢复原状。本租赁合同期满或乙方提前解除合同的，对乙方自行装修的添附物甲方不作任何补偿。甲方有权要求乙方自行拆除装修添附物，恢复甲方出租时的原状，若乙方未予恢复的，甲方有权</w:t>
      </w:r>
      <w:r>
        <w:rPr>
          <w:rFonts w:ascii="仿宋_GB2312" w:hAnsi="仿宋_GB2312" w:eastAsia="仿宋_GB2312" w:cs="仿宋_GB2312"/>
          <w:color w:val="000000" w:themeColor="text1"/>
          <w:sz w:val="28"/>
          <w:szCs w:val="28"/>
          <w14:textFill>
            <w14:solidFill>
              <w14:schemeClr w14:val="tx1"/>
            </w14:solidFill>
          </w14:textFill>
        </w:rPr>
        <w:t>委托有资质的施工单位</w:t>
      </w:r>
      <w:r>
        <w:rPr>
          <w:rFonts w:hint="eastAsia" w:ascii="仿宋_GB2312" w:hAnsi="仿宋_GB2312" w:eastAsia="仿宋_GB2312" w:cs="仿宋_GB2312"/>
          <w:color w:val="000000" w:themeColor="text1"/>
          <w:sz w:val="28"/>
          <w:szCs w:val="28"/>
          <w14:textFill>
            <w14:solidFill>
              <w14:schemeClr w14:val="tx1"/>
            </w14:solidFill>
          </w14:textFill>
        </w:rPr>
        <w:t>恢复，所需费用由乙方承担，甲方可直接从履约保证金中扣除。</w:t>
      </w:r>
    </w:p>
    <w:p w14:paraId="40059DBE">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在租赁期限内，乙方因生产经营及其他行为导致噪声、排污、辐射等环境污染给任何第三人造成侵害，或遭受行政机关处罚的，由乙方负全责，除非能在甲方允许的期限内得以全部整改，否则甲方有权解除本租赁合同，乙方须支付</w:t>
      </w:r>
      <w:r>
        <w:rPr>
          <w:rFonts w:hint="eastAsia" w:ascii="仿宋_GB2312" w:hAnsi="仿宋_GB2312" w:eastAsia="仿宋_GB2312" w:cs="仿宋_GB2312"/>
          <w:b/>
          <w:color w:val="000000" w:themeColor="text1"/>
          <w:sz w:val="28"/>
          <w:szCs w:val="28"/>
          <w:u w:val="single"/>
          <w14:textFill>
            <w14:solidFill>
              <w14:schemeClr w14:val="tx1"/>
            </w14:solidFill>
          </w14:textFill>
        </w:rPr>
        <w:t>两个月房屋租金</w:t>
      </w:r>
      <w:r>
        <w:rPr>
          <w:rFonts w:hint="eastAsia" w:ascii="仿宋_GB2312" w:hAnsi="仿宋_GB2312" w:eastAsia="仿宋_GB2312" w:cs="仿宋_GB2312"/>
          <w:color w:val="000000" w:themeColor="text1"/>
          <w:sz w:val="28"/>
          <w:szCs w:val="28"/>
          <w14:textFill>
            <w14:solidFill>
              <w14:schemeClr w14:val="tx1"/>
            </w14:solidFill>
          </w14:textFill>
        </w:rPr>
        <w:t>作为违约金。若因与单位、居民发生纠纷，造成甲方损失，</w:t>
      </w:r>
      <w:r>
        <w:rPr>
          <w:rFonts w:hint="eastAsia" w:ascii="仿宋_GB2312" w:hAnsi="仿宋_GB2312" w:eastAsia="仿宋_GB2312" w:cs="仿宋_GB2312"/>
          <w:color w:val="000000" w:themeColor="text1"/>
          <w:sz w:val="28"/>
          <w:szCs w:val="28"/>
          <w:lang w:eastAsia="zh"/>
          <w14:textFill>
            <w14:solidFill>
              <w14:schemeClr w14:val="tx1"/>
            </w14:solidFill>
          </w14:textFill>
        </w:rPr>
        <w:t>由乙方自行解决，并负全部责任，</w:t>
      </w:r>
      <w:r>
        <w:rPr>
          <w:rFonts w:hint="eastAsia" w:ascii="仿宋_GB2312" w:hAnsi="仿宋_GB2312" w:eastAsia="仿宋_GB2312" w:cs="仿宋_GB2312"/>
          <w:color w:val="000000" w:themeColor="text1"/>
          <w:sz w:val="28"/>
          <w:szCs w:val="28"/>
          <w14:textFill>
            <w14:solidFill>
              <w14:schemeClr w14:val="tx1"/>
            </w14:solidFill>
          </w14:textFill>
        </w:rPr>
        <w:t>违约金不足弥补甲方损失的，乙方还应</w:t>
      </w:r>
      <w:r>
        <w:rPr>
          <w:rFonts w:hint="eastAsia" w:ascii="仿宋_GB2312" w:hAnsi="仿宋_GB2312" w:eastAsia="仿宋_GB2312" w:cs="仿宋_GB2312"/>
          <w:color w:val="000000" w:themeColor="text1"/>
          <w:sz w:val="28"/>
          <w:szCs w:val="28"/>
          <w:lang w:eastAsia="zh"/>
          <w14:textFill>
            <w14:solidFill>
              <w14:schemeClr w14:val="tx1"/>
            </w14:solidFill>
          </w14:textFill>
        </w:rPr>
        <w:t>补足</w:t>
      </w:r>
      <w:r>
        <w:rPr>
          <w:rFonts w:hint="eastAsia" w:ascii="仿宋_GB2312" w:hAnsi="仿宋_GB2312" w:eastAsia="仿宋_GB2312" w:cs="仿宋_GB2312"/>
          <w:color w:val="000000" w:themeColor="text1"/>
          <w:sz w:val="28"/>
          <w:szCs w:val="28"/>
          <w14:textFill>
            <w14:solidFill>
              <w14:schemeClr w14:val="tx1"/>
            </w14:solidFill>
          </w14:textFill>
        </w:rPr>
        <w:t>赔偿。</w:t>
      </w:r>
    </w:p>
    <w:p w14:paraId="6B4BD431">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为确保乙方严格遵循前述装修管理要求，乙方应在本合同签订之日起10个工作日内缴纳装修保证金人民币</w:t>
      </w:r>
      <w:r>
        <w:rPr>
          <w:rFonts w:hint="eastAsia" w:ascii="仿宋_GB2312" w:hAnsi="仿宋_GB2312" w:eastAsia="仿宋_GB2312" w:cs="仿宋_GB2312"/>
          <w:b/>
          <w:color w:val="000000" w:themeColor="text1"/>
          <w:sz w:val="28"/>
          <w:szCs w:val="28"/>
          <w:u w:val="single"/>
          <w14:textFill>
            <w14:solidFill>
              <w14:schemeClr w14:val="tx1"/>
            </w14:solidFill>
          </w14:textFill>
        </w:rPr>
        <w:t xml:space="preserve">  贰万  </w:t>
      </w:r>
      <w:r>
        <w:rPr>
          <w:rFonts w:hint="eastAsia" w:ascii="仿宋_GB2312" w:hAnsi="仿宋_GB2312" w:eastAsia="仿宋_GB2312" w:cs="仿宋_GB2312"/>
          <w:color w:val="000000" w:themeColor="text1"/>
          <w:sz w:val="28"/>
          <w:szCs w:val="28"/>
          <w14:textFill>
            <w14:solidFill>
              <w14:schemeClr w14:val="tx1"/>
            </w14:solidFill>
          </w14:textFill>
        </w:rPr>
        <w:t>元整（金额同履约保证金）。待装修结束领取消防验收意见书后20个工作日内予以无息退还。</w:t>
      </w:r>
    </w:p>
    <w:p w14:paraId="45902257">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如因不可抗力的原因而使所租房屋及其设备损坏的，双方互不承担违约责任，对损坏部分的维修责任按照第七条约定实施。根据所有权归属，自行承担相应损失。若不可抗力导致合同无法继续履行的，双方对合同解除互不承担责任。不可抗力系指不能预见、不能避免且不能克服的客观情况，包括但不限于自然灾害、战争、征收、拆迁等。</w:t>
      </w:r>
    </w:p>
    <w:p w14:paraId="0278EBB2">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十一、租赁期内，甲方如因征迁、转让、抵押、企业改制等原因，可提前解除本合同,但应提前</w:t>
      </w:r>
      <w:r>
        <w:rPr>
          <w:rFonts w:hint="eastAsia" w:ascii="仿宋_GB2312" w:hAnsi="仿宋_GB2312" w:eastAsia="仿宋_GB2312" w:cs="仿宋_GB2312"/>
          <w:b/>
          <w:bCs/>
          <w:color w:val="000000" w:themeColor="text1"/>
          <w:sz w:val="28"/>
          <w:szCs w:val="28"/>
          <w14:textFill>
            <w14:solidFill>
              <w14:schemeClr w14:val="tx1"/>
            </w14:solidFill>
          </w14:textFill>
        </w:rPr>
        <w:t>贰</w:t>
      </w:r>
      <w:r>
        <w:rPr>
          <w:rFonts w:hint="eastAsia" w:ascii="仿宋_GB2312" w:hAnsi="仿宋_GB2312" w:eastAsia="仿宋_GB2312" w:cs="仿宋_GB2312"/>
          <w:b/>
          <w:color w:val="000000" w:themeColor="text1"/>
          <w:sz w:val="28"/>
          <w:szCs w:val="28"/>
          <w14:textFill>
            <w14:solidFill>
              <w14:schemeClr w14:val="tx1"/>
            </w14:solidFill>
          </w14:textFill>
        </w:rPr>
        <w:t>个月</w:t>
      </w:r>
      <w:r>
        <w:rPr>
          <w:rFonts w:hint="eastAsia" w:ascii="仿宋_GB2312" w:hAnsi="仿宋_GB2312" w:eastAsia="仿宋_GB2312" w:cs="仿宋_GB2312"/>
          <w:color w:val="000000" w:themeColor="text1"/>
          <w:sz w:val="28"/>
          <w:szCs w:val="28"/>
          <w14:textFill>
            <w14:solidFill>
              <w14:schemeClr w14:val="tx1"/>
            </w14:solidFill>
          </w14:textFill>
        </w:rPr>
        <w:t>通知乙方，甲方不对乙方做任何赔偿。</w:t>
      </w:r>
    </w:p>
    <w:p w14:paraId="3FC73EAA">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十二、租赁期内，乙方有下列行为之一的，甲方有权终止本合同，无条件收回该房屋，已收取的租金不予退还，由此而造成甲方损失的，乙方应予以赔偿：</w:t>
      </w:r>
    </w:p>
    <w:p w14:paraId="2FCBB166">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（一）擅自改变本合同规定的租赁用途。</w:t>
      </w:r>
    </w:p>
    <w:p w14:paraId="331E6CDF">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（二）利用该房屋或容留他人在该房屋内进行违法违规活动。</w:t>
      </w:r>
    </w:p>
    <w:p w14:paraId="61B90677">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未经甲方及有关部门书面同意，擅自进行装修或擅自拆改变动房屋结构，或损坏房屋主体，在收到甲方书面通知后，未在限定时间内完成修复的，且经评估确认主体损坏事实的，乙方应承担全部修复费用及相关损失。</w:t>
      </w:r>
    </w:p>
    <w:p w14:paraId="139231FF">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w:t>
      </w:r>
      <w:bookmarkStart w:id="0" w:name="_Hlk43218083"/>
      <w:r>
        <w:rPr>
          <w:rFonts w:hint="eastAsia" w:ascii="仿宋_GB2312" w:hAnsi="仿宋_GB2312" w:eastAsia="仿宋_GB2312" w:cs="仿宋_GB2312"/>
          <w:color w:val="000000" w:themeColor="text1"/>
          <w:sz w:val="28"/>
          <w:szCs w:val="28"/>
          <w14:textFill>
            <w14:solidFill>
              <w14:schemeClr w14:val="tx1"/>
            </w14:solidFill>
          </w14:textFill>
        </w:rPr>
        <w:t>未经甲方书面同意，擅自将房屋转租、转让、转借他人或调换使用的。</w:t>
      </w:r>
      <w:bookmarkEnd w:id="0"/>
      <w:r>
        <w:rPr>
          <w:rFonts w:hint="eastAsia" w:ascii="仿宋_GB2312" w:hAnsi="仿宋_GB2312" w:eastAsia="仿宋_GB2312" w:cs="仿宋_GB2312"/>
          <w:color w:val="000000" w:themeColor="text1"/>
          <w:sz w:val="28"/>
          <w:szCs w:val="28"/>
          <w14:textFill>
            <w14:solidFill>
              <w14:schemeClr w14:val="tx1"/>
            </w14:solidFill>
          </w14:textFill>
        </w:rPr>
        <w:t>租赁期内该房屋全部或部分被用作乙方本人（单位）以外的其他任何单位的办公、经营、仓储等用途的，视为乙方擅自转租、转让、转借、调换。</w:t>
      </w:r>
    </w:p>
    <w:p w14:paraId="752A6351">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（五）拖欠租金或其它应由乙方承担的费用累计</w:t>
      </w:r>
      <w:r>
        <w:rPr>
          <w:rFonts w:hint="eastAsia" w:ascii="仿宋_GB2312" w:hAnsi="仿宋_GB2312" w:eastAsia="仿宋_GB2312" w:cs="仿宋_GB2312"/>
          <w:b/>
          <w:color w:val="000000" w:themeColor="text1"/>
          <w:sz w:val="28"/>
          <w:szCs w:val="28"/>
          <w:u w:val="single"/>
          <w14:textFill>
            <w14:solidFill>
              <w14:schemeClr w14:val="tx1"/>
            </w14:solidFill>
          </w14:textFill>
        </w:rPr>
        <w:t>20天</w:t>
      </w:r>
      <w:r>
        <w:rPr>
          <w:rFonts w:hint="eastAsia" w:ascii="仿宋_GB2312" w:hAnsi="仿宋_GB2312" w:eastAsia="仿宋_GB2312" w:cs="仿宋_GB2312"/>
          <w:color w:val="000000" w:themeColor="text1"/>
          <w:sz w:val="28"/>
          <w:szCs w:val="28"/>
          <w14:textFill>
            <w14:solidFill>
              <w14:schemeClr w14:val="tx1"/>
            </w14:solidFill>
          </w14:textFill>
        </w:rPr>
        <w:t>以上的。</w:t>
      </w:r>
    </w:p>
    <w:p w14:paraId="17233EFB">
      <w:pPr>
        <w:spacing w:line="500" w:lineRule="exact"/>
        <w:ind w:left="120" w:leftChars="57" w:firstLine="420" w:firstLineChars="1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十三、甲方应在:</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日前将出租的房屋交付乙方使用。如甲方逾期不交房屋的，则每逾期一天应向乙方支付原年租金</w:t>
      </w:r>
      <w:r>
        <w:rPr>
          <w:rFonts w:hint="eastAsia" w:ascii="仿宋_GB2312" w:hAnsi="仿宋_GB2312" w:eastAsia="仿宋_GB2312" w:cs="仿宋_GB2312"/>
          <w:b/>
          <w:color w:val="000000" w:themeColor="text1"/>
          <w:sz w:val="28"/>
          <w:szCs w:val="28"/>
          <w14:textFill>
            <w14:solidFill>
              <w14:schemeClr w14:val="tx1"/>
            </w14:solidFill>
          </w14:textFill>
        </w:rPr>
        <w:t>万分之三</w:t>
      </w:r>
      <w:r>
        <w:rPr>
          <w:rFonts w:hint="eastAsia" w:ascii="仿宋_GB2312" w:hAnsi="仿宋_GB2312" w:eastAsia="仿宋_GB2312" w:cs="仿宋_GB2312"/>
          <w:color w:val="000000" w:themeColor="text1"/>
          <w:sz w:val="28"/>
          <w:szCs w:val="28"/>
          <w14:textFill>
            <w14:solidFill>
              <w14:schemeClr w14:val="tx1"/>
            </w14:solidFill>
          </w14:textFill>
        </w:rPr>
        <w:t>的违约金。</w:t>
      </w:r>
    </w:p>
    <w:p w14:paraId="66E3423A">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十四、租赁期内，甲方无正当理由，提前收回该房屋的，甲方应按当年月租金的</w:t>
      </w:r>
      <w:r>
        <w:rPr>
          <w:rFonts w:hint="eastAsia" w:ascii="仿宋_GB2312" w:hAnsi="仿宋_GB2312" w:eastAsia="仿宋_GB2312" w:cs="仿宋_GB2312"/>
          <w:b/>
          <w:bCs/>
          <w:color w:val="000000" w:themeColor="text1"/>
          <w:sz w:val="28"/>
          <w:szCs w:val="28"/>
          <w14:textFill>
            <w14:solidFill>
              <w14:schemeClr w14:val="tx1"/>
            </w14:solidFill>
          </w14:textFill>
        </w:rPr>
        <w:t>贰</w:t>
      </w:r>
      <w:r>
        <w:rPr>
          <w:rFonts w:hint="eastAsia" w:ascii="仿宋_GB2312" w:hAnsi="仿宋_GB2312" w:eastAsia="仿宋_GB2312" w:cs="仿宋_GB2312"/>
          <w:b/>
          <w:color w:val="000000" w:themeColor="text1"/>
          <w:sz w:val="28"/>
          <w:szCs w:val="28"/>
          <w14:textFill>
            <w14:solidFill>
              <w14:schemeClr w14:val="tx1"/>
            </w14:solidFill>
          </w14:textFill>
        </w:rPr>
        <w:t>倍</w:t>
      </w:r>
      <w:r>
        <w:rPr>
          <w:rFonts w:hint="eastAsia" w:ascii="仿宋_GB2312" w:hAnsi="仿宋_GB2312" w:eastAsia="仿宋_GB2312" w:cs="仿宋_GB2312"/>
          <w:color w:val="000000" w:themeColor="text1"/>
          <w:sz w:val="28"/>
          <w:szCs w:val="28"/>
          <w14:textFill>
            <w14:solidFill>
              <w14:schemeClr w14:val="tx1"/>
            </w14:solidFill>
          </w14:textFill>
        </w:rPr>
        <w:t>向乙方支付违约金。乙方未经甲方同意中途擅自退租的（乙方应提前一个月向甲方书面提出退租申请，若乙方未能提前一个月向甲方书面提出退租申请，甲乙双方实际解除本合同的时间将自甲方实际收到乙方所提书面退租申请之日起向后顺延一个月，顺延期间所产生的租金由乙方承担），乙方应按当年月租金的</w:t>
      </w:r>
      <w:r>
        <w:rPr>
          <w:rFonts w:hint="eastAsia" w:ascii="仿宋_GB2312" w:hAnsi="仿宋_GB2312" w:eastAsia="仿宋_GB2312" w:cs="仿宋_GB2312"/>
          <w:b/>
          <w:bCs/>
          <w:color w:val="000000" w:themeColor="text1"/>
          <w:sz w:val="28"/>
          <w:szCs w:val="28"/>
          <w14:textFill>
            <w14:solidFill>
              <w14:schemeClr w14:val="tx1"/>
            </w14:solidFill>
          </w14:textFill>
        </w:rPr>
        <w:t>贰</w:t>
      </w:r>
      <w:r>
        <w:rPr>
          <w:rFonts w:hint="eastAsia" w:ascii="仿宋_GB2312" w:hAnsi="仿宋_GB2312" w:eastAsia="仿宋_GB2312" w:cs="仿宋_GB2312"/>
          <w:b/>
          <w:color w:val="000000" w:themeColor="text1"/>
          <w:sz w:val="28"/>
          <w:szCs w:val="28"/>
          <w14:textFill>
            <w14:solidFill>
              <w14:schemeClr w14:val="tx1"/>
            </w14:solidFill>
          </w14:textFill>
        </w:rPr>
        <w:t>倍</w:t>
      </w:r>
      <w:r>
        <w:rPr>
          <w:rFonts w:hint="eastAsia" w:ascii="仿宋_GB2312" w:hAnsi="仿宋_GB2312" w:eastAsia="仿宋_GB2312" w:cs="仿宋_GB2312"/>
          <w:color w:val="000000" w:themeColor="text1"/>
          <w:sz w:val="28"/>
          <w:szCs w:val="28"/>
          <w14:textFill>
            <w14:solidFill>
              <w14:schemeClr w14:val="tx1"/>
            </w14:solidFill>
          </w14:textFill>
        </w:rPr>
        <w:t>向甲方支付违约金。</w:t>
      </w:r>
    </w:p>
    <w:p w14:paraId="48F54EB3">
      <w:pPr>
        <w:spacing w:line="5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十五、租赁期满或合同期内提前解约的，甲方应提前通知，乙方应按时归还房屋，并搬离房屋内物品、设备、设施。逾期之日起且直至甲方实际收回前，乙方每逾期一天应向甲方支付原日租金</w:t>
      </w:r>
      <w:r>
        <w:rPr>
          <w:rFonts w:hint="eastAsia" w:ascii="仿宋_GB2312" w:hAnsi="仿宋_GB2312" w:eastAsia="仿宋_GB2312" w:cs="仿宋_GB2312"/>
          <w:b/>
          <w:color w:val="000000" w:themeColor="text1"/>
          <w:sz w:val="28"/>
          <w:szCs w:val="28"/>
          <w14:textFill>
            <w14:solidFill>
              <w14:schemeClr w14:val="tx1"/>
            </w14:solidFill>
          </w14:textFill>
        </w:rPr>
        <w:t>贰倍</w:t>
      </w:r>
      <w:r>
        <w:rPr>
          <w:rFonts w:hint="eastAsia" w:ascii="仿宋_GB2312" w:hAnsi="仿宋_GB2312" w:eastAsia="仿宋_GB2312" w:cs="仿宋_GB2312"/>
          <w:color w:val="000000" w:themeColor="text1"/>
          <w:sz w:val="28"/>
          <w:szCs w:val="28"/>
          <w14:textFill>
            <w14:solidFill>
              <w14:schemeClr w14:val="tx1"/>
            </w14:solidFill>
          </w14:textFill>
        </w:rPr>
        <w:t>的违约金。如乙方超过7天未腾空房屋的，甲方可强行收回，乙方遗留在房屋内的物品视为乙方已放弃所有权（自动抛弃），甲方可随意处置，乙方承担物品处理费用。</w:t>
      </w:r>
    </w:p>
    <w:p w14:paraId="1FEA7C08">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十六、合同发生争议，由当事人协商解决，协商不成的依法向房产所在地有管辖权的人民法院诉讼解决。</w:t>
      </w:r>
    </w:p>
    <w:p w14:paraId="5DF32E4C">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十七、未经双方一致书面同意，合同条款不得变更。本合同未尽事宜经甲、乙双方协商一致，可订立补充协议。但补充条款应符合国家、省、市有关房屋租赁管理规定。</w:t>
      </w:r>
    </w:p>
    <w:p w14:paraId="6717515C">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十八、本合同一式</w:t>
      </w:r>
      <w:r>
        <w:rPr>
          <w:rFonts w:hint="eastAsia" w:ascii="仿宋_GB2312" w:hAnsi="仿宋_GB2312" w:eastAsia="仿宋_GB2312" w:cs="仿宋_GB2312"/>
          <w:b/>
          <w:color w:val="000000" w:themeColor="text1"/>
          <w:sz w:val="28"/>
          <w:szCs w:val="28"/>
          <w:u w:val="single"/>
          <w14:textFill>
            <w14:solidFill>
              <w14:schemeClr w14:val="tx1"/>
            </w14:solidFill>
          </w14:textFill>
        </w:rPr>
        <w:t>捌</w:t>
      </w:r>
      <w:r>
        <w:rPr>
          <w:rFonts w:hint="eastAsia" w:ascii="仿宋_GB2312" w:hAnsi="仿宋_GB2312" w:eastAsia="仿宋_GB2312" w:cs="仿宋_GB2312"/>
          <w:color w:val="000000" w:themeColor="text1"/>
          <w:sz w:val="28"/>
          <w:szCs w:val="28"/>
          <w14:textFill>
            <w14:solidFill>
              <w14:schemeClr w14:val="tx1"/>
            </w14:solidFill>
          </w14:textFill>
        </w:rPr>
        <w:t>份，甲方执</w:t>
      </w:r>
      <w:r>
        <w:rPr>
          <w:rFonts w:hint="eastAsia" w:ascii="仿宋_GB2312" w:hAnsi="仿宋_GB2312" w:eastAsia="仿宋_GB2312" w:cs="仿宋_GB2312"/>
          <w:b/>
          <w:color w:val="000000" w:themeColor="text1"/>
          <w:sz w:val="28"/>
          <w:szCs w:val="28"/>
          <w:u w:val="single"/>
          <w14:textFill>
            <w14:solidFill>
              <w14:schemeClr w14:val="tx1"/>
            </w14:solidFill>
          </w14:textFill>
        </w:rPr>
        <w:t>肆</w:t>
      </w:r>
      <w:r>
        <w:rPr>
          <w:rFonts w:hint="eastAsia" w:ascii="仿宋_GB2312" w:hAnsi="仿宋_GB2312" w:eastAsia="仿宋_GB2312" w:cs="仿宋_GB2312"/>
          <w:color w:val="000000" w:themeColor="text1"/>
          <w:sz w:val="28"/>
          <w:szCs w:val="28"/>
          <w14:textFill>
            <w14:solidFill>
              <w14:schemeClr w14:val="tx1"/>
            </w14:solidFill>
          </w14:textFill>
        </w:rPr>
        <w:t>份，乙方执</w:t>
      </w:r>
      <w:r>
        <w:rPr>
          <w:rFonts w:hint="eastAsia" w:ascii="仿宋_GB2312" w:hAnsi="仿宋_GB2312" w:eastAsia="仿宋_GB2312" w:cs="仿宋_GB2312"/>
          <w:b/>
          <w:bCs/>
          <w:color w:val="000000" w:themeColor="text1"/>
          <w:sz w:val="28"/>
          <w:szCs w:val="28"/>
          <w:u w:val="single"/>
          <w14:textFill>
            <w14:solidFill>
              <w14:schemeClr w14:val="tx1"/>
            </w14:solidFill>
          </w14:textFill>
        </w:rPr>
        <w:t>叁</w:t>
      </w:r>
      <w:r>
        <w:rPr>
          <w:rFonts w:hint="eastAsia" w:ascii="仿宋_GB2312" w:hAnsi="仿宋_GB2312" w:eastAsia="仿宋_GB2312" w:cs="仿宋_GB2312"/>
          <w:color w:val="000000" w:themeColor="text1"/>
          <w:sz w:val="28"/>
          <w:szCs w:val="28"/>
          <w14:textFill>
            <w14:solidFill>
              <w14:schemeClr w14:val="tx1"/>
            </w14:solidFill>
          </w14:textFill>
        </w:rPr>
        <w:t>份，留存杭交所</w:t>
      </w:r>
      <w:r>
        <w:rPr>
          <w:rFonts w:hint="eastAsia" w:ascii="仿宋_GB2312" w:hAnsi="仿宋_GB2312" w:eastAsia="仿宋_GB2312" w:cs="仿宋_GB2312"/>
          <w:b/>
          <w:bCs/>
          <w:color w:val="000000" w:themeColor="text1"/>
          <w:sz w:val="28"/>
          <w:szCs w:val="28"/>
          <w:u w:val="single"/>
          <w14:textFill>
            <w14:solidFill>
              <w14:schemeClr w14:val="tx1"/>
            </w14:solidFill>
          </w14:textFill>
        </w:rPr>
        <w:t>壹</w:t>
      </w:r>
      <w:r>
        <w:rPr>
          <w:rFonts w:hint="eastAsia" w:ascii="仿宋_GB2312" w:hAnsi="仿宋_GB2312" w:eastAsia="仿宋_GB2312" w:cs="仿宋_GB2312"/>
          <w:color w:val="000000" w:themeColor="text1"/>
          <w:sz w:val="28"/>
          <w:szCs w:val="28"/>
          <w14:textFill>
            <w14:solidFill>
              <w14:schemeClr w14:val="tx1"/>
            </w14:solidFill>
          </w14:textFill>
        </w:rPr>
        <w:t xml:space="preserve">份。 </w:t>
      </w:r>
    </w:p>
    <w:p w14:paraId="7FA56686">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十九、双方约定的其他事项：</w:t>
      </w:r>
    </w:p>
    <w:p w14:paraId="5EB2D69C">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（一）乙方应保证守法经营，确保使用的火、电、防盗等安全事项接受相关管理部门、社会组织及甲方的监督、检查，并对各安全事项负全责。</w:t>
      </w:r>
    </w:p>
    <w:p w14:paraId="5FA80123">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（二）其它如</w:t>
      </w:r>
      <w:r>
        <w:rPr>
          <w:rFonts w:hint="eastAsia" w:ascii="仿宋_GB2312" w:hAnsi="仿宋_GB2312" w:eastAsia="仿宋_GB2312" w:cs="仿宋_GB2312"/>
          <w:b/>
          <w:color w:val="000000" w:themeColor="text1"/>
          <w:sz w:val="28"/>
          <w:szCs w:val="28"/>
          <w:u w:val="single"/>
          <w14:textFill>
            <w14:solidFill>
              <w14:schemeClr w14:val="tx1"/>
            </w14:solidFill>
          </w14:textFill>
        </w:rPr>
        <w:t>物业管理费、卫生保洁费、水电费</w:t>
      </w:r>
      <w:r>
        <w:rPr>
          <w:rFonts w:hint="eastAsia" w:ascii="仿宋_GB2312" w:hAnsi="仿宋_GB2312" w:eastAsia="仿宋_GB2312" w:cs="仿宋_GB2312"/>
          <w:color w:val="000000" w:themeColor="text1"/>
          <w:sz w:val="28"/>
          <w:szCs w:val="28"/>
          <w14:textFill>
            <w14:solidFill>
              <w14:schemeClr w14:val="tx1"/>
            </w14:solidFill>
          </w14:textFill>
        </w:rPr>
        <w:t>等相关费用由乙方自行承担，物业费由乙方自行缴纳至</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横缘居社区</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14:paraId="5B89C9F4">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（三）乙方承诺不对甲方工作人员行贿，如乙方或乙方的工作人员对甲方人员行贿的，则甲方有权解除本合同，并要求乙方赔偿因此所造成的损失。</w:t>
      </w:r>
    </w:p>
    <w:p w14:paraId="4CFCD636">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（四）如乙方或乙方的工作人员对甲方人员行贿的，就乙方该行为，甲方保留在相关媒体、网站等对外发布的权利。</w:t>
      </w:r>
    </w:p>
    <w:p w14:paraId="514B66FD">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（五）甲方在本合同签订后应无偿提供房产权证及相应资料，并协助乙方办理相关证照。</w:t>
      </w:r>
    </w:p>
    <w:p w14:paraId="2A3C432C">
      <w:pPr>
        <w:spacing w:line="360" w:lineRule="auto"/>
        <w:ind w:left="5740" w:hanging="5740" w:hangingChars="2050"/>
        <w:rPr>
          <w:rFonts w:ascii="仿宋_GB2312" w:hAnsi="仿宋_GB2312" w:eastAsia="仿宋_GB2312" w:cs="仿宋_GB2312"/>
          <w:color w:val="000000" w:themeColor="text1"/>
          <w:sz w:val="28"/>
          <w:szCs w:val="28"/>
          <w14:textFill>
            <w14:solidFill>
              <w14:schemeClr w14:val="tx1"/>
            </w14:solidFill>
          </w14:textFill>
        </w:rPr>
      </w:pPr>
    </w:p>
    <w:p w14:paraId="790B54A9">
      <w:pPr>
        <w:spacing w:line="360" w:lineRule="auto"/>
        <w:ind w:left="5740" w:hanging="5740" w:hangingChars="20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甲方：杭州市军粮供应中心 </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乙方：</w:t>
      </w:r>
    </w:p>
    <w:p w14:paraId="5CC95534">
      <w:pPr>
        <w:spacing w:line="360" w:lineRule="auto"/>
        <w:ind w:left="5740" w:hanging="5740" w:hangingChars="20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地址: </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地址: </w:t>
      </w:r>
    </w:p>
    <w:p w14:paraId="3C358F44">
      <w:pPr>
        <w:spacing w:line="360" w:lineRule="auto"/>
        <w:ind w:left="5740" w:hanging="5740" w:hangingChars="20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委托代理人：                  委托代理人:</w:t>
      </w:r>
    </w:p>
    <w:p w14:paraId="30F75827">
      <w:pPr>
        <w:spacing w:line="360" w:lineRule="auto"/>
        <w:ind w:left="5740" w:hanging="5740" w:hangingChars="20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联系电话:                     联系电话:</w:t>
      </w:r>
    </w:p>
    <w:p w14:paraId="71751C41">
      <w:pPr>
        <w:spacing w:line="360" w:lineRule="auto"/>
        <w:ind w:left="5740" w:hanging="5740" w:hangingChars="2050"/>
        <w:rPr>
          <w:rFonts w:ascii="仿宋" w:hAnsi="仿宋" w:eastAsia="仿宋"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签订日期:    年  月  日       签订日期:   年  月  日 </w:t>
      </w:r>
      <w:r>
        <w:rPr>
          <w:rFonts w:hint="eastAsia" w:ascii="仿宋" w:hAnsi="仿宋" w:eastAsia="仿宋" w:cs="仿宋_GB2312"/>
          <w:color w:val="000000" w:themeColor="text1"/>
          <w:sz w:val="30"/>
          <w:szCs w:val="30"/>
          <w14:textFill>
            <w14:solidFill>
              <w14:schemeClr w14:val="tx1"/>
            </w14:solidFill>
          </w14:textFill>
        </w:rPr>
        <w:t xml:space="preserve"> </w:t>
      </w:r>
    </w:p>
    <w:p w14:paraId="6A513535">
      <w:pPr>
        <w:spacing w:line="276" w:lineRule="auto"/>
        <w:jc w:val="center"/>
        <w:rPr>
          <w:rFonts w:ascii="方正大标宋简体" w:hAnsi="宋体" w:eastAsia="方正大标宋简体" w:cs="宋体"/>
          <w:bCs/>
          <w:sz w:val="44"/>
          <w:szCs w:val="44"/>
        </w:rPr>
      </w:pPr>
    </w:p>
    <w:p w14:paraId="7491AD5C">
      <w:pPr>
        <w:spacing w:line="276" w:lineRule="auto"/>
        <w:jc w:val="center"/>
        <w:rPr>
          <w:rFonts w:ascii="方正大标宋简体" w:hAnsi="宋体" w:eastAsia="方正大标宋简体" w:cs="宋体"/>
          <w:bCs/>
          <w:sz w:val="44"/>
          <w:szCs w:val="44"/>
        </w:rPr>
      </w:pPr>
    </w:p>
    <w:p w14:paraId="69D21712">
      <w:pPr>
        <w:spacing w:line="276" w:lineRule="auto"/>
        <w:jc w:val="center"/>
        <w:rPr>
          <w:rFonts w:ascii="方正大标宋简体" w:hAnsi="宋体" w:eastAsia="方正大标宋简体" w:cs="宋体"/>
          <w:bCs/>
          <w:sz w:val="44"/>
          <w:szCs w:val="44"/>
        </w:rPr>
      </w:pPr>
    </w:p>
    <w:p w14:paraId="129A952C">
      <w:pPr>
        <w:spacing w:line="276" w:lineRule="auto"/>
        <w:jc w:val="center"/>
        <w:rPr>
          <w:rFonts w:ascii="方正大标宋简体" w:hAnsi="宋体" w:eastAsia="方正大标宋简体" w:cs="宋体"/>
          <w:bCs/>
          <w:sz w:val="44"/>
          <w:szCs w:val="44"/>
        </w:rPr>
      </w:pPr>
    </w:p>
    <w:p w14:paraId="7E78B834">
      <w:pPr>
        <w:spacing w:line="276" w:lineRule="auto"/>
        <w:jc w:val="center"/>
        <w:rPr>
          <w:rFonts w:ascii="方正大标宋简体" w:hAnsi="宋体" w:eastAsia="方正大标宋简体" w:cs="宋体"/>
          <w:bCs/>
          <w:sz w:val="44"/>
          <w:szCs w:val="44"/>
        </w:rPr>
      </w:pPr>
    </w:p>
    <w:p w14:paraId="51611C80">
      <w:pPr>
        <w:spacing w:line="276" w:lineRule="auto"/>
        <w:jc w:val="center"/>
        <w:rPr>
          <w:rFonts w:ascii="方正大标宋简体" w:hAnsi="宋体" w:eastAsia="方正大标宋简体" w:cs="宋体"/>
          <w:bCs/>
          <w:sz w:val="44"/>
          <w:szCs w:val="44"/>
        </w:rPr>
      </w:pPr>
    </w:p>
    <w:p w14:paraId="5CB77FA1">
      <w:pPr>
        <w:spacing w:line="276" w:lineRule="auto"/>
        <w:jc w:val="center"/>
        <w:rPr>
          <w:rFonts w:ascii="方正大标宋简体" w:hAnsi="宋体" w:eastAsia="方正大标宋简体" w:cs="宋体"/>
          <w:bCs/>
          <w:sz w:val="44"/>
          <w:szCs w:val="44"/>
        </w:rPr>
      </w:pPr>
    </w:p>
    <w:p w14:paraId="2771443F">
      <w:pPr>
        <w:spacing w:line="276" w:lineRule="auto"/>
        <w:jc w:val="center"/>
        <w:rPr>
          <w:rFonts w:ascii="方正大标宋简体" w:hAnsi="宋体" w:eastAsia="方正大标宋简体" w:cs="宋体"/>
          <w:bCs/>
          <w:sz w:val="44"/>
          <w:szCs w:val="44"/>
        </w:rPr>
      </w:pPr>
    </w:p>
    <w:p w14:paraId="581F2A87">
      <w:pPr>
        <w:spacing w:line="276" w:lineRule="auto"/>
        <w:jc w:val="center"/>
        <w:rPr>
          <w:rFonts w:ascii="方正大标宋简体" w:hAnsi="宋体" w:eastAsia="方正大标宋简体" w:cs="宋体"/>
          <w:bCs/>
          <w:sz w:val="44"/>
          <w:szCs w:val="44"/>
        </w:rPr>
      </w:pPr>
    </w:p>
    <w:p w14:paraId="291356DF">
      <w:pPr>
        <w:spacing w:line="276" w:lineRule="auto"/>
        <w:jc w:val="both"/>
        <w:rPr>
          <w:rFonts w:hint="eastAsia" w:ascii="方正大标宋简体" w:hAnsi="宋体" w:eastAsia="方正大标宋简体" w:cs="宋体"/>
          <w:bCs/>
          <w:sz w:val="44"/>
          <w:szCs w:val="44"/>
        </w:rPr>
      </w:pPr>
    </w:p>
    <w:p w14:paraId="2E305F6C">
      <w:pPr>
        <w:spacing w:line="276" w:lineRule="auto"/>
        <w:ind w:firstLine="1320" w:firstLineChars="300"/>
        <w:jc w:val="both"/>
        <w:rPr>
          <w:rFonts w:ascii="方正大标宋简体" w:hAnsi="宋体" w:eastAsia="方正大标宋简体" w:cs="宋体"/>
          <w:bCs/>
          <w:sz w:val="44"/>
          <w:szCs w:val="44"/>
        </w:rPr>
      </w:pPr>
      <w:bookmarkStart w:id="1" w:name="_GoBack"/>
      <w:bookmarkEnd w:id="1"/>
      <w:r>
        <w:rPr>
          <w:rFonts w:hint="eastAsia" w:ascii="方正大标宋简体" w:hAnsi="宋体" w:eastAsia="方正大标宋简体" w:cs="宋体"/>
          <w:bCs/>
          <w:sz w:val="44"/>
          <w:szCs w:val="44"/>
        </w:rPr>
        <w:t>房产租赁安全、综治责任书</w:t>
      </w:r>
    </w:p>
    <w:p w14:paraId="7D3932F9">
      <w:pPr>
        <w:spacing w:line="500" w:lineRule="exact"/>
        <w:rPr>
          <w:rFonts w:ascii="华文仿宋" w:hAnsi="华文仿宋" w:eastAsia="华文仿宋"/>
          <w:sz w:val="28"/>
          <w:szCs w:val="28"/>
        </w:rPr>
      </w:pPr>
    </w:p>
    <w:p w14:paraId="44EBBCB6">
      <w:pPr>
        <w:spacing w:line="500" w:lineRule="exact"/>
        <w:rPr>
          <w:rFonts w:ascii="华文仿宋" w:hAnsi="华文仿宋" w:eastAsia="华文仿宋" w:cs="’Times New Roman’"/>
          <w:sz w:val="28"/>
          <w:szCs w:val="28"/>
        </w:rPr>
      </w:pPr>
      <w:r>
        <w:rPr>
          <w:rFonts w:hint="eastAsia" w:ascii="华文仿宋" w:hAnsi="华文仿宋" w:eastAsia="华文仿宋"/>
          <w:sz w:val="28"/>
          <w:szCs w:val="28"/>
        </w:rPr>
        <w:t>甲方：</w:t>
      </w:r>
      <w:r>
        <w:rPr>
          <w:rFonts w:hint="eastAsia" w:ascii="仿宋_GB2312" w:hAnsi="仿宋_GB2312" w:eastAsia="仿宋_GB2312" w:cs="仿宋_GB2312"/>
          <w:sz w:val="28"/>
          <w:szCs w:val="28"/>
        </w:rPr>
        <w:t xml:space="preserve">杭州市军粮供应中心 </w:t>
      </w:r>
      <w:r>
        <w:rPr>
          <w:rFonts w:ascii="华文仿宋" w:hAnsi="华文仿宋" w:eastAsia="华文仿宋" w:cs="’Times New Roman’"/>
          <w:sz w:val="28"/>
          <w:szCs w:val="28"/>
        </w:rPr>
        <w:t xml:space="preserve"> </w:t>
      </w:r>
    </w:p>
    <w:p w14:paraId="34A13751">
      <w:pPr>
        <w:spacing w:line="500" w:lineRule="exact"/>
        <w:ind w:left="5740" w:hanging="5740" w:hangingChars="2050"/>
        <w:rPr>
          <w:rFonts w:ascii="华文仿宋" w:hAnsi="华文仿宋" w:eastAsia="华文仿宋" w:cs="’Times New Roman’"/>
          <w:sz w:val="28"/>
          <w:szCs w:val="28"/>
        </w:rPr>
      </w:pPr>
      <w:r>
        <w:rPr>
          <w:rFonts w:hint="eastAsia" w:ascii="华文仿宋" w:hAnsi="华文仿宋" w:eastAsia="华文仿宋"/>
          <w:sz w:val="28"/>
          <w:szCs w:val="28"/>
        </w:rPr>
        <w:t xml:space="preserve">乙方： </w:t>
      </w:r>
    </w:p>
    <w:p w14:paraId="3729AEC8">
      <w:pPr>
        <w:spacing w:line="500" w:lineRule="exact"/>
        <w:ind w:firstLine="560" w:firstLineChars="200"/>
        <w:rPr>
          <w:rFonts w:ascii="华文仿宋" w:hAnsi="华文仿宋" w:eastAsia="华文仿宋" w:cs="仿宋_GB2312"/>
          <w:sz w:val="28"/>
          <w:szCs w:val="28"/>
        </w:rPr>
      </w:pPr>
    </w:p>
    <w:p w14:paraId="67D186CF">
      <w:pPr>
        <w:spacing w:line="500" w:lineRule="exact"/>
        <w:ind w:firstLine="560" w:firstLineChars="200"/>
        <w:rPr>
          <w:rFonts w:ascii="华文仿宋" w:hAnsi="华文仿宋" w:eastAsia="华文仿宋" w:cs="仿宋_GB2312"/>
          <w:sz w:val="28"/>
          <w:szCs w:val="28"/>
        </w:rPr>
      </w:pPr>
      <w:r>
        <w:rPr>
          <w:rFonts w:hint="eastAsia" w:ascii="华文仿宋" w:hAnsi="华文仿宋" w:eastAsia="华文仿宋" w:cs="仿宋_GB2312"/>
          <w:sz w:val="28"/>
          <w:szCs w:val="28"/>
        </w:rPr>
        <w:t>为进一步加强位于</w:t>
      </w:r>
      <w:r>
        <w:rPr>
          <w:rFonts w:hint="eastAsia" w:ascii="华文仿宋" w:hAnsi="华文仿宋" w:eastAsia="华文仿宋" w:cs="仿宋_GB2312"/>
          <w:sz w:val="28"/>
          <w:szCs w:val="28"/>
          <w:u w:val="single"/>
        </w:rPr>
        <w:t xml:space="preserve"> 杭州市西湖区横缘居2幢</w:t>
      </w:r>
      <w:r>
        <w:rPr>
          <w:rFonts w:ascii="华文仿宋" w:hAnsi="华文仿宋" w:eastAsia="华文仿宋" w:cs="仿宋_GB2312"/>
          <w:sz w:val="28"/>
          <w:szCs w:val="28"/>
          <w:u w:val="single"/>
        </w:rPr>
        <w:t>102室</w:t>
      </w:r>
      <w:r>
        <w:rPr>
          <w:rFonts w:hint="eastAsia" w:ascii="华文仿宋" w:hAnsi="华文仿宋" w:eastAsia="华文仿宋" w:cs="仿宋_GB2312"/>
          <w:sz w:val="28"/>
          <w:szCs w:val="28"/>
          <w:u w:val="single"/>
        </w:rPr>
        <w:t xml:space="preserve">及103室二层房屋 </w:t>
      </w:r>
      <w:r>
        <w:rPr>
          <w:rFonts w:ascii="华文仿宋" w:hAnsi="华文仿宋" w:eastAsia="华文仿宋" w:cs="仿宋_GB2312"/>
          <w:sz w:val="28"/>
          <w:szCs w:val="28"/>
          <w:u w:val="single"/>
        </w:rPr>
        <w:t xml:space="preserve"> </w:t>
      </w:r>
      <w:r>
        <w:rPr>
          <w:rFonts w:hint="eastAsia" w:ascii="华文仿宋" w:hAnsi="华文仿宋" w:eastAsia="华文仿宋" w:cs="仿宋_GB2312"/>
          <w:sz w:val="28"/>
          <w:szCs w:val="28"/>
        </w:rPr>
        <w:t>的房产安全、治安、消防工作，防止各类刑事案件及火灾、爆炸、人身伤亡等灾害事故的发生，经甲、乙双方共同协商，签订以下安全责任书：</w:t>
      </w:r>
    </w:p>
    <w:p w14:paraId="62F657BF">
      <w:pPr>
        <w:spacing w:line="500" w:lineRule="exact"/>
        <w:ind w:firstLine="560" w:firstLineChars="200"/>
        <w:rPr>
          <w:rFonts w:ascii="华文仿宋" w:hAnsi="华文仿宋" w:eastAsia="华文仿宋" w:cs="仿宋_GB2312"/>
          <w:sz w:val="28"/>
          <w:szCs w:val="28"/>
        </w:rPr>
      </w:pPr>
      <w:r>
        <w:rPr>
          <w:rFonts w:hint="eastAsia" w:ascii="华文仿宋" w:hAnsi="华文仿宋" w:eastAsia="华文仿宋" w:cs="仿宋_GB2312"/>
          <w:sz w:val="28"/>
          <w:szCs w:val="28"/>
        </w:rPr>
        <w:t>一、甲方提供乙方场地、水、电等固定设施，规定以水、电表作为双方安全管理交接面，表后发生的安全（事故）问题均由乙方全部承担。乙方必须坚持“谁使用，谁负责”的原则，严格履行安全方面的各项规章制度确保符合《安全生产法》、《消防法》规定，认真落实好内部防范措施，定期检查安全设施，确保安全稳定。</w:t>
      </w:r>
    </w:p>
    <w:p w14:paraId="0F5F04EA">
      <w:pPr>
        <w:spacing w:line="500" w:lineRule="exact"/>
        <w:ind w:firstLine="560" w:firstLineChars="200"/>
        <w:rPr>
          <w:rFonts w:ascii="华文仿宋" w:hAnsi="华文仿宋" w:eastAsia="华文仿宋" w:cs="仿宋_GB2312"/>
          <w:sz w:val="28"/>
          <w:szCs w:val="28"/>
        </w:rPr>
      </w:pPr>
      <w:r>
        <w:rPr>
          <w:rFonts w:hint="eastAsia" w:ascii="华文仿宋" w:hAnsi="华文仿宋" w:eastAsia="华文仿宋" w:cs="仿宋_GB2312"/>
          <w:sz w:val="28"/>
          <w:szCs w:val="28"/>
        </w:rPr>
        <w:t>二、在租赁期间，乙方是房屋实际管理人，如因乙方原因造成治安、消防、安全等事故的，由乙方负全部责任，所有损失由乙方承担，与甲方无关。</w:t>
      </w:r>
    </w:p>
    <w:p w14:paraId="4DF46FEE">
      <w:pPr>
        <w:spacing w:line="500" w:lineRule="exact"/>
        <w:ind w:firstLine="560" w:firstLineChars="200"/>
        <w:rPr>
          <w:rFonts w:ascii="华文仿宋" w:hAnsi="华文仿宋" w:eastAsia="华文仿宋" w:cs="仿宋_GB2312"/>
          <w:sz w:val="28"/>
          <w:szCs w:val="28"/>
        </w:rPr>
      </w:pPr>
      <w:r>
        <w:rPr>
          <w:rFonts w:hint="eastAsia" w:ascii="华文仿宋" w:hAnsi="华文仿宋" w:eastAsia="华文仿宋" w:cs="仿宋_GB2312"/>
          <w:sz w:val="28"/>
          <w:szCs w:val="28"/>
        </w:rPr>
        <w:t>三、该房屋仅作为</w:t>
      </w:r>
      <w:r>
        <w:rPr>
          <w:rFonts w:hint="eastAsia" w:ascii="华文仿宋" w:hAnsi="华文仿宋" w:eastAsia="华文仿宋" w:cs="仿宋_GB2312"/>
          <w:sz w:val="28"/>
          <w:szCs w:val="28"/>
          <w:u w:val="single"/>
        </w:rPr>
        <w:t>办公、经营</w:t>
      </w:r>
      <w:r>
        <w:rPr>
          <w:rFonts w:hint="eastAsia" w:ascii="华文仿宋" w:hAnsi="华文仿宋" w:eastAsia="华文仿宋" w:cs="仿宋_GB2312"/>
          <w:sz w:val="28"/>
          <w:szCs w:val="28"/>
        </w:rPr>
        <w:t>用途使用，乙方不得擅自改变房屋用途，不得存在“三合一”建筑，也不得带入或存放易燃易爆物品及危险化学用品，否则引起的安全事故的，由乙方负全责。</w:t>
      </w:r>
    </w:p>
    <w:p w14:paraId="7093F58D">
      <w:pPr>
        <w:spacing w:line="500" w:lineRule="exact"/>
        <w:ind w:firstLine="560" w:firstLineChars="200"/>
        <w:rPr>
          <w:rFonts w:ascii="华文仿宋" w:hAnsi="华文仿宋" w:eastAsia="华文仿宋" w:cs="仿宋"/>
          <w:sz w:val="28"/>
          <w:szCs w:val="28"/>
        </w:rPr>
      </w:pPr>
      <w:r>
        <w:rPr>
          <w:rFonts w:hint="eastAsia" w:ascii="华文仿宋" w:hAnsi="华文仿宋" w:eastAsia="华文仿宋" w:cs="仿宋_GB2312"/>
          <w:sz w:val="28"/>
          <w:szCs w:val="28"/>
        </w:rPr>
        <w:t>四、乙方经现场踏勘、测试确认甲方出租给乙方的房屋、配套设备设施是完好、安全的。</w:t>
      </w:r>
      <w:r>
        <w:rPr>
          <w:rFonts w:hint="eastAsia" w:ascii="华文仿宋" w:hAnsi="华文仿宋" w:eastAsia="华文仿宋" w:cs="仿宋"/>
          <w:sz w:val="28"/>
          <w:szCs w:val="28"/>
        </w:rPr>
        <w:t>在租赁期内，乙方应负责该房地产和配套设备设施的维修保养工作使其处于甲方交付时的良好运营、使用状态，并承担相关费用，租用结束后按租前原状返还。但涉及房屋主体结构维修，以及配套设备设施的中、大修由甲方承担，如房屋漏水、围墙贯穿性裂缝等。但上述房产以及配套设备设施仅为租赁时即已存在的，对乙方因需求而需增加的装修改造及设施设备</w:t>
      </w:r>
      <w:r>
        <w:rPr>
          <w:rFonts w:hint="eastAsia" w:ascii="华文仿宋" w:hAnsi="华文仿宋" w:eastAsia="华文仿宋" w:cs="仿宋"/>
          <w:sz w:val="28"/>
          <w:szCs w:val="28"/>
          <w:lang w:eastAsia="zh"/>
        </w:rPr>
        <w:t>造成的</w:t>
      </w:r>
      <w:r>
        <w:rPr>
          <w:rFonts w:hint="eastAsia" w:ascii="华文仿宋" w:hAnsi="华文仿宋" w:eastAsia="华文仿宋" w:cs="仿宋"/>
          <w:sz w:val="28"/>
          <w:szCs w:val="28"/>
        </w:rPr>
        <w:t>，由乙方自行负责维修。</w:t>
      </w:r>
    </w:p>
    <w:p w14:paraId="6DC53B63">
      <w:pPr>
        <w:spacing w:line="500" w:lineRule="exact"/>
        <w:ind w:firstLine="560" w:firstLineChars="200"/>
        <w:rPr>
          <w:rFonts w:ascii="华文仿宋" w:hAnsi="华文仿宋" w:eastAsia="华文仿宋" w:cs="仿宋"/>
          <w:sz w:val="28"/>
          <w:szCs w:val="28"/>
        </w:rPr>
      </w:pPr>
      <w:r>
        <w:rPr>
          <w:rFonts w:hint="eastAsia" w:ascii="华文仿宋" w:hAnsi="华文仿宋" w:eastAsia="华文仿宋" w:cs="仿宋_GB2312"/>
          <w:sz w:val="28"/>
          <w:szCs w:val="28"/>
        </w:rPr>
        <w:t>五、乙方在房屋承租使用期间，</w:t>
      </w:r>
      <w:r>
        <w:rPr>
          <w:rFonts w:hint="eastAsia" w:ascii="华文仿宋" w:hAnsi="华文仿宋" w:eastAsia="华文仿宋" w:cs="仿宋_GB2312"/>
          <w:sz w:val="28"/>
          <w:szCs w:val="28"/>
          <w:lang w:eastAsia="zh"/>
        </w:rPr>
        <w:t>应按相关规定配置灭火器、应急灯等消防安全设备器材，</w:t>
      </w:r>
      <w:r>
        <w:rPr>
          <w:rFonts w:hint="eastAsia" w:ascii="华文仿宋" w:hAnsi="华文仿宋" w:eastAsia="华文仿宋" w:cs="仿宋_GB2312"/>
          <w:sz w:val="28"/>
          <w:szCs w:val="28"/>
        </w:rPr>
        <w:t>负责对租赁区域内的消防设备设施器材、特种设备等进行定期巡查，维护保养、日常维修等，定期检测确保设备设施，器材装置可靠运行，正常完好。</w:t>
      </w:r>
    </w:p>
    <w:p w14:paraId="09B3155B">
      <w:pPr>
        <w:spacing w:line="500" w:lineRule="exact"/>
        <w:ind w:firstLine="560" w:firstLineChars="200"/>
        <w:rPr>
          <w:rFonts w:ascii="华文仿宋" w:hAnsi="华文仿宋" w:eastAsia="华文仿宋" w:cs="仿宋_GB2312"/>
          <w:sz w:val="28"/>
          <w:szCs w:val="28"/>
        </w:rPr>
      </w:pPr>
      <w:r>
        <w:rPr>
          <w:rFonts w:hint="eastAsia" w:ascii="华文仿宋" w:hAnsi="华文仿宋" w:eastAsia="华文仿宋" w:cs="仿宋_GB2312"/>
          <w:sz w:val="28"/>
          <w:szCs w:val="28"/>
        </w:rPr>
        <w:t>六、乙方做好用电安全，离人时必须拔掉电源插头，关闭电源开关，将烟头等明火熄灭；新增用电设备时应委派专业电工对线路负载能力进行判断，严禁超负荷使用电器设备。如确因业务发展需要，电力负荷不能满足需求，乙方应书面向甲方提出扩容申请，待甲方同意后，协助乙方向电力部门申请办理电力扩容，扩容工程完成后，方可开展新业务或使用新设备。</w:t>
      </w:r>
    </w:p>
    <w:p w14:paraId="23ABA4F3">
      <w:pPr>
        <w:spacing w:line="500" w:lineRule="exact"/>
        <w:ind w:firstLine="560" w:firstLineChars="200"/>
        <w:rPr>
          <w:rFonts w:ascii="华文仿宋" w:hAnsi="华文仿宋" w:eastAsia="华文仿宋" w:cs="仿宋_GB2312"/>
          <w:sz w:val="28"/>
          <w:szCs w:val="28"/>
        </w:rPr>
      </w:pPr>
      <w:r>
        <w:rPr>
          <w:rFonts w:hint="eastAsia" w:ascii="华文仿宋" w:hAnsi="华文仿宋" w:eastAsia="华文仿宋" w:cs="仿宋_GB2312"/>
          <w:sz w:val="28"/>
          <w:szCs w:val="28"/>
        </w:rPr>
        <w:t>七、乙方不得擅自改变承租房屋主体结构和使用功能，必须爱护甲方所有固定财物、设施，如需进行合理装修和变动，须经甲方许可同意后，方可进行装修更改。针对建设工程消防安全，应按规定向有关部门报批，并取得相关消防设计审核意见和消防验收意见书等，方可使用。否则，一切后果由乙方负</w:t>
      </w:r>
      <w:r>
        <w:rPr>
          <w:rFonts w:hint="eastAsia" w:ascii="华文仿宋" w:hAnsi="华文仿宋" w:eastAsia="华文仿宋" w:cs="仿宋_GB2312"/>
          <w:sz w:val="28"/>
          <w:szCs w:val="28"/>
          <w:lang w:eastAsia="zh"/>
        </w:rPr>
        <w:t>全责</w:t>
      </w:r>
      <w:r>
        <w:rPr>
          <w:rFonts w:hint="eastAsia" w:ascii="华文仿宋" w:hAnsi="华文仿宋" w:eastAsia="华文仿宋" w:cs="仿宋_GB2312"/>
          <w:sz w:val="28"/>
          <w:szCs w:val="28"/>
        </w:rPr>
        <w:t>。</w:t>
      </w:r>
    </w:p>
    <w:p w14:paraId="43C7FB85">
      <w:pPr>
        <w:spacing w:line="500" w:lineRule="exact"/>
        <w:ind w:firstLine="560" w:firstLineChars="200"/>
        <w:rPr>
          <w:rFonts w:ascii="华文仿宋" w:hAnsi="华文仿宋" w:eastAsia="华文仿宋" w:cs="仿宋"/>
          <w:color w:val="000000" w:themeColor="text1"/>
          <w:sz w:val="28"/>
          <w:szCs w:val="28"/>
          <w14:textFill>
            <w14:solidFill>
              <w14:schemeClr w14:val="tx1"/>
            </w14:solidFill>
          </w14:textFill>
        </w:rPr>
      </w:pPr>
      <w:r>
        <w:rPr>
          <w:rFonts w:hint="eastAsia" w:ascii="华文仿宋" w:hAnsi="华文仿宋" w:eastAsia="华文仿宋" w:cs="仿宋_GB2312"/>
          <w:color w:val="000000" w:themeColor="text1"/>
          <w:sz w:val="28"/>
          <w:szCs w:val="28"/>
          <w14:textFill>
            <w14:solidFill>
              <w14:schemeClr w14:val="tx1"/>
            </w14:solidFill>
          </w14:textFill>
        </w:rPr>
        <w:t>八、乙方必须负责使用场所范围内的安全管理工作，定期对员工进行安全防范教育，甲方有权对乙方进行监督检查，若检查中发现安全隐患，甲方将开具隐患整改单，乙方必须无条件立即整改。</w:t>
      </w:r>
      <w:r>
        <w:rPr>
          <w:rFonts w:hint="eastAsia" w:ascii="华文仿宋" w:hAnsi="华文仿宋" w:eastAsia="华文仿宋" w:cs="’Times New Roman’"/>
          <w:color w:val="000000" w:themeColor="text1"/>
          <w:sz w:val="28"/>
          <w:szCs w:val="28"/>
          <w14:textFill>
            <w14:solidFill>
              <w14:schemeClr w14:val="tx1"/>
            </w14:solidFill>
          </w14:textFill>
        </w:rPr>
        <w:t>如在规定期限内未按要求完成整改或多次出现同一安全隐患整改项目，甲方将开具罚款单，并有权要求乙方支付</w:t>
      </w:r>
      <w:r>
        <w:rPr>
          <w:rFonts w:hint="eastAsia" w:ascii="华文仿宋" w:hAnsi="华文仿宋" w:eastAsia="华文仿宋" w:cs="’Times New Roman’"/>
          <w:b/>
          <w:color w:val="000000" w:themeColor="text1"/>
          <w:sz w:val="28"/>
          <w:szCs w:val="28"/>
          <w14:textFill>
            <w14:solidFill>
              <w14:schemeClr w14:val="tx1"/>
            </w14:solidFill>
          </w14:textFill>
        </w:rPr>
        <w:t>100-300元/次</w:t>
      </w:r>
      <w:r>
        <w:rPr>
          <w:rFonts w:hint="eastAsia" w:ascii="华文仿宋" w:hAnsi="华文仿宋" w:eastAsia="华文仿宋" w:cs="’Times New Roman’"/>
          <w:color w:val="000000" w:themeColor="text1"/>
          <w:sz w:val="28"/>
          <w:szCs w:val="28"/>
          <w14:textFill>
            <w14:solidFill>
              <w14:schemeClr w14:val="tx1"/>
            </w14:solidFill>
          </w14:textFill>
        </w:rPr>
        <w:t>的违约金，在房屋履约保证金中直接扣除，</w:t>
      </w:r>
      <w:r>
        <w:rPr>
          <w:rFonts w:hint="eastAsia" w:ascii="华文仿宋" w:hAnsi="华文仿宋" w:eastAsia="华文仿宋" w:cs="’Times New Roman’"/>
          <w:b/>
          <w:color w:val="000000" w:themeColor="text1"/>
          <w:sz w:val="28"/>
          <w:szCs w:val="28"/>
          <w:u w:val="single"/>
          <w14:textFill>
            <w14:solidFill>
              <w14:schemeClr w14:val="tx1"/>
            </w14:solidFill>
          </w14:textFill>
        </w:rPr>
        <w:t>5日内</w:t>
      </w:r>
      <w:r>
        <w:rPr>
          <w:rFonts w:hint="eastAsia" w:ascii="华文仿宋" w:hAnsi="华文仿宋" w:eastAsia="华文仿宋" w:cs="’Times New Roman’"/>
          <w:color w:val="000000" w:themeColor="text1"/>
          <w:sz w:val="28"/>
          <w:szCs w:val="28"/>
          <w14:textFill>
            <w14:solidFill>
              <w14:schemeClr w14:val="tx1"/>
            </w14:solidFill>
          </w14:textFill>
        </w:rPr>
        <w:t>补足履约保证金，且因乙方未及时整改所导致的一切后果由乙方负全责。如乙方多次未整改，甲方有权解除租赁合同。</w:t>
      </w:r>
    </w:p>
    <w:p w14:paraId="6D89B3E7">
      <w:pPr>
        <w:spacing w:line="500" w:lineRule="exact"/>
        <w:ind w:firstLine="560" w:firstLineChars="200"/>
        <w:rPr>
          <w:rFonts w:ascii="华文仿宋" w:hAnsi="华文仿宋" w:eastAsia="华文仿宋" w:cs="仿宋_GB2312"/>
          <w:sz w:val="28"/>
          <w:szCs w:val="28"/>
        </w:rPr>
      </w:pPr>
      <w:r>
        <w:rPr>
          <w:rFonts w:hint="eastAsia" w:ascii="华文仿宋" w:hAnsi="华文仿宋" w:eastAsia="华文仿宋" w:cs="仿宋_GB2312"/>
          <w:color w:val="000000" w:themeColor="text1"/>
          <w:sz w:val="28"/>
          <w:szCs w:val="28"/>
          <w14:textFill>
            <w14:solidFill>
              <w14:schemeClr w14:val="tx1"/>
            </w14:solidFill>
          </w14:textFill>
        </w:rPr>
        <w:t>九、乙方在使用期间，必须严格遵守国家的法律、法规和甲</w:t>
      </w:r>
      <w:r>
        <w:rPr>
          <w:rFonts w:hint="eastAsia" w:ascii="华文仿宋" w:hAnsi="华文仿宋" w:eastAsia="华文仿宋" w:cs="仿宋_GB2312"/>
          <w:sz w:val="28"/>
          <w:szCs w:val="28"/>
        </w:rPr>
        <w:t>方的有关管理制度，不得发生赌博、打架斗殴等违法行为，乙方不得将所租房屋擅自转租、转让或转借，不得利用所租房屋进行非法活动。若因此出现事故由乙方负全责。</w:t>
      </w:r>
    </w:p>
    <w:p w14:paraId="6E768B45">
      <w:pPr>
        <w:spacing w:line="500" w:lineRule="exact"/>
        <w:ind w:firstLine="560" w:firstLineChars="200"/>
        <w:rPr>
          <w:rFonts w:ascii="华文仿宋" w:hAnsi="华文仿宋" w:eastAsia="华文仿宋" w:cs="仿宋_GB2312"/>
          <w:sz w:val="28"/>
          <w:szCs w:val="28"/>
        </w:rPr>
      </w:pPr>
      <w:r>
        <w:rPr>
          <w:rFonts w:hint="eastAsia" w:ascii="华文仿宋" w:hAnsi="华文仿宋" w:eastAsia="华文仿宋" w:cs="仿宋_GB2312"/>
          <w:sz w:val="28"/>
          <w:szCs w:val="28"/>
        </w:rPr>
        <w:t>十、乙方加强自身防范意识，注意安全，妥善保管好自己的财物，防止偷盗案件发生，关好门窗，如一旦发生案件，应立即打110报警，并及时向甲方通报。如遇火灾等事故发生，乙方应全力配合有关机关（部门）查证。甲方也同时配合乙方做好各项调查取证工作。因乙方原因事故发生造成甲方财产损失的，乙方应全部赔偿。</w:t>
      </w:r>
    </w:p>
    <w:p w14:paraId="7F484B7B">
      <w:pPr>
        <w:spacing w:line="500" w:lineRule="exact"/>
        <w:ind w:firstLine="560" w:firstLineChars="200"/>
        <w:rPr>
          <w:rFonts w:ascii="华文仿宋" w:hAnsi="华文仿宋" w:eastAsia="华文仿宋" w:cs="仿宋_GB2312"/>
          <w:sz w:val="28"/>
          <w:szCs w:val="28"/>
        </w:rPr>
      </w:pPr>
      <w:r>
        <w:rPr>
          <w:rFonts w:hint="eastAsia" w:ascii="华文仿宋" w:hAnsi="华文仿宋" w:eastAsia="华文仿宋" w:cs="仿宋_GB2312"/>
          <w:sz w:val="28"/>
          <w:szCs w:val="28"/>
        </w:rPr>
        <w:t>十一、乙方对外部来访人员，宣传教育好各项安全事项，并自行管理到位，乙方外来人员如在出租房内发生安全事故，由乙方负全责。</w:t>
      </w:r>
    </w:p>
    <w:p w14:paraId="55DE1EFC">
      <w:pPr>
        <w:spacing w:line="500" w:lineRule="exact"/>
        <w:ind w:firstLine="560" w:firstLineChars="200"/>
        <w:rPr>
          <w:rFonts w:ascii="华文仿宋" w:hAnsi="华文仿宋" w:eastAsia="华文仿宋" w:cs="仿宋_GB2312"/>
          <w:sz w:val="28"/>
          <w:szCs w:val="28"/>
        </w:rPr>
      </w:pPr>
      <w:r>
        <w:rPr>
          <w:rFonts w:hint="eastAsia" w:ascii="华文仿宋" w:hAnsi="华文仿宋" w:eastAsia="华文仿宋" w:cs="仿宋_GB2312"/>
          <w:sz w:val="28"/>
          <w:szCs w:val="28"/>
        </w:rPr>
        <w:t>十二、本责任书双方签字盖章后生效。有效期至房屋租赁合同终止而终止。</w:t>
      </w:r>
    </w:p>
    <w:p w14:paraId="2765CB5E">
      <w:pPr>
        <w:spacing w:line="500" w:lineRule="exact"/>
        <w:rPr>
          <w:rFonts w:ascii="华文仿宋" w:hAnsi="华文仿宋" w:eastAsia="华文仿宋" w:cs="仿宋_GB2312"/>
          <w:sz w:val="28"/>
          <w:szCs w:val="28"/>
        </w:rPr>
      </w:pPr>
    </w:p>
    <w:p w14:paraId="287FCDEE">
      <w:pPr>
        <w:spacing w:line="500" w:lineRule="exact"/>
        <w:rPr>
          <w:rFonts w:ascii="华文仿宋" w:hAnsi="华文仿宋" w:eastAsia="华文仿宋" w:cs="仿宋_GB2312"/>
          <w:b/>
          <w:sz w:val="28"/>
          <w:szCs w:val="28"/>
        </w:rPr>
      </w:pPr>
      <w:r>
        <w:rPr>
          <w:rFonts w:hint="eastAsia" w:ascii="华文仿宋" w:hAnsi="华文仿宋" w:eastAsia="华文仿宋" w:cs="仿宋_GB2312"/>
          <w:sz w:val="28"/>
          <w:szCs w:val="28"/>
        </w:rPr>
        <w:t xml:space="preserve">甲方（盖章）：          </w:t>
      </w:r>
      <w:r>
        <w:rPr>
          <w:rFonts w:ascii="华文仿宋" w:hAnsi="华文仿宋" w:eastAsia="华文仿宋" w:cs="仿宋_GB2312"/>
          <w:sz w:val="28"/>
          <w:szCs w:val="28"/>
        </w:rPr>
        <w:t xml:space="preserve"> </w:t>
      </w:r>
      <w:r>
        <w:rPr>
          <w:rFonts w:hint="eastAsia" w:ascii="华文仿宋" w:hAnsi="华文仿宋" w:eastAsia="华文仿宋" w:cs="仿宋_GB2312"/>
          <w:sz w:val="28"/>
          <w:szCs w:val="28"/>
        </w:rPr>
        <w:t xml:space="preserve">   </w:t>
      </w:r>
      <w:r>
        <w:rPr>
          <w:rFonts w:ascii="华文仿宋" w:hAnsi="华文仿宋" w:eastAsia="华文仿宋" w:cs="仿宋_GB2312"/>
          <w:sz w:val="28"/>
          <w:szCs w:val="28"/>
        </w:rPr>
        <w:t xml:space="preserve"> </w:t>
      </w:r>
      <w:r>
        <w:rPr>
          <w:rFonts w:hint="eastAsia" w:ascii="华文仿宋" w:hAnsi="华文仿宋" w:eastAsia="华文仿宋" w:cs="仿宋_GB2312"/>
          <w:sz w:val="28"/>
          <w:szCs w:val="28"/>
        </w:rPr>
        <w:t xml:space="preserve"> </w:t>
      </w:r>
      <w:r>
        <w:rPr>
          <w:rFonts w:ascii="华文仿宋" w:hAnsi="华文仿宋" w:eastAsia="华文仿宋" w:cs="仿宋_GB2312"/>
          <w:sz w:val="28"/>
          <w:szCs w:val="28"/>
        </w:rPr>
        <w:t xml:space="preserve"> </w:t>
      </w:r>
      <w:r>
        <w:rPr>
          <w:rFonts w:hint="eastAsia" w:ascii="华文仿宋" w:hAnsi="华文仿宋" w:eastAsia="华文仿宋" w:cs="仿宋_GB2312"/>
          <w:sz w:val="28"/>
          <w:szCs w:val="28"/>
        </w:rPr>
        <w:t xml:space="preserve"> 乙方（盖章）：</w:t>
      </w:r>
    </w:p>
    <w:p w14:paraId="1BB84084">
      <w:pPr>
        <w:spacing w:line="500" w:lineRule="exact"/>
        <w:ind w:left="7287" w:hanging="7308" w:hangingChars="2600"/>
        <w:jc w:val="distribute"/>
        <w:rPr>
          <w:rFonts w:ascii="华文仿宋" w:hAnsi="华文仿宋" w:eastAsia="华文仿宋" w:cs="仿宋_GB2312"/>
          <w:b/>
          <w:sz w:val="28"/>
          <w:szCs w:val="28"/>
        </w:rPr>
      </w:pPr>
    </w:p>
    <w:p w14:paraId="52BB65D5">
      <w:pPr>
        <w:spacing w:line="500" w:lineRule="exact"/>
        <w:rPr>
          <w:rFonts w:ascii="华文仿宋" w:hAnsi="华文仿宋" w:eastAsia="华文仿宋" w:cs="仿宋_GB2312"/>
          <w:sz w:val="28"/>
          <w:szCs w:val="28"/>
        </w:rPr>
      </w:pPr>
      <w:r>
        <w:rPr>
          <w:rFonts w:hint="eastAsia" w:ascii="华文仿宋" w:hAnsi="华文仿宋" w:eastAsia="华文仿宋" w:cs="仿宋_GB2312"/>
          <w:sz w:val="28"/>
          <w:szCs w:val="28"/>
        </w:rPr>
        <w:t xml:space="preserve">地址：                      </w:t>
      </w:r>
      <w:r>
        <w:rPr>
          <w:rFonts w:ascii="华文仿宋" w:hAnsi="华文仿宋" w:eastAsia="华文仿宋" w:cs="仿宋_GB2312"/>
          <w:sz w:val="28"/>
          <w:szCs w:val="28"/>
        </w:rPr>
        <w:t xml:space="preserve">  </w:t>
      </w:r>
      <w:r>
        <w:rPr>
          <w:rFonts w:hint="eastAsia" w:ascii="华文仿宋" w:hAnsi="华文仿宋" w:eastAsia="华文仿宋" w:cs="仿宋_GB2312"/>
          <w:sz w:val="28"/>
          <w:szCs w:val="28"/>
        </w:rPr>
        <w:t xml:space="preserve"> </w:t>
      </w:r>
      <w:r>
        <w:rPr>
          <w:rFonts w:ascii="华文仿宋" w:hAnsi="华文仿宋" w:eastAsia="华文仿宋" w:cs="仿宋_GB2312"/>
          <w:sz w:val="28"/>
          <w:szCs w:val="28"/>
        </w:rPr>
        <w:t xml:space="preserve"> </w:t>
      </w:r>
      <w:r>
        <w:rPr>
          <w:rFonts w:hint="eastAsia" w:ascii="华文仿宋" w:hAnsi="华文仿宋" w:eastAsia="华文仿宋" w:cs="仿宋_GB2312"/>
          <w:sz w:val="28"/>
          <w:szCs w:val="28"/>
        </w:rPr>
        <w:t xml:space="preserve">地址：  </w:t>
      </w:r>
    </w:p>
    <w:p w14:paraId="46B4C3A5">
      <w:pPr>
        <w:spacing w:line="500" w:lineRule="exact"/>
        <w:rPr>
          <w:rFonts w:ascii="华文仿宋" w:hAnsi="华文仿宋" w:eastAsia="华文仿宋" w:cs="仿宋_GB2312"/>
          <w:sz w:val="28"/>
          <w:szCs w:val="28"/>
        </w:rPr>
      </w:pPr>
    </w:p>
    <w:p w14:paraId="30A82ECD">
      <w:pPr>
        <w:spacing w:line="500" w:lineRule="exact"/>
        <w:rPr>
          <w:rFonts w:ascii="华文仿宋" w:hAnsi="华文仿宋" w:eastAsia="华文仿宋" w:cs="仿宋_GB2312"/>
          <w:sz w:val="28"/>
          <w:szCs w:val="28"/>
        </w:rPr>
      </w:pPr>
      <w:r>
        <w:rPr>
          <w:rFonts w:hint="eastAsia" w:ascii="华文仿宋" w:hAnsi="华文仿宋" w:eastAsia="华文仿宋" w:cs="仿宋_GB2312"/>
          <w:sz w:val="28"/>
          <w:szCs w:val="28"/>
        </w:rPr>
        <w:t xml:space="preserve">代表（签字）：               </w:t>
      </w:r>
      <w:r>
        <w:rPr>
          <w:rFonts w:ascii="华文仿宋" w:hAnsi="华文仿宋" w:eastAsia="华文仿宋" w:cs="仿宋_GB2312"/>
          <w:sz w:val="28"/>
          <w:szCs w:val="28"/>
        </w:rPr>
        <w:t xml:space="preserve">   </w:t>
      </w:r>
      <w:r>
        <w:rPr>
          <w:rFonts w:hint="eastAsia" w:ascii="华文仿宋" w:hAnsi="华文仿宋" w:eastAsia="华文仿宋" w:cs="仿宋_GB2312"/>
          <w:sz w:val="28"/>
          <w:szCs w:val="28"/>
        </w:rPr>
        <w:t>代表（签字）：</w:t>
      </w:r>
    </w:p>
    <w:p w14:paraId="2B97540C">
      <w:pPr>
        <w:spacing w:line="500" w:lineRule="exact"/>
        <w:rPr>
          <w:rFonts w:ascii="华文仿宋" w:hAnsi="华文仿宋" w:eastAsia="华文仿宋" w:cs="仿宋_GB2312"/>
          <w:sz w:val="28"/>
          <w:szCs w:val="28"/>
        </w:rPr>
      </w:pPr>
    </w:p>
    <w:p w14:paraId="7FCF7B94">
      <w:pPr>
        <w:spacing w:line="500" w:lineRule="exact"/>
        <w:rPr>
          <w:rFonts w:ascii="华文仿宋" w:hAnsi="华文仿宋" w:eastAsia="华文仿宋" w:cs="仿宋_GB2312"/>
          <w:sz w:val="28"/>
          <w:szCs w:val="28"/>
        </w:rPr>
      </w:pPr>
      <w:r>
        <w:rPr>
          <w:rFonts w:hint="eastAsia" w:ascii="华文仿宋" w:hAnsi="华文仿宋" w:eastAsia="华文仿宋" w:cs="仿宋_GB2312"/>
          <w:sz w:val="28"/>
          <w:szCs w:val="28"/>
        </w:rPr>
        <w:t xml:space="preserve">签订日期： 年   月   日     </w:t>
      </w:r>
      <w:r>
        <w:rPr>
          <w:rFonts w:ascii="华文仿宋" w:hAnsi="华文仿宋" w:eastAsia="华文仿宋" w:cs="仿宋_GB2312"/>
          <w:sz w:val="28"/>
          <w:szCs w:val="28"/>
        </w:rPr>
        <w:t xml:space="preserve">  </w:t>
      </w:r>
      <w:r>
        <w:rPr>
          <w:rFonts w:hint="eastAsia" w:ascii="华文仿宋" w:hAnsi="华文仿宋" w:eastAsia="华文仿宋" w:cs="仿宋_GB2312"/>
          <w:sz w:val="28"/>
          <w:szCs w:val="28"/>
        </w:rPr>
        <w:t xml:space="preserve"> </w:t>
      </w:r>
      <w:r>
        <w:rPr>
          <w:rFonts w:ascii="华文仿宋" w:hAnsi="华文仿宋" w:eastAsia="华文仿宋" w:cs="仿宋_GB2312"/>
          <w:sz w:val="28"/>
          <w:szCs w:val="28"/>
        </w:rPr>
        <w:t xml:space="preserve"> </w:t>
      </w:r>
      <w:r>
        <w:rPr>
          <w:rFonts w:hint="eastAsia" w:ascii="华文仿宋" w:hAnsi="华文仿宋" w:eastAsia="华文仿宋" w:cs="仿宋_GB2312"/>
          <w:sz w:val="28"/>
          <w:szCs w:val="28"/>
        </w:rPr>
        <w:t>签订日期： 年    月    日</w:t>
      </w:r>
    </w:p>
    <w:p w14:paraId="3F6764A4">
      <w:pPr>
        <w:spacing w:line="600" w:lineRule="exact"/>
        <w:jc w:val="center"/>
        <w:rPr>
          <w:rFonts w:ascii="华文仿宋" w:hAnsi="华文仿宋" w:eastAsia="华文仿宋" w:cs="宋体"/>
          <w:b/>
          <w:bCs/>
          <w:sz w:val="30"/>
          <w:szCs w:val="30"/>
        </w:rPr>
      </w:pPr>
    </w:p>
    <w:p w14:paraId="6E374576">
      <w:pPr>
        <w:spacing w:line="276" w:lineRule="auto"/>
        <w:jc w:val="center"/>
        <w:rPr>
          <w:rFonts w:ascii="宋体" w:hAnsi="宋体" w:cs="宋体"/>
          <w:b/>
          <w:bCs/>
          <w:sz w:val="30"/>
          <w:szCs w:val="30"/>
        </w:rPr>
      </w:pPr>
    </w:p>
    <w:p w14:paraId="31DEC7A8">
      <w:pPr>
        <w:spacing w:line="276" w:lineRule="auto"/>
        <w:jc w:val="center"/>
        <w:rPr>
          <w:rFonts w:ascii="宋体" w:hAnsi="宋体" w:cs="宋体"/>
          <w:b/>
          <w:bCs/>
          <w:sz w:val="30"/>
          <w:szCs w:val="30"/>
        </w:rPr>
      </w:pPr>
    </w:p>
    <w:p w14:paraId="6351745C"/>
    <w:p w14:paraId="67946368">
      <w:pPr>
        <w:spacing w:line="276" w:lineRule="auto"/>
        <w:rPr>
          <w:rFonts w:ascii="仿宋" w:hAnsi="仿宋" w:eastAsia="仿宋"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Times New Roman’">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0B7949D1">
    <w:panose1 w:val="02010609060101010101"/>
    <w:charset w:val="86"/>
    <w:family w:val="auto"/>
    <w:pitch w:val="default"/>
    <w:sig w:usb0="00000001" w:usb1="00000000" w:usb2="00000000" w:usb3="00000000" w:csb0="00040001" w:csb1="00000000"/>
  </w:font>
  <w:font w:name="KSOF0B79BE30">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50402C"/>
    <w:multiLevelType w:val="singleLevel"/>
    <w:tmpl w:val="E250402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yY2E5Yzc5NGRkYTQ2OTBhZGI1YzRhNjY1Nzg0ZjkifQ=="/>
  </w:docVars>
  <w:rsids>
    <w:rsidRoot w:val="00443D7F"/>
    <w:rsid w:val="00002C86"/>
    <w:rsid w:val="00004DEB"/>
    <w:rsid w:val="00005775"/>
    <w:rsid w:val="00005B90"/>
    <w:rsid w:val="00006437"/>
    <w:rsid w:val="000224B5"/>
    <w:rsid w:val="0002347B"/>
    <w:rsid w:val="00025CE5"/>
    <w:rsid w:val="0002762E"/>
    <w:rsid w:val="0003435C"/>
    <w:rsid w:val="000373B5"/>
    <w:rsid w:val="000407D5"/>
    <w:rsid w:val="00041BCB"/>
    <w:rsid w:val="00043A0E"/>
    <w:rsid w:val="00044727"/>
    <w:rsid w:val="000454BB"/>
    <w:rsid w:val="00047DA7"/>
    <w:rsid w:val="00051C85"/>
    <w:rsid w:val="0006189B"/>
    <w:rsid w:val="00063D10"/>
    <w:rsid w:val="00065B32"/>
    <w:rsid w:val="000668F3"/>
    <w:rsid w:val="00066EB0"/>
    <w:rsid w:val="00070A3A"/>
    <w:rsid w:val="000805F5"/>
    <w:rsid w:val="00083AD0"/>
    <w:rsid w:val="00083F9F"/>
    <w:rsid w:val="0008417E"/>
    <w:rsid w:val="000906D6"/>
    <w:rsid w:val="00093769"/>
    <w:rsid w:val="00093C64"/>
    <w:rsid w:val="00094591"/>
    <w:rsid w:val="000952F7"/>
    <w:rsid w:val="000A5694"/>
    <w:rsid w:val="000B119B"/>
    <w:rsid w:val="000B2E0C"/>
    <w:rsid w:val="000B522E"/>
    <w:rsid w:val="000C4D70"/>
    <w:rsid w:val="000C7435"/>
    <w:rsid w:val="000D2DBE"/>
    <w:rsid w:val="000D7CD9"/>
    <w:rsid w:val="000E1140"/>
    <w:rsid w:val="000E4463"/>
    <w:rsid w:val="000E5687"/>
    <w:rsid w:val="000F6576"/>
    <w:rsid w:val="000F67F1"/>
    <w:rsid w:val="000F77E8"/>
    <w:rsid w:val="001048A2"/>
    <w:rsid w:val="001061BA"/>
    <w:rsid w:val="001071B3"/>
    <w:rsid w:val="00115063"/>
    <w:rsid w:val="0011585B"/>
    <w:rsid w:val="00116A64"/>
    <w:rsid w:val="00122EC4"/>
    <w:rsid w:val="00124A2F"/>
    <w:rsid w:val="00130044"/>
    <w:rsid w:val="00131F27"/>
    <w:rsid w:val="00132A9D"/>
    <w:rsid w:val="00141A87"/>
    <w:rsid w:val="00141CFE"/>
    <w:rsid w:val="001428E3"/>
    <w:rsid w:val="00143A94"/>
    <w:rsid w:val="001457F7"/>
    <w:rsid w:val="00146691"/>
    <w:rsid w:val="00151879"/>
    <w:rsid w:val="00152488"/>
    <w:rsid w:val="00161B81"/>
    <w:rsid w:val="00164328"/>
    <w:rsid w:val="00166350"/>
    <w:rsid w:val="001706EF"/>
    <w:rsid w:val="00172FE8"/>
    <w:rsid w:val="00175183"/>
    <w:rsid w:val="00176F83"/>
    <w:rsid w:val="00176F8A"/>
    <w:rsid w:val="00185882"/>
    <w:rsid w:val="001A08CE"/>
    <w:rsid w:val="001A3B1C"/>
    <w:rsid w:val="001A3DC6"/>
    <w:rsid w:val="001A6470"/>
    <w:rsid w:val="001B12A1"/>
    <w:rsid w:val="001B1956"/>
    <w:rsid w:val="001B2B17"/>
    <w:rsid w:val="001B546B"/>
    <w:rsid w:val="001B62CC"/>
    <w:rsid w:val="001C1025"/>
    <w:rsid w:val="001C2E7B"/>
    <w:rsid w:val="001C73C9"/>
    <w:rsid w:val="001D5554"/>
    <w:rsid w:val="001D6D28"/>
    <w:rsid w:val="001E05AD"/>
    <w:rsid w:val="001F1BB9"/>
    <w:rsid w:val="001F6D53"/>
    <w:rsid w:val="001F7307"/>
    <w:rsid w:val="001F7CF6"/>
    <w:rsid w:val="00201AD2"/>
    <w:rsid w:val="0020413D"/>
    <w:rsid w:val="002043D0"/>
    <w:rsid w:val="00204C67"/>
    <w:rsid w:val="00204C6E"/>
    <w:rsid w:val="00204F27"/>
    <w:rsid w:val="00204F30"/>
    <w:rsid w:val="00211A19"/>
    <w:rsid w:val="00217FE9"/>
    <w:rsid w:val="00220551"/>
    <w:rsid w:val="00224991"/>
    <w:rsid w:val="002274E0"/>
    <w:rsid w:val="00227FAE"/>
    <w:rsid w:val="00232AE3"/>
    <w:rsid w:val="00233CEA"/>
    <w:rsid w:val="00244FB2"/>
    <w:rsid w:val="00245779"/>
    <w:rsid w:val="00251757"/>
    <w:rsid w:val="002518EE"/>
    <w:rsid w:val="00252062"/>
    <w:rsid w:val="00260C9A"/>
    <w:rsid w:val="00263C82"/>
    <w:rsid w:val="0026517C"/>
    <w:rsid w:val="00266717"/>
    <w:rsid w:val="00266B7E"/>
    <w:rsid w:val="00270310"/>
    <w:rsid w:val="00272C0F"/>
    <w:rsid w:val="002748B9"/>
    <w:rsid w:val="00274B01"/>
    <w:rsid w:val="0027533A"/>
    <w:rsid w:val="00277B10"/>
    <w:rsid w:val="00285D95"/>
    <w:rsid w:val="002873F1"/>
    <w:rsid w:val="00287BF2"/>
    <w:rsid w:val="002A4ABB"/>
    <w:rsid w:val="002A76E7"/>
    <w:rsid w:val="002A7959"/>
    <w:rsid w:val="002B0ADC"/>
    <w:rsid w:val="002B30CD"/>
    <w:rsid w:val="002B636A"/>
    <w:rsid w:val="002C19DE"/>
    <w:rsid w:val="002C2B0D"/>
    <w:rsid w:val="002C4AEA"/>
    <w:rsid w:val="002C5545"/>
    <w:rsid w:val="002D1D2B"/>
    <w:rsid w:val="002D1D93"/>
    <w:rsid w:val="002D3504"/>
    <w:rsid w:val="002D7517"/>
    <w:rsid w:val="002E4D78"/>
    <w:rsid w:val="002E6829"/>
    <w:rsid w:val="002E7EAF"/>
    <w:rsid w:val="002F1D20"/>
    <w:rsid w:val="002F48C0"/>
    <w:rsid w:val="00302D4C"/>
    <w:rsid w:val="003058E1"/>
    <w:rsid w:val="00307A55"/>
    <w:rsid w:val="00312E24"/>
    <w:rsid w:val="00314CA0"/>
    <w:rsid w:val="00323FB1"/>
    <w:rsid w:val="00327280"/>
    <w:rsid w:val="00330D3E"/>
    <w:rsid w:val="0033110B"/>
    <w:rsid w:val="00333064"/>
    <w:rsid w:val="00333AA1"/>
    <w:rsid w:val="0033408B"/>
    <w:rsid w:val="003379D1"/>
    <w:rsid w:val="00342B86"/>
    <w:rsid w:val="00342CBD"/>
    <w:rsid w:val="00345889"/>
    <w:rsid w:val="00350FC8"/>
    <w:rsid w:val="00355E15"/>
    <w:rsid w:val="00356C9C"/>
    <w:rsid w:val="00356FD2"/>
    <w:rsid w:val="00360B9E"/>
    <w:rsid w:val="00360F47"/>
    <w:rsid w:val="00361445"/>
    <w:rsid w:val="003617D3"/>
    <w:rsid w:val="00365D88"/>
    <w:rsid w:val="003700F5"/>
    <w:rsid w:val="0037011C"/>
    <w:rsid w:val="00377F4F"/>
    <w:rsid w:val="0038070F"/>
    <w:rsid w:val="00381FA3"/>
    <w:rsid w:val="003829FA"/>
    <w:rsid w:val="00392894"/>
    <w:rsid w:val="00393144"/>
    <w:rsid w:val="0039523B"/>
    <w:rsid w:val="0039538B"/>
    <w:rsid w:val="00397C46"/>
    <w:rsid w:val="003A05E9"/>
    <w:rsid w:val="003A32E5"/>
    <w:rsid w:val="003A3A95"/>
    <w:rsid w:val="003A4112"/>
    <w:rsid w:val="003A4487"/>
    <w:rsid w:val="003B03D2"/>
    <w:rsid w:val="003B0FD9"/>
    <w:rsid w:val="003B3711"/>
    <w:rsid w:val="003B4A3B"/>
    <w:rsid w:val="003C31FC"/>
    <w:rsid w:val="003C3632"/>
    <w:rsid w:val="003C3F7A"/>
    <w:rsid w:val="003D19E8"/>
    <w:rsid w:val="003D2949"/>
    <w:rsid w:val="003D759A"/>
    <w:rsid w:val="003E1C7C"/>
    <w:rsid w:val="003E1F49"/>
    <w:rsid w:val="003F0000"/>
    <w:rsid w:val="003F0044"/>
    <w:rsid w:val="003F1A2D"/>
    <w:rsid w:val="003F428E"/>
    <w:rsid w:val="003F488E"/>
    <w:rsid w:val="003F684C"/>
    <w:rsid w:val="003F7585"/>
    <w:rsid w:val="004006FB"/>
    <w:rsid w:val="00401CB9"/>
    <w:rsid w:val="004064A8"/>
    <w:rsid w:val="004157DE"/>
    <w:rsid w:val="00416EC8"/>
    <w:rsid w:val="0041774D"/>
    <w:rsid w:val="00420CFD"/>
    <w:rsid w:val="00420D67"/>
    <w:rsid w:val="004232F6"/>
    <w:rsid w:val="00425403"/>
    <w:rsid w:val="00425620"/>
    <w:rsid w:val="00425BC8"/>
    <w:rsid w:val="00427585"/>
    <w:rsid w:val="0043024C"/>
    <w:rsid w:val="00434552"/>
    <w:rsid w:val="004358D5"/>
    <w:rsid w:val="00435ED9"/>
    <w:rsid w:val="00437311"/>
    <w:rsid w:val="0044209A"/>
    <w:rsid w:val="00443D7F"/>
    <w:rsid w:val="00445247"/>
    <w:rsid w:val="00446587"/>
    <w:rsid w:val="0045022F"/>
    <w:rsid w:val="00450CC5"/>
    <w:rsid w:val="00453474"/>
    <w:rsid w:val="0046209E"/>
    <w:rsid w:val="004661DF"/>
    <w:rsid w:val="004667A5"/>
    <w:rsid w:val="00467A30"/>
    <w:rsid w:val="00473D28"/>
    <w:rsid w:val="004741D3"/>
    <w:rsid w:val="00484EF8"/>
    <w:rsid w:val="004856BC"/>
    <w:rsid w:val="00492937"/>
    <w:rsid w:val="00493C17"/>
    <w:rsid w:val="004969C7"/>
    <w:rsid w:val="00497B3F"/>
    <w:rsid w:val="004A1364"/>
    <w:rsid w:val="004A78D2"/>
    <w:rsid w:val="004B2214"/>
    <w:rsid w:val="004B2ABA"/>
    <w:rsid w:val="004B41DD"/>
    <w:rsid w:val="004B4CA8"/>
    <w:rsid w:val="004B5841"/>
    <w:rsid w:val="004B6684"/>
    <w:rsid w:val="004B7296"/>
    <w:rsid w:val="004C1C0A"/>
    <w:rsid w:val="004C1FDE"/>
    <w:rsid w:val="004C2409"/>
    <w:rsid w:val="004C4F93"/>
    <w:rsid w:val="004C5758"/>
    <w:rsid w:val="004C58E0"/>
    <w:rsid w:val="004C59B6"/>
    <w:rsid w:val="004C6EF8"/>
    <w:rsid w:val="004C7B48"/>
    <w:rsid w:val="004D0747"/>
    <w:rsid w:val="004D0B0E"/>
    <w:rsid w:val="004D7225"/>
    <w:rsid w:val="004E10CA"/>
    <w:rsid w:val="004E36F9"/>
    <w:rsid w:val="004E3CF7"/>
    <w:rsid w:val="004E759E"/>
    <w:rsid w:val="004F0D3B"/>
    <w:rsid w:val="004F7D50"/>
    <w:rsid w:val="0050351A"/>
    <w:rsid w:val="0050404C"/>
    <w:rsid w:val="00505D2E"/>
    <w:rsid w:val="00505D77"/>
    <w:rsid w:val="00510FBD"/>
    <w:rsid w:val="00512A56"/>
    <w:rsid w:val="00513E52"/>
    <w:rsid w:val="00514B48"/>
    <w:rsid w:val="00515FEA"/>
    <w:rsid w:val="00516D91"/>
    <w:rsid w:val="005176A5"/>
    <w:rsid w:val="00522272"/>
    <w:rsid w:val="00525088"/>
    <w:rsid w:val="00533F02"/>
    <w:rsid w:val="0053599D"/>
    <w:rsid w:val="0053781F"/>
    <w:rsid w:val="00546CA6"/>
    <w:rsid w:val="005603CD"/>
    <w:rsid w:val="00565841"/>
    <w:rsid w:val="0056771F"/>
    <w:rsid w:val="00567D42"/>
    <w:rsid w:val="00571861"/>
    <w:rsid w:val="005802D2"/>
    <w:rsid w:val="00580908"/>
    <w:rsid w:val="0058125A"/>
    <w:rsid w:val="005837A5"/>
    <w:rsid w:val="00584343"/>
    <w:rsid w:val="00585012"/>
    <w:rsid w:val="00590D61"/>
    <w:rsid w:val="005917BD"/>
    <w:rsid w:val="00591E8B"/>
    <w:rsid w:val="00592E00"/>
    <w:rsid w:val="005954CC"/>
    <w:rsid w:val="00596C9E"/>
    <w:rsid w:val="00596EA4"/>
    <w:rsid w:val="005A62B5"/>
    <w:rsid w:val="005B29D8"/>
    <w:rsid w:val="005B3E43"/>
    <w:rsid w:val="005B474C"/>
    <w:rsid w:val="005C47F2"/>
    <w:rsid w:val="005C4FCD"/>
    <w:rsid w:val="005C5E1D"/>
    <w:rsid w:val="005D0B00"/>
    <w:rsid w:val="005D23E2"/>
    <w:rsid w:val="005D26BB"/>
    <w:rsid w:val="005D314E"/>
    <w:rsid w:val="005D31C0"/>
    <w:rsid w:val="005D3B60"/>
    <w:rsid w:val="005D3E08"/>
    <w:rsid w:val="005D5670"/>
    <w:rsid w:val="005E6617"/>
    <w:rsid w:val="005E765B"/>
    <w:rsid w:val="005F38E1"/>
    <w:rsid w:val="005F6D36"/>
    <w:rsid w:val="005F782E"/>
    <w:rsid w:val="006006AB"/>
    <w:rsid w:val="00600B86"/>
    <w:rsid w:val="00601BB5"/>
    <w:rsid w:val="00602CA7"/>
    <w:rsid w:val="00611BFD"/>
    <w:rsid w:val="006125AA"/>
    <w:rsid w:val="006216B8"/>
    <w:rsid w:val="00625634"/>
    <w:rsid w:val="00626805"/>
    <w:rsid w:val="0063163C"/>
    <w:rsid w:val="00642296"/>
    <w:rsid w:val="0064537F"/>
    <w:rsid w:val="006474CF"/>
    <w:rsid w:val="00651BBA"/>
    <w:rsid w:val="00654C3A"/>
    <w:rsid w:val="0065759B"/>
    <w:rsid w:val="0066199C"/>
    <w:rsid w:val="00663D57"/>
    <w:rsid w:val="00664BB2"/>
    <w:rsid w:val="00667F50"/>
    <w:rsid w:val="00673DA4"/>
    <w:rsid w:val="006746D6"/>
    <w:rsid w:val="00674974"/>
    <w:rsid w:val="00674A82"/>
    <w:rsid w:val="00676B43"/>
    <w:rsid w:val="0068016A"/>
    <w:rsid w:val="0068356B"/>
    <w:rsid w:val="00686E81"/>
    <w:rsid w:val="00687B5E"/>
    <w:rsid w:val="00692961"/>
    <w:rsid w:val="00693166"/>
    <w:rsid w:val="00693D78"/>
    <w:rsid w:val="006948CD"/>
    <w:rsid w:val="0069671D"/>
    <w:rsid w:val="006A2926"/>
    <w:rsid w:val="006A54E2"/>
    <w:rsid w:val="006A6412"/>
    <w:rsid w:val="006B10DB"/>
    <w:rsid w:val="006B1E5B"/>
    <w:rsid w:val="006B2C01"/>
    <w:rsid w:val="006B6AAA"/>
    <w:rsid w:val="006B7D8D"/>
    <w:rsid w:val="006C02DC"/>
    <w:rsid w:val="006C09F8"/>
    <w:rsid w:val="006C229A"/>
    <w:rsid w:val="006C2F50"/>
    <w:rsid w:val="006C36CD"/>
    <w:rsid w:val="006C6E5F"/>
    <w:rsid w:val="006D1C38"/>
    <w:rsid w:val="006D31BD"/>
    <w:rsid w:val="006D3ABC"/>
    <w:rsid w:val="006D6024"/>
    <w:rsid w:val="006E27A2"/>
    <w:rsid w:val="006E2D23"/>
    <w:rsid w:val="006E3B4A"/>
    <w:rsid w:val="006E7294"/>
    <w:rsid w:val="006F0354"/>
    <w:rsid w:val="006F1F17"/>
    <w:rsid w:val="006F3795"/>
    <w:rsid w:val="006F406F"/>
    <w:rsid w:val="006F58BD"/>
    <w:rsid w:val="006F5B04"/>
    <w:rsid w:val="00700770"/>
    <w:rsid w:val="00701B8E"/>
    <w:rsid w:val="00702C26"/>
    <w:rsid w:val="00703319"/>
    <w:rsid w:val="0070370D"/>
    <w:rsid w:val="00704B8F"/>
    <w:rsid w:val="0070579E"/>
    <w:rsid w:val="00705F5D"/>
    <w:rsid w:val="00707340"/>
    <w:rsid w:val="00710046"/>
    <w:rsid w:val="007118CD"/>
    <w:rsid w:val="007149FE"/>
    <w:rsid w:val="00715897"/>
    <w:rsid w:val="0071597D"/>
    <w:rsid w:val="00715A55"/>
    <w:rsid w:val="007164A5"/>
    <w:rsid w:val="00716D93"/>
    <w:rsid w:val="00717506"/>
    <w:rsid w:val="007205B2"/>
    <w:rsid w:val="00722422"/>
    <w:rsid w:val="00724259"/>
    <w:rsid w:val="00726067"/>
    <w:rsid w:val="0073002B"/>
    <w:rsid w:val="00730305"/>
    <w:rsid w:val="00734148"/>
    <w:rsid w:val="007352BF"/>
    <w:rsid w:val="00737E10"/>
    <w:rsid w:val="00740FDA"/>
    <w:rsid w:val="00742453"/>
    <w:rsid w:val="0074305A"/>
    <w:rsid w:val="00746E14"/>
    <w:rsid w:val="00752116"/>
    <w:rsid w:val="007545AC"/>
    <w:rsid w:val="00756086"/>
    <w:rsid w:val="00760A60"/>
    <w:rsid w:val="007622E1"/>
    <w:rsid w:val="00766D68"/>
    <w:rsid w:val="007702E6"/>
    <w:rsid w:val="00771943"/>
    <w:rsid w:val="00775350"/>
    <w:rsid w:val="00775BD5"/>
    <w:rsid w:val="0078158D"/>
    <w:rsid w:val="00785138"/>
    <w:rsid w:val="00785AD5"/>
    <w:rsid w:val="00786D16"/>
    <w:rsid w:val="0078720E"/>
    <w:rsid w:val="00787DF9"/>
    <w:rsid w:val="00792BDF"/>
    <w:rsid w:val="00793A39"/>
    <w:rsid w:val="00794CA0"/>
    <w:rsid w:val="00795F10"/>
    <w:rsid w:val="00796146"/>
    <w:rsid w:val="007A3F0E"/>
    <w:rsid w:val="007A7284"/>
    <w:rsid w:val="007B1C70"/>
    <w:rsid w:val="007B2C12"/>
    <w:rsid w:val="007B2E7E"/>
    <w:rsid w:val="007C1537"/>
    <w:rsid w:val="007C3FDE"/>
    <w:rsid w:val="007C51E4"/>
    <w:rsid w:val="007C6EFA"/>
    <w:rsid w:val="007C763C"/>
    <w:rsid w:val="007D0CBC"/>
    <w:rsid w:val="007D6BA7"/>
    <w:rsid w:val="007E118D"/>
    <w:rsid w:val="007E44E1"/>
    <w:rsid w:val="007E4770"/>
    <w:rsid w:val="007E5F3F"/>
    <w:rsid w:val="007E60B2"/>
    <w:rsid w:val="007F0250"/>
    <w:rsid w:val="007F048A"/>
    <w:rsid w:val="007F3954"/>
    <w:rsid w:val="007F40E7"/>
    <w:rsid w:val="007F5F4D"/>
    <w:rsid w:val="00801C39"/>
    <w:rsid w:val="008036A1"/>
    <w:rsid w:val="00806567"/>
    <w:rsid w:val="008136DA"/>
    <w:rsid w:val="00814282"/>
    <w:rsid w:val="00815C06"/>
    <w:rsid w:val="008220E2"/>
    <w:rsid w:val="00822988"/>
    <w:rsid w:val="00823E81"/>
    <w:rsid w:val="008274FB"/>
    <w:rsid w:val="00827B2F"/>
    <w:rsid w:val="00833930"/>
    <w:rsid w:val="008401C6"/>
    <w:rsid w:val="0084437A"/>
    <w:rsid w:val="00846298"/>
    <w:rsid w:val="00846665"/>
    <w:rsid w:val="00846956"/>
    <w:rsid w:val="0085058F"/>
    <w:rsid w:val="00851F00"/>
    <w:rsid w:val="0085281A"/>
    <w:rsid w:val="00852D3B"/>
    <w:rsid w:val="00854DD8"/>
    <w:rsid w:val="00855707"/>
    <w:rsid w:val="0085665E"/>
    <w:rsid w:val="00861A8D"/>
    <w:rsid w:val="0086379D"/>
    <w:rsid w:val="00867D6B"/>
    <w:rsid w:val="008702A1"/>
    <w:rsid w:val="00880F6C"/>
    <w:rsid w:val="00884805"/>
    <w:rsid w:val="00884C46"/>
    <w:rsid w:val="00884C8E"/>
    <w:rsid w:val="00897336"/>
    <w:rsid w:val="008A0657"/>
    <w:rsid w:val="008A3D6D"/>
    <w:rsid w:val="008A3F75"/>
    <w:rsid w:val="008A71DA"/>
    <w:rsid w:val="008A7ED3"/>
    <w:rsid w:val="008B31AB"/>
    <w:rsid w:val="008C1E9D"/>
    <w:rsid w:val="008C20B9"/>
    <w:rsid w:val="008C4ECE"/>
    <w:rsid w:val="008C79EA"/>
    <w:rsid w:val="008D0B55"/>
    <w:rsid w:val="008D3A21"/>
    <w:rsid w:val="008D45AE"/>
    <w:rsid w:val="008D7522"/>
    <w:rsid w:val="008D7C89"/>
    <w:rsid w:val="008E14DB"/>
    <w:rsid w:val="008E43C7"/>
    <w:rsid w:val="008F6851"/>
    <w:rsid w:val="0090152E"/>
    <w:rsid w:val="00906007"/>
    <w:rsid w:val="009134D2"/>
    <w:rsid w:val="009137C2"/>
    <w:rsid w:val="00915390"/>
    <w:rsid w:val="00915811"/>
    <w:rsid w:val="00935BAC"/>
    <w:rsid w:val="0093768D"/>
    <w:rsid w:val="009402C9"/>
    <w:rsid w:val="009429F8"/>
    <w:rsid w:val="00946E8F"/>
    <w:rsid w:val="009514ED"/>
    <w:rsid w:val="00953ADB"/>
    <w:rsid w:val="00957BBA"/>
    <w:rsid w:val="00963646"/>
    <w:rsid w:val="009638CF"/>
    <w:rsid w:val="00965292"/>
    <w:rsid w:val="00973B31"/>
    <w:rsid w:val="00974287"/>
    <w:rsid w:val="00975B16"/>
    <w:rsid w:val="00975ED4"/>
    <w:rsid w:val="009803C0"/>
    <w:rsid w:val="0098158C"/>
    <w:rsid w:val="009A45DC"/>
    <w:rsid w:val="009A7344"/>
    <w:rsid w:val="009B6491"/>
    <w:rsid w:val="009B68F5"/>
    <w:rsid w:val="009B6A94"/>
    <w:rsid w:val="009C03F1"/>
    <w:rsid w:val="009C1108"/>
    <w:rsid w:val="009C2787"/>
    <w:rsid w:val="009C56E1"/>
    <w:rsid w:val="009C7EC2"/>
    <w:rsid w:val="009D1588"/>
    <w:rsid w:val="009D2887"/>
    <w:rsid w:val="009D28CD"/>
    <w:rsid w:val="009D31AF"/>
    <w:rsid w:val="009D51B8"/>
    <w:rsid w:val="009E0339"/>
    <w:rsid w:val="009E1CB6"/>
    <w:rsid w:val="009E50FB"/>
    <w:rsid w:val="009F0842"/>
    <w:rsid w:val="009F32DA"/>
    <w:rsid w:val="009F3B6A"/>
    <w:rsid w:val="009F4BA9"/>
    <w:rsid w:val="009F61DA"/>
    <w:rsid w:val="009F63A9"/>
    <w:rsid w:val="00A0278C"/>
    <w:rsid w:val="00A046B4"/>
    <w:rsid w:val="00A06D65"/>
    <w:rsid w:val="00A11CC0"/>
    <w:rsid w:val="00A1379C"/>
    <w:rsid w:val="00A1589E"/>
    <w:rsid w:val="00A17BFE"/>
    <w:rsid w:val="00A20CDC"/>
    <w:rsid w:val="00A33BDE"/>
    <w:rsid w:val="00A35ED0"/>
    <w:rsid w:val="00A50EE0"/>
    <w:rsid w:val="00A511B6"/>
    <w:rsid w:val="00A55344"/>
    <w:rsid w:val="00A57984"/>
    <w:rsid w:val="00A60693"/>
    <w:rsid w:val="00A65677"/>
    <w:rsid w:val="00A67FE5"/>
    <w:rsid w:val="00A713D6"/>
    <w:rsid w:val="00A741BF"/>
    <w:rsid w:val="00A76393"/>
    <w:rsid w:val="00A813ED"/>
    <w:rsid w:val="00A828A5"/>
    <w:rsid w:val="00A859EE"/>
    <w:rsid w:val="00A86ABE"/>
    <w:rsid w:val="00A91446"/>
    <w:rsid w:val="00A9442A"/>
    <w:rsid w:val="00A950CE"/>
    <w:rsid w:val="00A96C3D"/>
    <w:rsid w:val="00A96E42"/>
    <w:rsid w:val="00A9725B"/>
    <w:rsid w:val="00AA1DA1"/>
    <w:rsid w:val="00AA2081"/>
    <w:rsid w:val="00AA57DA"/>
    <w:rsid w:val="00AA6F96"/>
    <w:rsid w:val="00AA79F0"/>
    <w:rsid w:val="00AB01CB"/>
    <w:rsid w:val="00AB1941"/>
    <w:rsid w:val="00AC095F"/>
    <w:rsid w:val="00AC1629"/>
    <w:rsid w:val="00AC5B8B"/>
    <w:rsid w:val="00AC5E2A"/>
    <w:rsid w:val="00AD17A3"/>
    <w:rsid w:val="00AE03E5"/>
    <w:rsid w:val="00AE06B2"/>
    <w:rsid w:val="00AE1E5A"/>
    <w:rsid w:val="00AE3AE5"/>
    <w:rsid w:val="00AE7DB2"/>
    <w:rsid w:val="00AF01AE"/>
    <w:rsid w:val="00AF3F47"/>
    <w:rsid w:val="00AF441C"/>
    <w:rsid w:val="00AF7DFA"/>
    <w:rsid w:val="00B01EE8"/>
    <w:rsid w:val="00B0355E"/>
    <w:rsid w:val="00B04755"/>
    <w:rsid w:val="00B065D1"/>
    <w:rsid w:val="00B10BE6"/>
    <w:rsid w:val="00B11146"/>
    <w:rsid w:val="00B1123B"/>
    <w:rsid w:val="00B11495"/>
    <w:rsid w:val="00B15221"/>
    <w:rsid w:val="00B17340"/>
    <w:rsid w:val="00B21A8F"/>
    <w:rsid w:val="00B27056"/>
    <w:rsid w:val="00B311FD"/>
    <w:rsid w:val="00B3502E"/>
    <w:rsid w:val="00B362D8"/>
    <w:rsid w:val="00B407AA"/>
    <w:rsid w:val="00B41C0E"/>
    <w:rsid w:val="00B47636"/>
    <w:rsid w:val="00B50D5F"/>
    <w:rsid w:val="00B53F02"/>
    <w:rsid w:val="00B55C8A"/>
    <w:rsid w:val="00B57923"/>
    <w:rsid w:val="00B6012A"/>
    <w:rsid w:val="00B61AB2"/>
    <w:rsid w:val="00B62A11"/>
    <w:rsid w:val="00B651E3"/>
    <w:rsid w:val="00B65650"/>
    <w:rsid w:val="00B6583F"/>
    <w:rsid w:val="00B67105"/>
    <w:rsid w:val="00B67285"/>
    <w:rsid w:val="00B73EBD"/>
    <w:rsid w:val="00B75216"/>
    <w:rsid w:val="00B81CCD"/>
    <w:rsid w:val="00B83B84"/>
    <w:rsid w:val="00B86C56"/>
    <w:rsid w:val="00B8775E"/>
    <w:rsid w:val="00B925E9"/>
    <w:rsid w:val="00B96220"/>
    <w:rsid w:val="00B96297"/>
    <w:rsid w:val="00BA1547"/>
    <w:rsid w:val="00BA2843"/>
    <w:rsid w:val="00BA2CDE"/>
    <w:rsid w:val="00BA3189"/>
    <w:rsid w:val="00BA4282"/>
    <w:rsid w:val="00BA5D9E"/>
    <w:rsid w:val="00BA6902"/>
    <w:rsid w:val="00BA6F03"/>
    <w:rsid w:val="00BB0DA6"/>
    <w:rsid w:val="00BB303D"/>
    <w:rsid w:val="00BB34F0"/>
    <w:rsid w:val="00BC3434"/>
    <w:rsid w:val="00BC3814"/>
    <w:rsid w:val="00BC445D"/>
    <w:rsid w:val="00BC5B70"/>
    <w:rsid w:val="00BC624E"/>
    <w:rsid w:val="00BE19D8"/>
    <w:rsid w:val="00BE20F4"/>
    <w:rsid w:val="00BE298B"/>
    <w:rsid w:val="00BE350A"/>
    <w:rsid w:val="00BE57F8"/>
    <w:rsid w:val="00BE6D61"/>
    <w:rsid w:val="00BF0888"/>
    <w:rsid w:val="00BF26DA"/>
    <w:rsid w:val="00BF4A22"/>
    <w:rsid w:val="00C00989"/>
    <w:rsid w:val="00C0211A"/>
    <w:rsid w:val="00C036E0"/>
    <w:rsid w:val="00C0413C"/>
    <w:rsid w:val="00C06EB2"/>
    <w:rsid w:val="00C11DD1"/>
    <w:rsid w:val="00C12070"/>
    <w:rsid w:val="00C144F5"/>
    <w:rsid w:val="00C171FF"/>
    <w:rsid w:val="00C20136"/>
    <w:rsid w:val="00C2037B"/>
    <w:rsid w:val="00C238E0"/>
    <w:rsid w:val="00C25762"/>
    <w:rsid w:val="00C261DC"/>
    <w:rsid w:val="00C264EC"/>
    <w:rsid w:val="00C33591"/>
    <w:rsid w:val="00C4185E"/>
    <w:rsid w:val="00C43F45"/>
    <w:rsid w:val="00C453AE"/>
    <w:rsid w:val="00C47356"/>
    <w:rsid w:val="00C51B0F"/>
    <w:rsid w:val="00C56342"/>
    <w:rsid w:val="00C600CC"/>
    <w:rsid w:val="00C62DCB"/>
    <w:rsid w:val="00C6599A"/>
    <w:rsid w:val="00C71729"/>
    <w:rsid w:val="00C72782"/>
    <w:rsid w:val="00C74C29"/>
    <w:rsid w:val="00C90018"/>
    <w:rsid w:val="00C91075"/>
    <w:rsid w:val="00C919EF"/>
    <w:rsid w:val="00C95114"/>
    <w:rsid w:val="00C978B2"/>
    <w:rsid w:val="00CA0AB6"/>
    <w:rsid w:val="00CA6960"/>
    <w:rsid w:val="00CB0A94"/>
    <w:rsid w:val="00CB14A1"/>
    <w:rsid w:val="00CB7651"/>
    <w:rsid w:val="00CB7CDF"/>
    <w:rsid w:val="00CC3209"/>
    <w:rsid w:val="00CC5DCE"/>
    <w:rsid w:val="00CD4E68"/>
    <w:rsid w:val="00CE225B"/>
    <w:rsid w:val="00CE57E2"/>
    <w:rsid w:val="00CF30BB"/>
    <w:rsid w:val="00CF7387"/>
    <w:rsid w:val="00CF798B"/>
    <w:rsid w:val="00D0076B"/>
    <w:rsid w:val="00D02F74"/>
    <w:rsid w:val="00D058F8"/>
    <w:rsid w:val="00D0597A"/>
    <w:rsid w:val="00D06AFB"/>
    <w:rsid w:val="00D06EF6"/>
    <w:rsid w:val="00D07C53"/>
    <w:rsid w:val="00D14C23"/>
    <w:rsid w:val="00D25CA2"/>
    <w:rsid w:val="00D27761"/>
    <w:rsid w:val="00D30D21"/>
    <w:rsid w:val="00D3258E"/>
    <w:rsid w:val="00D32F2E"/>
    <w:rsid w:val="00D334E2"/>
    <w:rsid w:val="00D34D0E"/>
    <w:rsid w:val="00D36A3D"/>
    <w:rsid w:val="00D4222F"/>
    <w:rsid w:val="00D4257B"/>
    <w:rsid w:val="00D42AC0"/>
    <w:rsid w:val="00D4665F"/>
    <w:rsid w:val="00D4687C"/>
    <w:rsid w:val="00D536CF"/>
    <w:rsid w:val="00D537E3"/>
    <w:rsid w:val="00D53BC7"/>
    <w:rsid w:val="00D56972"/>
    <w:rsid w:val="00D64A21"/>
    <w:rsid w:val="00D706C9"/>
    <w:rsid w:val="00D72B6D"/>
    <w:rsid w:val="00D7342A"/>
    <w:rsid w:val="00D752F9"/>
    <w:rsid w:val="00D753F2"/>
    <w:rsid w:val="00D80095"/>
    <w:rsid w:val="00D83156"/>
    <w:rsid w:val="00D85941"/>
    <w:rsid w:val="00D860BA"/>
    <w:rsid w:val="00D92B9E"/>
    <w:rsid w:val="00D93BFA"/>
    <w:rsid w:val="00D949D5"/>
    <w:rsid w:val="00D9792E"/>
    <w:rsid w:val="00DA0EF9"/>
    <w:rsid w:val="00DA1D53"/>
    <w:rsid w:val="00DA24AF"/>
    <w:rsid w:val="00DA49D4"/>
    <w:rsid w:val="00DA5954"/>
    <w:rsid w:val="00DB2234"/>
    <w:rsid w:val="00DB28E3"/>
    <w:rsid w:val="00DB599B"/>
    <w:rsid w:val="00DB67FE"/>
    <w:rsid w:val="00DB7BD5"/>
    <w:rsid w:val="00DC016F"/>
    <w:rsid w:val="00DC1E2D"/>
    <w:rsid w:val="00DC2A26"/>
    <w:rsid w:val="00DD24BE"/>
    <w:rsid w:val="00DD24EC"/>
    <w:rsid w:val="00DD529F"/>
    <w:rsid w:val="00DE0AD1"/>
    <w:rsid w:val="00DE352E"/>
    <w:rsid w:val="00DE410E"/>
    <w:rsid w:val="00DF0790"/>
    <w:rsid w:val="00DF10CD"/>
    <w:rsid w:val="00DF20B9"/>
    <w:rsid w:val="00DF2385"/>
    <w:rsid w:val="00DF2605"/>
    <w:rsid w:val="00DF5179"/>
    <w:rsid w:val="00DF53F3"/>
    <w:rsid w:val="00DF5A26"/>
    <w:rsid w:val="00E053DF"/>
    <w:rsid w:val="00E05C2A"/>
    <w:rsid w:val="00E1381D"/>
    <w:rsid w:val="00E14481"/>
    <w:rsid w:val="00E22BFB"/>
    <w:rsid w:val="00E27550"/>
    <w:rsid w:val="00E31AC0"/>
    <w:rsid w:val="00E40157"/>
    <w:rsid w:val="00E418E2"/>
    <w:rsid w:val="00E44349"/>
    <w:rsid w:val="00E46859"/>
    <w:rsid w:val="00E54BCB"/>
    <w:rsid w:val="00E54D2F"/>
    <w:rsid w:val="00E55B19"/>
    <w:rsid w:val="00E60680"/>
    <w:rsid w:val="00E61277"/>
    <w:rsid w:val="00E613C3"/>
    <w:rsid w:val="00E61654"/>
    <w:rsid w:val="00E635E5"/>
    <w:rsid w:val="00E65E21"/>
    <w:rsid w:val="00E67159"/>
    <w:rsid w:val="00E71582"/>
    <w:rsid w:val="00E73A23"/>
    <w:rsid w:val="00E73C17"/>
    <w:rsid w:val="00E74232"/>
    <w:rsid w:val="00E77C9F"/>
    <w:rsid w:val="00E84371"/>
    <w:rsid w:val="00E912DB"/>
    <w:rsid w:val="00E939D2"/>
    <w:rsid w:val="00E93AB5"/>
    <w:rsid w:val="00E93D1E"/>
    <w:rsid w:val="00E94F98"/>
    <w:rsid w:val="00E9663B"/>
    <w:rsid w:val="00EA410C"/>
    <w:rsid w:val="00EB0DE6"/>
    <w:rsid w:val="00EB4D84"/>
    <w:rsid w:val="00EB4FCB"/>
    <w:rsid w:val="00EB7BCA"/>
    <w:rsid w:val="00EC062A"/>
    <w:rsid w:val="00EC0C92"/>
    <w:rsid w:val="00EC4647"/>
    <w:rsid w:val="00EC5C73"/>
    <w:rsid w:val="00ED1C00"/>
    <w:rsid w:val="00ED7E30"/>
    <w:rsid w:val="00EE05E6"/>
    <w:rsid w:val="00EE6144"/>
    <w:rsid w:val="00EF13A3"/>
    <w:rsid w:val="00EF2EFC"/>
    <w:rsid w:val="00F0080A"/>
    <w:rsid w:val="00F00E2C"/>
    <w:rsid w:val="00F01FEC"/>
    <w:rsid w:val="00F02D8D"/>
    <w:rsid w:val="00F07070"/>
    <w:rsid w:val="00F07DC5"/>
    <w:rsid w:val="00F10B15"/>
    <w:rsid w:val="00F120DA"/>
    <w:rsid w:val="00F13A82"/>
    <w:rsid w:val="00F13E43"/>
    <w:rsid w:val="00F13FE7"/>
    <w:rsid w:val="00F1476B"/>
    <w:rsid w:val="00F147AA"/>
    <w:rsid w:val="00F161CB"/>
    <w:rsid w:val="00F2123B"/>
    <w:rsid w:val="00F21F67"/>
    <w:rsid w:val="00F22B30"/>
    <w:rsid w:val="00F23626"/>
    <w:rsid w:val="00F2648A"/>
    <w:rsid w:val="00F27383"/>
    <w:rsid w:val="00F3032B"/>
    <w:rsid w:val="00F31008"/>
    <w:rsid w:val="00F31E0D"/>
    <w:rsid w:val="00F420D4"/>
    <w:rsid w:val="00F44863"/>
    <w:rsid w:val="00F44D00"/>
    <w:rsid w:val="00F4677C"/>
    <w:rsid w:val="00F542E2"/>
    <w:rsid w:val="00F56069"/>
    <w:rsid w:val="00F6136D"/>
    <w:rsid w:val="00F66649"/>
    <w:rsid w:val="00F7791F"/>
    <w:rsid w:val="00F80CE5"/>
    <w:rsid w:val="00F81F21"/>
    <w:rsid w:val="00F8349C"/>
    <w:rsid w:val="00F94E35"/>
    <w:rsid w:val="00F96EDB"/>
    <w:rsid w:val="00F9794E"/>
    <w:rsid w:val="00F97C26"/>
    <w:rsid w:val="00FA1810"/>
    <w:rsid w:val="00FA4F8D"/>
    <w:rsid w:val="00FA5BFE"/>
    <w:rsid w:val="00FB09D5"/>
    <w:rsid w:val="00FB20C2"/>
    <w:rsid w:val="00FB67B1"/>
    <w:rsid w:val="00FB7F4F"/>
    <w:rsid w:val="00FC01C4"/>
    <w:rsid w:val="00FC566F"/>
    <w:rsid w:val="00FC572D"/>
    <w:rsid w:val="00FC5BFC"/>
    <w:rsid w:val="00FD09F9"/>
    <w:rsid w:val="00FD0D17"/>
    <w:rsid w:val="00FD4743"/>
    <w:rsid w:val="00FD5DD7"/>
    <w:rsid w:val="00FE3665"/>
    <w:rsid w:val="00FF0DDE"/>
    <w:rsid w:val="00FF26BF"/>
    <w:rsid w:val="00FF3CB3"/>
    <w:rsid w:val="00FF6D42"/>
    <w:rsid w:val="03BA575C"/>
    <w:rsid w:val="04D10F82"/>
    <w:rsid w:val="07871843"/>
    <w:rsid w:val="08893D27"/>
    <w:rsid w:val="12F37FC2"/>
    <w:rsid w:val="14434CFA"/>
    <w:rsid w:val="1798436E"/>
    <w:rsid w:val="18E85519"/>
    <w:rsid w:val="196F63A9"/>
    <w:rsid w:val="1AED393D"/>
    <w:rsid w:val="1BDB67E6"/>
    <w:rsid w:val="203327FE"/>
    <w:rsid w:val="20525A5D"/>
    <w:rsid w:val="20FE641C"/>
    <w:rsid w:val="22041A3E"/>
    <w:rsid w:val="232666F3"/>
    <w:rsid w:val="27BA007C"/>
    <w:rsid w:val="2A687324"/>
    <w:rsid w:val="2E304E7D"/>
    <w:rsid w:val="2F351E16"/>
    <w:rsid w:val="2FE9188B"/>
    <w:rsid w:val="30446459"/>
    <w:rsid w:val="30BE6499"/>
    <w:rsid w:val="35A45A5D"/>
    <w:rsid w:val="37C81FDB"/>
    <w:rsid w:val="37ED6CD2"/>
    <w:rsid w:val="386B7F11"/>
    <w:rsid w:val="3BED4D12"/>
    <w:rsid w:val="3E8409D1"/>
    <w:rsid w:val="41C558B1"/>
    <w:rsid w:val="44025814"/>
    <w:rsid w:val="46D55076"/>
    <w:rsid w:val="46E4360E"/>
    <w:rsid w:val="484919EE"/>
    <w:rsid w:val="4C8F04D4"/>
    <w:rsid w:val="4D27303C"/>
    <w:rsid w:val="4FF551BE"/>
    <w:rsid w:val="4FFB386A"/>
    <w:rsid w:val="50E3614D"/>
    <w:rsid w:val="54506CF3"/>
    <w:rsid w:val="55984E44"/>
    <w:rsid w:val="55CF33C8"/>
    <w:rsid w:val="57B84D31"/>
    <w:rsid w:val="5C794D91"/>
    <w:rsid w:val="5E996939"/>
    <w:rsid w:val="626DAC5D"/>
    <w:rsid w:val="67867CB5"/>
    <w:rsid w:val="67E80637"/>
    <w:rsid w:val="67FF3D84"/>
    <w:rsid w:val="6ABC2E61"/>
    <w:rsid w:val="6B9B0F83"/>
    <w:rsid w:val="6C300DA5"/>
    <w:rsid w:val="6D0F283F"/>
    <w:rsid w:val="6D450D72"/>
    <w:rsid w:val="6DEC2A34"/>
    <w:rsid w:val="716870A8"/>
    <w:rsid w:val="72FF847E"/>
    <w:rsid w:val="773104F5"/>
    <w:rsid w:val="7CA15348"/>
    <w:rsid w:val="7F0B6605"/>
    <w:rsid w:val="7FFFB171"/>
    <w:rsid w:val="BEF692E6"/>
    <w:rsid w:val="F7E75FDA"/>
    <w:rsid w:val="FDBD6444"/>
    <w:rsid w:val="FFF6CC3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link w:val="15"/>
    <w:unhideWhenUsed/>
    <w:qFormat/>
    <w:uiPriority w:val="99"/>
    <w:pPr>
      <w:spacing w:after="120"/>
    </w:pPr>
  </w:style>
  <w:style w:type="paragraph" w:styleId="4">
    <w:name w:val="Balloon Text"/>
    <w:basedOn w:val="1"/>
    <w:link w:val="14"/>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link w:val="11"/>
    <w:unhideWhenUsed/>
    <w:qFormat/>
    <w:uiPriority w:val="0"/>
    <w:pPr>
      <w:spacing w:after="120"/>
      <w:ind w:left="420" w:leftChars="200"/>
    </w:pPr>
    <w:rPr>
      <w:sz w:val="16"/>
      <w:szCs w:val="16"/>
    </w:rPr>
  </w:style>
  <w:style w:type="character" w:styleId="10">
    <w:name w:val="Hyperlink"/>
    <w:basedOn w:val="9"/>
    <w:semiHidden/>
    <w:unhideWhenUsed/>
    <w:qFormat/>
    <w:uiPriority w:val="99"/>
    <w:rPr>
      <w:color w:val="0000FF"/>
      <w:u w:val="single"/>
    </w:rPr>
  </w:style>
  <w:style w:type="character" w:customStyle="1" w:styleId="11">
    <w:name w:val="正文文本缩进 3 字符"/>
    <w:basedOn w:val="9"/>
    <w:link w:val="7"/>
    <w:semiHidden/>
    <w:qFormat/>
    <w:uiPriority w:val="0"/>
    <w:rPr>
      <w:rFonts w:ascii="Times New Roman" w:hAnsi="Times New Roman" w:eastAsia="宋体" w:cs="Times New Roman"/>
      <w:sz w:val="16"/>
      <w:szCs w:val="16"/>
    </w:rPr>
  </w:style>
  <w:style w:type="character" w:customStyle="1" w:styleId="12">
    <w:name w:val="页眉 字符"/>
    <w:basedOn w:val="9"/>
    <w:link w:val="6"/>
    <w:qFormat/>
    <w:uiPriority w:val="99"/>
    <w:rPr>
      <w:rFonts w:ascii="Times New Roman" w:hAnsi="Times New Roman" w:eastAsia="宋体" w:cs="Times New Roman"/>
      <w:sz w:val="18"/>
      <w:szCs w:val="18"/>
    </w:rPr>
  </w:style>
  <w:style w:type="character" w:customStyle="1" w:styleId="13">
    <w:name w:val="页脚 字符"/>
    <w:basedOn w:val="9"/>
    <w:link w:val="5"/>
    <w:qFormat/>
    <w:uiPriority w:val="99"/>
    <w:rPr>
      <w:rFonts w:ascii="Times New Roman" w:hAnsi="Times New Roman" w:eastAsia="宋体" w:cs="Times New Roman"/>
      <w:sz w:val="18"/>
      <w:szCs w:val="18"/>
    </w:rPr>
  </w:style>
  <w:style w:type="character" w:customStyle="1" w:styleId="14">
    <w:name w:val="批注框文本 字符"/>
    <w:basedOn w:val="9"/>
    <w:link w:val="4"/>
    <w:semiHidden/>
    <w:qFormat/>
    <w:uiPriority w:val="99"/>
    <w:rPr>
      <w:rFonts w:ascii="Times New Roman" w:hAnsi="Times New Roman" w:eastAsia="宋体" w:cs="Times New Roman"/>
      <w:sz w:val="18"/>
      <w:szCs w:val="18"/>
    </w:rPr>
  </w:style>
  <w:style w:type="character" w:customStyle="1" w:styleId="15">
    <w:name w:val="正文文本 字符"/>
    <w:basedOn w:val="9"/>
    <w:link w:val="3"/>
    <w:semiHidden/>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69DFB-B66F-427A-885D-FBECACA0D588}">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5418</Words>
  <Characters>5473</Characters>
  <Lines>42</Lines>
  <Paragraphs>11</Paragraphs>
  <TotalTime>129</TotalTime>
  <ScaleCrop>false</ScaleCrop>
  <LinksUpToDate>false</LinksUpToDate>
  <CharactersWithSpaces>5838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2023-10-09T10:13:00Z</dcterms:created>
  <dc:creator>吴琳晔</dc:creator>
  <cp:lastModifiedBy>WPS_1226398985</cp:lastModifiedBy>
  <cp:lastPrinted>2023-05-05T09:27:00Z</cp:lastPrinted>
  <dcterms:modified xsi:type="dcterms:W3CDTF">2026-03-25T07:24:52Z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20D3972EA67A4E5ABB75B53A4B3DB281_13</vt:lpwstr>
  </property>
  <property fmtid="{D5CDD505-2E9C-101B-9397-08002B2CF9AE}" pid="4" name="KSOTemplateDocerSaveRecord">
    <vt:lpwstr>eyJoZGlkIjoiZDc1NjBlZjM0NGU0NjA2MWE1NTdlMzE1NDE0YjM3N2EiLCJ1c2VySWQiOiIxMjI2Mzk4OTg1In0=</vt:lpwstr>
  </property>
</Properties>
</file>