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F23B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2A9D1CFC">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杭州企业产权交易中心有限公司</w:t>
      </w:r>
      <w:r>
        <w:rPr>
          <w:rFonts w:hint="eastAsia" w:asciiTheme="minorEastAsia" w:hAnsiTheme="minorEastAsia" w:eastAsiaTheme="minorEastAsia"/>
          <w:szCs w:val="21"/>
          <w:lang w:eastAsia="zh-CN"/>
        </w:rPr>
        <w:t>：</w:t>
      </w:r>
    </w:p>
    <w:p w14:paraId="6233670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szCs w:val="21"/>
          <w:highlight w:val="none"/>
          <w:u w:val="single"/>
          <w:lang w:val="en-US" w:eastAsia="zh-CN"/>
        </w:rPr>
        <w:t>杭州市拱墅区木庵小区【    】幢【    】单元【    】室房产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876980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26E554C3">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7B7677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2E1AC4A">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4261934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14:paraId="1B81DF6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（2）已知悉并同意：</w:t>
      </w:r>
      <w:r>
        <w:rPr>
          <w:rFonts w:hint="eastAsia" w:ascii="宋体" w:hAnsi="宋体" w:eastAsia="宋体" w:cs="Times New Roman"/>
          <w:highlight w:val="none"/>
        </w:rPr>
        <w:t>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w:t>
      </w:r>
      <w:r>
        <w:rPr>
          <w:rFonts w:hint="eastAsia" w:asciiTheme="minorEastAsia" w:hAnsiTheme="minorEastAsia" w:eastAsiaTheme="minorEastAsia" w:cstheme="minorEastAsia"/>
          <w:sz w:val="21"/>
          <w:szCs w:val="21"/>
          <w:u w:val="none"/>
          <w:lang w:val="en-US" w:eastAsia="zh-CN"/>
        </w:rPr>
        <w:t>（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14:paraId="0FF02D3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（3）已知悉并同意：在办理房产权证过户手续过程中所涉及买卖双方应缴纳的税、费，按国家有关规定由产权方与受让方各自承担。</w:t>
      </w:r>
    </w:p>
    <w:p w14:paraId="2137186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已知悉并同意：在办理房产权证变更登记手续时，有关职能部门要求提供文本合同的，产权方和受让方应按照相关规定签订文本合同，但双方签订的该等文本合同仅作为办理登记手续之用，不作为双方的实际履行依据，双方权利义务关系均以《资产交易合同》（样本）为准。</w:t>
      </w:r>
    </w:p>
    <w:p w14:paraId="73F4C8C4">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（5）已知悉并同意：物业管理费从交接次月起由受让方承担。水、电开户的相关手续及费用由受让方自理，但是否可以重新开户不在产权方合同义务范围内，具体按照交易标的情况和政府相关管理规定执行。</w:t>
      </w:r>
    </w:p>
    <w:p w14:paraId="0032B607">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（6）已知悉并同意：本次交易标的只限于权证核定的面积范围内。标的房屋存在长时间未使用等情况，如有漏水或需维修的情况，均由受让方自理,转让方、产权方不承担任何费用和责任。</w:t>
      </w:r>
    </w:p>
    <w:p w14:paraId="6401170B">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已知悉并同意：如有户口未迁出的情况发生，由杭交所通知转让方，转让方再通知原户主把户口迁出，但有关学区房孩子能否就读的情况请受让方自行查证，对此转让方、产权方、经纪会员和杭交所不做承诺。</w:t>
      </w:r>
    </w:p>
    <w:p w14:paraId="45A7797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（8）已知悉并同意：本次交易标的目前土地使用类型为划拨，在办理标的权证过户时，土地使用类型会变化，因土地使用类型变化引起的土地有偿使用费，由受让方承担并缴纳。</w:t>
      </w:r>
    </w:p>
    <w:p w14:paraId="76916EA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（9）已知悉并同意：本次交易标的成交后，受让方需按房产所在小区物业管理规定交纳物业管理费。</w:t>
      </w:r>
    </w:p>
    <w:p w14:paraId="5F3A1813">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（10）我方已知悉：本次转让方与受让方的权利义务以及房屋的交接，最终以转让方提供的《资产交易合同》为准。</w:t>
      </w:r>
    </w:p>
    <w:p w14:paraId="0C49037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（11）</w:t>
      </w:r>
      <w:bookmarkStart w:id="0" w:name="_GoBack"/>
      <w:r>
        <w:rPr>
          <w:rFonts w:hint="eastAsia" w:asciiTheme="minorEastAsia" w:hAnsiTheme="minorEastAsia" w:eastAsiaTheme="minorEastAsia" w:cstheme="minorEastAsia"/>
          <w:sz w:val="21"/>
          <w:szCs w:val="21"/>
          <w:u w:val="none"/>
          <w:lang w:val="en-US" w:eastAsia="zh-CN"/>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14:paraId="3EAC6C2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①意向受让方提交受让申请材料并交纳交易保证金后单方撤回受让申请的；</w:t>
      </w:r>
    </w:p>
    <w:p w14:paraId="0EC7CB7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②产生符合条件的意向受让方后，各意向受让方在竞价期间均不报价的；</w:t>
      </w:r>
    </w:p>
    <w:p w14:paraId="3241F7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③在被确定为受让方后未按约定签署《资产交易合同》的或未按约定支付交易价款、交易服务费的；</w:t>
      </w:r>
    </w:p>
    <w:p w14:paraId="3BE948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④意向受让方未履行书面承诺事项的；</w:t>
      </w:r>
    </w:p>
    <w:p w14:paraId="7400C40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⑤存在其他违反交易规则情形的。</w:t>
      </w:r>
    </w:p>
    <w:bookmarkEnd w:id="0"/>
    <w:p w14:paraId="7B376C82">
      <w:pPr>
        <w:pStyle w:val="2"/>
        <w:rPr>
          <w:rFonts w:hint="eastAsia"/>
          <w:lang w:val="en-US" w:eastAsia="zh-CN"/>
        </w:rPr>
      </w:pPr>
    </w:p>
    <w:p w14:paraId="33435AF1">
      <w:pPr>
        <w:keepNext w:val="0"/>
        <w:keepLines w:val="0"/>
        <w:pageBreakBefore w:val="0"/>
        <w:kinsoku/>
        <w:wordWrap/>
        <w:overflowPunct/>
        <w:topLinePunct w:val="0"/>
        <w:autoSpaceDE/>
        <w:autoSpaceDN/>
        <w:bidi w:val="0"/>
        <w:adjustRightInd/>
        <w:snapToGrid/>
        <w:spacing w:line="380" w:lineRule="exact"/>
        <w:ind w:firstLine="5670" w:firstLineChars="27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意向受让方（签章）：</w:t>
      </w:r>
    </w:p>
    <w:p w14:paraId="5413163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年   月   日</w:t>
      </w:r>
    </w:p>
    <w:p w14:paraId="0F3D16C0">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68F5C99"/>
    <w:rsid w:val="1A4D26DA"/>
    <w:rsid w:val="21A71F2F"/>
    <w:rsid w:val="244C7748"/>
    <w:rsid w:val="25EF35A9"/>
    <w:rsid w:val="26851B4D"/>
    <w:rsid w:val="26CE05E2"/>
    <w:rsid w:val="29563AA0"/>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2B5384F"/>
    <w:rsid w:val="43D31E0E"/>
    <w:rsid w:val="45530D2A"/>
    <w:rsid w:val="45C32B75"/>
    <w:rsid w:val="48BB3081"/>
    <w:rsid w:val="4A8C1339"/>
    <w:rsid w:val="4CB033F0"/>
    <w:rsid w:val="4D4E2129"/>
    <w:rsid w:val="517C315B"/>
    <w:rsid w:val="51B53AC1"/>
    <w:rsid w:val="52C04869"/>
    <w:rsid w:val="550F2213"/>
    <w:rsid w:val="552600D9"/>
    <w:rsid w:val="590B26FF"/>
    <w:rsid w:val="59597257"/>
    <w:rsid w:val="5AB50C32"/>
    <w:rsid w:val="5FBF1411"/>
    <w:rsid w:val="610339B9"/>
    <w:rsid w:val="64127BB2"/>
    <w:rsid w:val="646972B1"/>
    <w:rsid w:val="67FE4DC6"/>
    <w:rsid w:val="693F1A22"/>
    <w:rsid w:val="6B0965FB"/>
    <w:rsid w:val="6BF86C61"/>
    <w:rsid w:val="6C1C6B25"/>
    <w:rsid w:val="729C34D0"/>
    <w:rsid w:val="75F95F98"/>
    <w:rsid w:val="77CC171C"/>
    <w:rsid w:val="7831152F"/>
    <w:rsid w:val="7A0905C7"/>
    <w:rsid w:val="7A361A0D"/>
    <w:rsid w:val="7A476BE2"/>
    <w:rsid w:val="7A722F48"/>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10"/>
    <w:link w:val="6"/>
    <w:semiHidden/>
    <w:qFormat/>
    <w:uiPriority w:val="99"/>
    <w:rPr>
      <w:rFonts w:ascii="Times New Roman" w:hAnsi="Times New Roman" w:eastAsia="宋体" w:cs="Times New Roman"/>
      <w:sz w:val="18"/>
      <w:szCs w:val="18"/>
    </w:rPr>
  </w:style>
  <w:style w:type="character" w:customStyle="1" w:styleId="13">
    <w:name w:val="页脚 字符"/>
    <w:basedOn w:val="10"/>
    <w:link w:val="5"/>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2121</Words>
  <Characters>2139</Characters>
  <Lines>15</Lines>
  <Paragraphs>4</Paragraphs>
  <TotalTime>3</TotalTime>
  <ScaleCrop>false</ScaleCrop>
  <LinksUpToDate>false</LinksUpToDate>
  <CharactersWithSpaces>2214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WPS_1226398985</cp:lastModifiedBy>
  <dcterms:modified xsi:type="dcterms:W3CDTF">2026-03-30T06:00:42Z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eyJoZGlkIjoiZDc1NjBlZjM0NGU0NjA2MWE1NTdlMzE1NDE0YjM3N2EiLCJ1c2VySWQiOiIxMjI2Mzk4OTg1In0=</vt:lpwstr>
  </property>
</Properties>
</file>