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杭州市临平区昌达路车辆段检修联合库部分库区（区域二）2年租赁权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ascii="宋体" w:hAnsi="宋体"/>
          <w:color w:val="auto"/>
          <w:szCs w:val="21"/>
          <w:highlight w:val="none"/>
        </w:rPr>
        <w:t>同意在被确定为承租方之日起3个工作日内，携带</w:t>
      </w:r>
      <w:r>
        <w:rPr>
          <w:rFonts w:hint="eastAsia" w:ascii="宋体" w:hAnsi="宋体"/>
          <w:color w:val="auto"/>
          <w:szCs w:val="21"/>
          <w:highlight w:val="none"/>
        </w:rPr>
        <w:t>报名时上传的主体资格证明等相关文件原件</w:t>
      </w:r>
      <w:r>
        <w:rPr>
          <w:rFonts w:ascii="宋体" w:hAnsi="宋体"/>
          <w:color w:val="auto"/>
          <w:szCs w:val="21"/>
          <w:highlight w:val="none"/>
        </w:rPr>
        <w:t>到杭交所完成现场确认并签署</w:t>
      </w:r>
      <w:r>
        <w:rPr>
          <w:rFonts w:hint="eastAsia" w:ascii="宋体" w:hAnsi="宋体"/>
          <w:color w:val="auto"/>
          <w:szCs w:val="21"/>
          <w:highlight w:val="none"/>
        </w:rPr>
        <w:t>《成交通知书》、《</w:t>
      </w:r>
      <w:r>
        <w:rPr>
          <w:rFonts w:hint="eastAsia" w:ascii="宋体" w:hAnsi="宋体"/>
          <w:color w:val="auto"/>
          <w:szCs w:val="21"/>
          <w:highlight w:val="none"/>
          <w:lang w:eastAsia="zh-CN"/>
        </w:rPr>
        <w:t>杭州地铁运营有限公司昌达路车辆段</w:t>
      </w:r>
      <w:r>
        <w:rPr>
          <w:rFonts w:hint="eastAsia" w:ascii="宋体" w:hAnsi="宋体"/>
          <w:color w:val="auto"/>
          <w:szCs w:val="21"/>
          <w:highlight w:val="none"/>
          <w:lang w:val="en-US" w:eastAsia="zh-CN"/>
        </w:rPr>
        <w:t>部分场地</w:t>
      </w:r>
      <w:r>
        <w:rPr>
          <w:rFonts w:hint="eastAsia" w:ascii="宋体" w:hAnsi="宋体"/>
          <w:color w:val="auto"/>
          <w:szCs w:val="21"/>
          <w:highlight w:val="none"/>
          <w:lang w:eastAsia="zh-CN"/>
        </w:rPr>
        <w:t>（区域</w:t>
      </w:r>
      <w:r>
        <w:rPr>
          <w:rFonts w:hint="eastAsia" w:ascii="宋体" w:hAnsi="宋体"/>
          <w:color w:val="auto"/>
          <w:szCs w:val="21"/>
          <w:highlight w:val="none"/>
          <w:lang w:val="en-US" w:eastAsia="zh-CN"/>
        </w:rPr>
        <w:t>二</w:t>
      </w:r>
      <w:r>
        <w:rPr>
          <w:rFonts w:hint="eastAsia" w:ascii="宋体" w:hAnsi="宋体"/>
          <w:color w:val="auto"/>
          <w:szCs w:val="21"/>
          <w:highlight w:val="none"/>
          <w:lang w:eastAsia="zh-CN"/>
        </w:rPr>
        <w:t>）租赁合同</w:t>
      </w:r>
      <w:r>
        <w:rPr>
          <w:rFonts w:hint="eastAsia" w:ascii="宋体" w:hAnsi="宋体"/>
          <w:color w:val="auto"/>
          <w:szCs w:val="21"/>
          <w:highlight w:val="none"/>
        </w:rPr>
        <w:t>》（以下简称“租赁合同”）、交易记录及相关合同文件</w:t>
      </w:r>
      <w:r>
        <w:rPr>
          <w:rFonts w:ascii="宋体" w:hAnsi="宋体"/>
          <w:color w:val="auto"/>
          <w:szCs w:val="21"/>
          <w:highlight w:val="none"/>
        </w:rPr>
        <w:t>；并在</w:t>
      </w:r>
      <w:r>
        <w:rPr>
          <w:rFonts w:hint="eastAsia" w:ascii="宋体" w:hAnsi="宋体"/>
          <w:color w:val="auto"/>
          <w:szCs w:val="21"/>
          <w:highlight w:val="none"/>
        </w:rPr>
        <w:t>租赁合同</w:t>
      </w:r>
      <w:r>
        <w:rPr>
          <w:rFonts w:ascii="宋体" w:hAnsi="宋体"/>
          <w:color w:val="auto"/>
          <w:szCs w:val="21"/>
          <w:highlight w:val="none"/>
        </w:rPr>
        <w:t>签署之日起5个工作日内向杭交所指定账户一次性支付交易服务费、履约保证金</w:t>
      </w:r>
      <w:r>
        <w:rPr>
          <w:rFonts w:hint="eastAsia" w:ascii="宋体" w:hAnsi="宋体"/>
          <w:color w:val="auto"/>
          <w:szCs w:val="21"/>
          <w:highlight w:val="none"/>
        </w:rPr>
        <w:t>和首期</w:t>
      </w:r>
      <w:r>
        <w:rPr>
          <w:rFonts w:ascii="宋体" w:hAnsi="宋体"/>
          <w:color w:val="auto"/>
          <w:szCs w:val="21"/>
          <w:highlight w:val="none"/>
        </w:rPr>
        <w:t>租金等交易资金（以到账时间为准）</w:t>
      </w:r>
      <w:r>
        <w:rPr>
          <w:rFonts w:hint="eastAsia" w:ascii="宋体" w:hAnsi="宋体"/>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4、同意杭交所在经出租方申请之日起3个工作日内将承租方已交纳的履约保证金和首期租金全部划转至出租方指定账户。</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）出租方对于租赁业态的要求仅系按照整体经营目标设定，不构成出租方对于满足该业态的任何实质或预期承诺。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出租方保证租赁场地权属无争议，出租方提供项目所属地块不动产权证作为本次租赁场地的权属证明。承租方不得在租赁场地内进行非法经营活动。</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）承租方在租赁房屋后，应按规定的用途使用房屋，未按规定经相关行政主管部门核准的，承租方不得将租赁房屋用于其他用途。</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电费收费标准为含税每度电单价按《国网浙江省电力有限公司代理购电工商业用户电价表》中单一制一般工商业用电35千伏及以上电度用电价格顺加10%；水费收费标准为不含税每立方米水人民币4.4元/立方米。水电费按半年（租赁年度）结算，半年结束后的15个工作日内一次性支付。垃圾清运费、保洁费、保安服务费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在租赁期内，承租方如需增加设备或对场地、设备进行技术改造的，需提供相应的施工方案，由出租方审批后方可执行，所产生的费用由承租方承担。租赁到期后，承租方负责按出租方要求恢复，出租方进行验收。</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在租赁期内，承租方应保持所租</w:t>
      </w:r>
      <w:r>
        <w:rPr>
          <w:rFonts w:hint="eastAsia" w:ascii="宋体" w:hAnsi="宋体"/>
          <w:color w:val="auto"/>
          <w:szCs w:val="21"/>
          <w:highlight w:val="none"/>
          <w:lang w:val="en-US" w:eastAsia="zh-CN"/>
        </w:rPr>
        <w:t>房屋</w:t>
      </w:r>
      <w:r>
        <w:rPr>
          <w:rFonts w:hint="eastAsia" w:ascii="宋体" w:hAnsi="宋体"/>
          <w:color w:val="auto"/>
          <w:szCs w:val="21"/>
          <w:highlight w:val="none"/>
        </w:rPr>
        <w:t>及附属设备完好无损。由于承租方原因造成</w:t>
      </w:r>
      <w:r>
        <w:rPr>
          <w:rFonts w:hint="eastAsia" w:ascii="宋体" w:hAnsi="宋体"/>
          <w:color w:val="auto"/>
          <w:szCs w:val="21"/>
          <w:highlight w:val="none"/>
          <w:lang w:val="en-US" w:eastAsia="zh-CN"/>
        </w:rPr>
        <w:t>房屋</w:t>
      </w:r>
      <w:r>
        <w:rPr>
          <w:rFonts w:hint="eastAsia" w:ascii="宋体" w:hAnsi="宋体"/>
          <w:color w:val="auto"/>
          <w:szCs w:val="21"/>
          <w:highlight w:val="none"/>
        </w:rPr>
        <w:t>及设备损坏的，承租方应当给予赔偿并修复，但合理折旧和损耗除外。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）承租方未经出租方书面同意不得对外转租。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eastAsia="zh-CN"/>
        </w:rPr>
        <w:t>）本次租赁权公开交易出租方与承租方的权利和义务以出租方提供的租赁合同（样本）为准。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各年累计租金在800万元以下，按照各年累计租金的2%收取；各年累计租金在800万元以上的，按照各年累计租金的1.5%收取。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eastAsiaTheme="minorEastAsia"/>
          <w:color w:val="auto"/>
          <w:szCs w:val="21"/>
          <w:highlight w:val="none"/>
          <w:lang w:val="en-US" w:eastAsia="zh-CN"/>
        </w:rPr>
        <w:t>租赁合同</w:t>
      </w:r>
      <w:r>
        <w:rPr>
          <w:rFonts w:hint="eastAsia" w:asciiTheme="minorEastAsia" w:hAnsiTheme="minorEastAsia" w:eastAsiaTheme="minorEastAsia"/>
          <w:szCs w:val="21"/>
        </w:rPr>
        <w:t>的或未按约定支付首期</w:t>
      </w:r>
      <w:r>
        <w:rPr>
          <w:rFonts w:hint="eastAsia" w:asciiTheme="minorEastAsia" w:hAnsiTheme="minorEastAsia" w:eastAsiaTheme="minorEastAsia"/>
          <w:szCs w:val="21"/>
          <w:lang w:val="en-US" w:eastAsia="zh-CN"/>
        </w:rPr>
        <w:t>租金</w:t>
      </w:r>
      <w:r>
        <w:rPr>
          <w:rFonts w:hint="eastAsia" w:ascii="宋体" w:hAnsi="宋体" w:eastAsia="宋体" w:cs="Times New Roman"/>
          <w:sz w:val="21"/>
          <w:szCs w:val="21"/>
        </w:rPr>
        <w:t>、履约保证金和交易服务费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第%1条"/>
      <w:lvlJc w:val="left"/>
      <w:pPr>
        <w:tabs>
          <w:tab w:val="left" w:pos="0"/>
        </w:tabs>
        <w:ind w:left="425" w:hanging="425"/>
      </w:pPr>
      <w:rPr>
        <w:rFonts w:hint="eastAsia" w:cs="Times New Roman"/>
        <w:b/>
        <w:bCs w:val="0"/>
        <w:i w:val="0"/>
        <w:iCs w:val="0"/>
        <w:caps w:val="0"/>
        <w:smallCaps w:val="0"/>
        <w:strike w:val="0"/>
        <w:dstrike w:val="0"/>
        <w:vanish w:val="0"/>
        <w:spacing w:val="0"/>
        <w:position w:val="0"/>
        <w:u w:val="none"/>
        <w:vertAlign w:val="baseline"/>
      </w:rPr>
    </w:lvl>
    <w:lvl w:ilvl="1" w:tentative="0">
      <w:start w:val="1"/>
      <w:numFmt w:val="decimal"/>
      <w:pStyle w:val="4"/>
      <w:lvlText w:val="%1.%2"/>
      <w:lvlJc w:val="left"/>
      <w:pPr>
        <w:tabs>
          <w:tab w:val="left" w:pos="-142"/>
        </w:tabs>
        <w:ind w:left="850" w:hanging="567"/>
      </w:pPr>
      <w:rPr>
        <w:rFonts w:hint="default" w:ascii="Times New Roman" w:hAnsi="Times New Roman"/>
      </w:rPr>
    </w:lvl>
    <w:lvl w:ilvl="2" w:tentative="0">
      <w:start w:val="1"/>
      <w:numFmt w:val="decimal"/>
      <w:lvlText w:val="%1.%2.%3"/>
      <w:lvlJc w:val="left"/>
      <w:pPr>
        <w:tabs>
          <w:tab w:val="left" w:pos="1134"/>
        </w:tabs>
        <w:ind w:left="1418" w:hanging="567"/>
      </w:pPr>
      <w:rPr>
        <w:rFonts w:hint="default" w:ascii="Times New Roman" w:hAnsi="Times New Roman"/>
        <w:b w:val="0"/>
        <w:bCs w:val="0"/>
        <w:i w:val="0"/>
        <w:iCs w:val="0"/>
        <w:caps w:val="0"/>
        <w:smallCaps w:val="0"/>
        <w:strike w:val="0"/>
        <w:dstrike w:val="0"/>
        <w:spacing w:val="0"/>
        <w:position w:val="0"/>
        <w:u w:val="none"/>
      </w:rPr>
    </w:lvl>
    <w:lvl w:ilvl="3" w:tentative="0">
      <w:start w:val="1"/>
      <w:numFmt w:val="decimal"/>
      <w:lvlText w:val="%1.%2.%3.%4"/>
      <w:lvlJc w:val="left"/>
      <w:pPr>
        <w:tabs>
          <w:tab w:val="left" w:pos="1701"/>
        </w:tabs>
        <w:ind w:left="2098" w:hanging="851"/>
      </w:pPr>
      <w:rPr>
        <w:rFonts w:hint="eastAsia"/>
      </w:rPr>
    </w:lvl>
    <w:lvl w:ilvl="4" w:tentative="0">
      <w:start w:val="1"/>
      <w:numFmt w:val="decimal"/>
      <w:lvlText w:val="%1.%2.%3.%4.%5"/>
      <w:lvlJc w:val="left"/>
      <w:pPr>
        <w:tabs>
          <w:tab w:val="left" w:pos="0"/>
        </w:tabs>
        <w:ind w:left="2551" w:hanging="850"/>
      </w:pPr>
      <w:rPr>
        <w:rFonts w:hint="eastAsia"/>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DFD59C3"/>
    <w:rsid w:val="0F1E4683"/>
    <w:rsid w:val="0F423341"/>
    <w:rsid w:val="0FA620A5"/>
    <w:rsid w:val="10346095"/>
    <w:rsid w:val="10E20B40"/>
    <w:rsid w:val="11561F17"/>
    <w:rsid w:val="122D5A9B"/>
    <w:rsid w:val="15B80C26"/>
    <w:rsid w:val="1664240F"/>
    <w:rsid w:val="166533E4"/>
    <w:rsid w:val="17DF339A"/>
    <w:rsid w:val="18AB29E5"/>
    <w:rsid w:val="198D65E8"/>
    <w:rsid w:val="1A4B5000"/>
    <w:rsid w:val="1AE30C41"/>
    <w:rsid w:val="1D772D50"/>
    <w:rsid w:val="1E2E20E9"/>
    <w:rsid w:val="1E570CAC"/>
    <w:rsid w:val="1E867034"/>
    <w:rsid w:val="1E9C785A"/>
    <w:rsid w:val="1EC62F0A"/>
    <w:rsid w:val="1FB76644"/>
    <w:rsid w:val="1FD732AF"/>
    <w:rsid w:val="209558D7"/>
    <w:rsid w:val="2164102D"/>
    <w:rsid w:val="21D62F05"/>
    <w:rsid w:val="224C47AB"/>
    <w:rsid w:val="22596EC8"/>
    <w:rsid w:val="22EF036A"/>
    <w:rsid w:val="25677B0B"/>
    <w:rsid w:val="258432D6"/>
    <w:rsid w:val="25CF0E14"/>
    <w:rsid w:val="25D72BEF"/>
    <w:rsid w:val="25F1264D"/>
    <w:rsid w:val="261256F5"/>
    <w:rsid w:val="26176E7E"/>
    <w:rsid w:val="261B6EAF"/>
    <w:rsid w:val="271B5A35"/>
    <w:rsid w:val="273E55C5"/>
    <w:rsid w:val="280C6FF3"/>
    <w:rsid w:val="29831BA4"/>
    <w:rsid w:val="29A37426"/>
    <w:rsid w:val="29AC0889"/>
    <w:rsid w:val="2A7A57A9"/>
    <w:rsid w:val="2A7E3585"/>
    <w:rsid w:val="2AC97973"/>
    <w:rsid w:val="2C5B5AFF"/>
    <w:rsid w:val="2C993CF8"/>
    <w:rsid w:val="2D095E73"/>
    <w:rsid w:val="2D462264"/>
    <w:rsid w:val="2DCF009A"/>
    <w:rsid w:val="2DDE0BE6"/>
    <w:rsid w:val="2E2C17B4"/>
    <w:rsid w:val="2EF16AF3"/>
    <w:rsid w:val="2FFC7C4A"/>
    <w:rsid w:val="30F66B22"/>
    <w:rsid w:val="31831344"/>
    <w:rsid w:val="31A85707"/>
    <w:rsid w:val="31C10B20"/>
    <w:rsid w:val="32147D6E"/>
    <w:rsid w:val="32824EDB"/>
    <w:rsid w:val="344459E3"/>
    <w:rsid w:val="34705D86"/>
    <w:rsid w:val="34B343DA"/>
    <w:rsid w:val="37200BEA"/>
    <w:rsid w:val="37A200AC"/>
    <w:rsid w:val="380B12B2"/>
    <w:rsid w:val="383374BF"/>
    <w:rsid w:val="384E2216"/>
    <w:rsid w:val="38536508"/>
    <w:rsid w:val="38CB4108"/>
    <w:rsid w:val="38DD4350"/>
    <w:rsid w:val="38FD240B"/>
    <w:rsid w:val="396F6817"/>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B82E6B"/>
    <w:rsid w:val="41F153B0"/>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0D7317"/>
    <w:rsid w:val="4F201E42"/>
    <w:rsid w:val="4F6D31A3"/>
    <w:rsid w:val="4FBC2F5F"/>
    <w:rsid w:val="52212BBB"/>
    <w:rsid w:val="53CF79C0"/>
    <w:rsid w:val="54130175"/>
    <w:rsid w:val="54AC0761"/>
    <w:rsid w:val="5502046E"/>
    <w:rsid w:val="552542D2"/>
    <w:rsid w:val="573A1D40"/>
    <w:rsid w:val="57576ED8"/>
    <w:rsid w:val="576B3208"/>
    <w:rsid w:val="57E43E5E"/>
    <w:rsid w:val="580A29D8"/>
    <w:rsid w:val="58266221"/>
    <w:rsid w:val="58E27BEC"/>
    <w:rsid w:val="59BB5339"/>
    <w:rsid w:val="59C553D4"/>
    <w:rsid w:val="59D25817"/>
    <w:rsid w:val="5A721786"/>
    <w:rsid w:val="5C6F1AF2"/>
    <w:rsid w:val="5D0B1ACB"/>
    <w:rsid w:val="5D5958B4"/>
    <w:rsid w:val="5F263445"/>
    <w:rsid w:val="60D41C1D"/>
    <w:rsid w:val="61AF798C"/>
    <w:rsid w:val="62D637DB"/>
    <w:rsid w:val="631C460C"/>
    <w:rsid w:val="63DB45BE"/>
    <w:rsid w:val="63F50A4F"/>
    <w:rsid w:val="65BC6383"/>
    <w:rsid w:val="669B59E7"/>
    <w:rsid w:val="67A91325"/>
    <w:rsid w:val="685936B8"/>
    <w:rsid w:val="69057392"/>
    <w:rsid w:val="6AA52327"/>
    <w:rsid w:val="6B3B2C71"/>
    <w:rsid w:val="6B5B46E4"/>
    <w:rsid w:val="6BEE766C"/>
    <w:rsid w:val="6C7E0522"/>
    <w:rsid w:val="6D490EB5"/>
    <w:rsid w:val="6DC2291F"/>
    <w:rsid w:val="6DD927FB"/>
    <w:rsid w:val="6DE029CA"/>
    <w:rsid w:val="70681F34"/>
    <w:rsid w:val="71204A9C"/>
    <w:rsid w:val="72C64894"/>
    <w:rsid w:val="744676DC"/>
    <w:rsid w:val="744E1347"/>
    <w:rsid w:val="752C2EA0"/>
    <w:rsid w:val="752E7623"/>
    <w:rsid w:val="76E45562"/>
    <w:rsid w:val="76EB56C1"/>
    <w:rsid w:val="77D53699"/>
    <w:rsid w:val="79944E61"/>
    <w:rsid w:val="7A54014C"/>
    <w:rsid w:val="7ADA7D76"/>
    <w:rsid w:val="7AE52BBB"/>
    <w:rsid w:val="7AFB73C0"/>
    <w:rsid w:val="7B403C14"/>
    <w:rsid w:val="7BA972A9"/>
    <w:rsid w:val="7CE3684D"/>
    <w:rsid w:val="7D1767FA"/>
    <w:rsid w:val="7DBB4E06"/>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paragraph" w:styleId="4">
    <w:name w:val="heading 3"/>
    <w:basedOn w:val="1"/>
    <w:next w:val="1"/>
    <w:qFormat/>
    <w:uiPriority w:val="0"/>
    <w:pPr>
      <w:numPr>
        <w:ilvl w:val="1"/>
        <w:numId w:val="1"/>
      </w:numPr>
      <w:tabs>
        <w:tab w:val="left" w:pos="0"/>
        <w:tab w:val="left" w:pos="1134"/>
      </w:tabs>
      <w:outlineLvl w:val="2"/>
    </w:pPr>
    <w:rPr>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5">
    <w:name w:val="annotation text"/>
    <w:basedOn w:val="1"/>
    <w:unhideWhenUsed/>
    <w:qFormat/>
    <w:uiPriority w:val="99"/>
    <w:pPr>
      <w:jc w:val="left"/>
    </w:pPr>
  </w:style>
  <w:style w:type="paragraph" w:styleId="6">
    <w:name w:val="Body Text"/>
    <w:basedOn w:val="1"/>
    <w:next w:val="7"/>
    <w:qFormat/>
    <w:uiPriority w:val="99"/>
    <w:pPr>
      <w:spacing w:before="120" w:after="120" w:line="360" w:lineRule="auto"/>
      <w:ind w:firstLine="800" w:firstLineChars="200"/>
    </w:pPr>
    <w:rPr>
      <w:rFonts w:ascii="宋体" w:hAnsi="宋体"/>
      <w:lang w:val="zh-CN"/>
    </w:rPr>
  </w:style>
  <w:style w:type="paragraph" w:customStyle="1" w:styleId="7">
    <w:name w:val="_Style 2"/>
    <w:basedOn w:val="1"/>
    <w:qFormat/>
    <w:uiPriority w:val="34"/>
    <w:pPr>
      <w:ind w:firstLine="420" w:firstLineChars="200"/>
    </w:pPr>
    <w:rPr>
      <w:rFonts w:ascii="Calibri" w:hAnsi="Calibri"/>
      <w:szCs w:val="22"/>
    </w:rPr>
  </w:style>
  <w:style w:type="paragraph" w:styleId="8">
    <w:name w:val="Body Text Indent"/>
    <w:basedOn w:val="1"/>
    <w:qFormat/>
    <w:uiPriority w:val="0"/>
    <w:pPr>
      <w:spacing w:after="120"/>
      <w:ind w:left="420" w:leftChars="200"/>
    </w:pPr>
  </w:style>
  <w:style w:type="paragraph" w:styleId="9">
    <w:name w:val="footer"/>
    <w:basedOn w:val="1"/>
    <w:link w:val="20"/>
    <w:semiHidden/>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2">
    <w:name w:val="Title"/>
    <w:basedOn w:val="1"/>
    <w:next w:val="1"/>
    <w:qFormat/>
    <w:uiPriority w:val="0"/>
    <w:pPr>
      <w:spacing w:before="240" w:after="60"/>
      <w:jc w:val="center"/>
      <w:outlineLvl w:val="0"/>
    </w:pPr>
    <w:rPr>
      <w:rFonts w:ascii="Cambria" w:hAnsi="Cambria"/>
      <w:b/>
      <w:bCs/>
      <w:kern w:val="28"/>
      <w:sz w:val="32"/>
      <w:szCs w:val="32"/>
    </w:rPr>
  </w:style>
  <w:style w:type="paragraph" w:styleId="13">
    <w:name w:val="Body Text First Indent"/>
    <w:basedOn w:val="6"/>
    <w:next w:val="1"/>
    <w:qFormat/>
    <w:uiPriority w:val="99"/>
    <w:pPr>
      <w:ind w:firstLine="420" w:firstLineChars="100"/>
    </w:pPr>
  </w:style>
  <w:style w:type="paragraph" w:styleId="14">
    <w:name w:val="Body Text First Indent 2"/>
    <w:basedOn w:val="8"/>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7">
    <w:name w:val="样式 标题 1 + 四号 加粗"/>
    <w:basedOn w:val="12"/>
    <w:next w:val="3"/>
    <w:qFormat/>
    <w:uiPriority w:val="0"/>
    <w:pPr>
      <w:keepNext/>
      <w:keepLines/>
      <w:spacing w:before="340" w:after="330" w:line="576" w:lineRule="auto"/>
      <w:jc w:val="both"/>
    </w:pPr>
    <w:rPr>
      <w:rFonts w:ascii="Calibri" w:hAnsi="Calibri" w:eastAsia="黑体"/>
      <w:b w:val="0"/>
      <w:kern w:val="44"/>
      <w:szCs w:val="24"/>
    </w:rPr>
  </w:style>
  <w:style w:type="paragraph" w:customStyle="1" w:styleId="18">
    <w:name w:val="NormalIndent"/>
    <w:basedOn w:val="1"/>
    <w:qFormat/>
    <w:uiPriority w:val="0"/>
    <w:pPr>
      <w:ind w:firstLine="420"/>
    </w:pPr>
    <w:rPr>
      <w:rFonts w:ascii="Calibri" w:hAnsi="Calibri"/>
      <w:szCs w:val="22"/>
    </w:rPr>
  </w:style>
  <w:style w:type="character" w:customStyle="1" w:styleId="19">
    <w:name w:val="页眉 Char"/>
    <w:basedOn w:val="16"/>
    <w:link w:val="10"/>
    <w:semiHidden/>
    <w:qFormat/>
    <w:uiPriority w:val="99"/>
    <w:rPr>
      <w:rFonts w:ascii="Times New Roman" w:hAnsi="Times New Roman" w:eastAsia="宋体" w:cs="Times New Roman"/>
      <w:sz w:val="18"/>
      <w:szCs w:val="18"/>
    </w:rPr>
  </w:style>
  <w:style w:type="character" w:customStyle="1" w:styleId="20">
    <w:name w:val="页脚 Char"/>
    <w:basedOn w:val="16"/>
    <w:link w:val="9"/>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paragraph" w:customStyle="1" w:styleId="22">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2026-03-24T02:14:32Z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55FE3FC9169147C0B6ABEA936C97CA2C</vt:lpwstr>
  </property>
</Properties>
</file>