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default" w:asciiTheme="minorEastAsia" w:hAnsiTheme="minorEastAsia" w:eastAsiaTheme="minorEastAsia"/>
          <w:b/>
          <w:bCs/>
          <w:szCs w:val="21"/>
          <w:u w:val="single"/>
        </w:rPr>
        <w:t>杭州市拱墅区商韵诚美商业中心2号楼501、502室房屋5年租赁权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w:t>
      </w:r>
      <w:r>
        <w:rPr>
          <w:rFonts w:hint="eastAsia" w:asciiTheme="minorEastAsia" w:hAnsiTheme="minorEastAsia" w:eastAsiaTheme="minorEastAsia"/>
          <w:b/>
          <w:bCs/>
          <w:szCs w:val="21"/>
          <w:u w:val="single"/>
        </w:rPr>
        <w:t>3</w:t>
      </w:r>
      <w:r>
        <w:rPr>
          <w:rFonts w:hint="eastAsia" w:asciiTheme="minorEastAsia" w:hAnsiTheme="minorEastAsia" w:eastAsiaTheme="minorEastAsia"/>
          <w:szCs w:val="21"/>
        </w:rPr>
        <w:t>个工作日内携带承租申请材料原件到杭交所完成现场确认并签署《成交通知书》、《房屋租赁合同》及附件；并在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及附件签署之日起</w:t>
      </w:r>
      <w:r>
        <w:rPr>
          <w:rFonts w:hint="eastAsia" w:asciiTheme="minorEastAsia" w:hAnsiTheme="minorEastAsia" w:eastAsiaTheme="minorEastAsia"/>
          <w:b/>
          <w:bCs/>
          <w:szCs w:val="21"/>
          <w:u w:val="single"/>
          <w:lang w:val="en-US" w:eastAsia="zh-CN"/>
        </w:rPr>
        <w:t>5</w:t>
      </w:r>
      <w:r>
        <w:rPr>
          <w:rFonts w:hint="eastAsia" w:asciiTheme="minorEastAsia" w:hAnsiTheme="minorEastAsia" w:eastAsiaTheme="minorEastAsia"/>
          <w:szCs w:val="21"/>
        </w:rPr>
        <w:t>个工作日内向杭交所指定账户一次性支付履约保证金和首期租金等交易资金（以到账时间为准）</w:t>
      </w:r>
      <w:bookmarkEnd w:id="0"/>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登记清单（用途）为商服用地/办公用房，使用权类型为出让/市场化商品房。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如因租赁房屋的用途与承租方的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8、若我方成为承租方，我方已知悉并同意：</w:t>
      </w:r>
      <w:r>
        <w:rPr>
          <w:rFonts w:hint="eastAsia" w:asciiTheme="minorEastAsia" w:hAnsiTheme="minorEastAsia" w:eastAsiaTheme="minorEastAsia"/>
          <w:szCs w:val="21"/>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在租赁期内，租赁房屋未经出租方书面同意不得转租。如承租方擅自转租的，转租行为无效。出租方有权单方面解除《房屋租赁合同》并收回房屋。如由此引起的经济损失由承租方自行承担，出租方不负任何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若我方成为承租方，我方已知悉并同意：为用电安全，建议承租方在承租物业内安装灭弧式智慧用电报警装置，费用自行承担。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本次租赁房屋外立面的广告位不属于本次承租范围。本次交易成交后，若承租方有意向租赁该广告位的需另行签署相关协议。承租方承诺在其租赁房屋内保留进出通道以供第三方正常使用、维护广告位，且不以此向出租方主张任何赔偿或补偿。</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①未被责令停业或破产状态；②财产未被重组、接管、查封、扣押或冻结；③最近三年在经营活动中未出现违法、违纪、违规以及不良信誉记录；④在生产经营活动中未出现重大安全责任事故；⑤近三年内承租方未与出租方杭州外事旅游汽车集团有限公司及其关联企业（包括杭州市商贸旅游集团有限公司及杭州市商贸旅游集团有限公司的对外投资企业，含全部直接及间接参股企业）发生过合同争议纠纷、仲裁或诉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以《房屋租赁合同》及附件（样本）为准。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bookmarkStart w:id="4" w:name="_GoBack"/>
      <w:bookmarkEnd w:id="4"/>
      <w:r>
        <w:rPr>
          <w:rFonts w:hint="eastAsia" w:asciiTheme="minorEastAsia" w:hAnsiTheme="minorEastAsia" w:eastAsiaTheme="minorEastAsia"/>
          <w:szCs w:val="21"/>
        </w:rPr>
        <w:t>》及附件的或未按约定支付首期租金、履约保证金的；</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2DD65F0"/>
    <w:rsid w:val="45F94112"/>
    <w:rsid w:val="494F753A"/>
    <w:rsid w:val="4A9D5263"/>
    <w:rsid w:val="4AFF3DA7"/>
    <w:rsid w:val="4BFB2A98"/>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 w:type="paragraph" w:customStyle="1" w:styleId="24">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2026-03-20T06:04:53Z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