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62A21">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08F953FC">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44D110E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7DCB5446">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杭州市西湖区庄墩路375、377号房屋5年租赁权</w:t>
      </w:r>
      <w:r>
        <w:rPr>
          <w:rFonts w:hint="eastAsia" w:asciiTheme="minorEastAsia" w:hAnsiTheme="minorEastAsia" w:eastAsiaTheme="minorEastAsia"/>
          <w:szCs w:val="21"/>
        </w:rPr>
        <w:t>，现做如下承诺：</w:t>
      </w:r>
    </w:p>
    <w:p w14:paraId="3C038F0F">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3362EBD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w:t>
      </w:r>
      <w:bookmarkStart w:id="5" w:name="_GoBack"/>
      <w:bookmarkEnd w:id="5"/>
      <w:r>
        <w:rPr>
          <w:rFonts w:hint="eastAsia" w:asciiTheme="minorEastAsia" w:hAnsiTheme="minorEastAsia" w:eastAsiaTheme="minorEastAsia"/>
          <w:szCs w:val="21"/>
        </w:rPr>
        <w:t>，表明已完全了解并自愿接受标的的全部现状及瑕疵，并自愿承担一切交易风险。</w:t>
      </w:r>
    </w:p>
    <w:p w14:paraId="38B32DC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1C0D094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36A0AD1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所示为保障性安居工程配套公建用房(经济适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19DE44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3DE18AB1">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012EE73E">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76E0FAD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14:paraId="17185EAA">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租赁房屋实际使用人尚未搬离，因租赁房屋的实际使用人的清退时间难以确定，出租方不承诺具体交付时间。承租方应同意等待租赁房屋的清退，直至出租方实际交付止，同时，不提出任何附加条件或修改已签订的《房屋租赁合同》、《房屋管理合同》。实际交付时，由承租方和出租方补签补充协议，明确租期起始时间，租期与租金支付时间相应顺延。自所有款项付清之日起超过三个月，出租方仍未将租赁房屋交付给承租方的，承租方可要求终止《房屋租赁合同》、《房屋管理合同》，承租方已付的首期租金、履约保证金、装修保证金将不计息退还，出租方与承租方双方互不承担违约责任。承租方已付的交易服务费不作退还。</w:t>
      </w:r>
    </w:p>
    <w:p w14:paraId="58AF5191">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70146C7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2FD7012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1E8E76A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381D0BB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032E65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023C37E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56152C4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1C7FF750">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A0FE502">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C5949E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9940F8"/>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697BD9"/>
    <w:rsid w:val="36DE44D8"/>
    <w:rsid w:val="3AD83A40"/>
    <w:rsid w:val="3B482AE4"/>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4F827FD0"/>
    <w:rsid w:val="507433F2"/>
    <w:rsid w:val="50B653E2"/>
    <w:rsid w:val="50EE6AAC"/>
    <w:rsid w:val="51317EBA"/>
    <w:rsid w:val="52350894"/>
    <w:rsid w:val="52FA2FF0"/>
    <w:rsid w:val="535D214D"/>
    <w:rsid w:val="547E2EF5"/>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8131A25"/>
    <w:rsid w:val="69790D5D"/>
    <w:rsid w:val="6997402C"/>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0F3BDC"/>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1916</Words>
  <Characters>1926</Characters>
  <Lines>15</Lines>
  <Paragraphs>4</Paragraphs>
  <TotalTime>6</TotalTime>
  <ScaleCrop>false</ScaleCrop>
  <LinksUpToDate>false</LinksUpToDate>
  <CharactersWithSpaces>2027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2026-03-17T09:53:06Z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