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杭州市西湖区文三路508号天苑大厦302、303、304、305、501、502、503、504室房屋7年租赁权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证载用途均为非住宅；国有土地使用证证载地类用途为综合，使用权类型为出让</w:t>
      </w:r>
      <w:r>
        <w:rPr>
          <w:rFonts w:hint="eastAsia"/>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标的为空置状态。出租方保证租赁房屋产权无争议，但可提供的租赁房屋的权属资料仅限于产权证（证号：杭房权证西字第0023719号、杭房权证西字第0023720号、杭房权证西字第0023721号、杭房权证西字第0023722号、杭房权证西字第0023724号、杭房权证西字第0023725号、杭房权证西字第0023726号、杭房权证西字第0023727号</w:t>
      </w:r>
      <w:bookmarkStart w:id="0" w:name="_GoBack"/>
      <w:bookmarkEnd w:id="0"/>
      <w:r>
        <w:rPr>
          <w:rFonts w:hint="eastAsia" w:ascii="宋体" w:hAnsi="宋体" w:eastAsia="宋体" w:cs="Times New Roman"/>
          <w:color w:val="auto"/>
          <w:szCs w:val="21"/>
          <w:highlight w:val="none"/>
        </w:rPr>
        <w:t>）等（具体详见合同附件）。意向承租方应对房屋权属性质、用途和权属资料可能对后续经营开展、获取审批许可等可能的不利影响作充分了解和预判，包括不能获得既定开设审批、无法办理租赁备案证、无法作为</w:t>
      </w:r>
      <w:r>
        <w:rPr>
          <w:rFonts w:hint="eastAsia" w:ascii="宋体" w:hAnsi="宋体"/>
          <w:color w:val="auto"/>
          <w:szCs w:val="21"/>
          <w:highlight w:val="none"/>
        </w:rPr>
        <w:t>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未经出租人书面同意，承租人不得转租。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9C0F2D"/>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0A349E"/>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104327"/>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2026-03-12T01:44:25Z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