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我方拟承租杭州市上城区同心社区居委会附楼2-3层房屋5年租赁权，现做如下承诺：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w:t>
      </w:r>
      <w:bookmarkStart w:id="0" w:name="_GoBack"/>
      <w:bookmarkEnd w:id="0"/>
      <w:r>
        <w:rPr>
          <w:rFonts w:hint="eastAsia" w:asciiTheme="minorEastAsia" w:hAnsiTheme="minorEastAsia" w:eastAsiaTheme="minorEastAsia"/>
          <w:szCs w:val="21"/>
        </w:rPr>
        <w:t>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4、房屋交付：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（1）如原承租方获得出租标的的，原承租方签订《成交通知书》、《房屋租赁合同》并付清首期租金、履约保证金和交易服务费等交易资金，即视作出租方已完成出租标的的交付。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（2）如原承租方未获得出租标的的，承租方签订《成交通知书》、《房屋租赁合同》并付清首期租金、履约保证金、交易服务费后，由出租方将租赁房屋交付给承租方。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原承租方按已签《承诺书》要求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（4）承租方在不违反法律、法规的情况下自愿清退租赁房屋的原承租方的，出租方给予协助。在租赁房屋的清退过程中，承租方提出的任何附加条件或需要修改已签订的《房屋租赁合同》时，出租方不予支持。</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（5）如承租方逾期付款，出租方有权延期交房。逾期付款超过20天，视承租方根本违约，出租方有权单方面解除已签订的《房屋租赁合同》，承租方已支付的交易资金不予返还。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如确有特殊原因需要延迟移交标的的，出租方则另行通知承租方，租赁期限将相应顺延，以实际交付日起算租赁期限。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（6）交付按移交时现状进行，不保证装修、附属物、相关设施的完好。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5、出租标的成交的，杭交所有权向承租方按以下标准收取交易服务费：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191F0D"/>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2026-03-09T03:35:40Z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