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杭州市拱墅区贾家弄新村3-8-403房屋3年租赁权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74D738C"/>
    <w:rsid w:val="19525F14"/>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CC20A2"/>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5EE2CDC"/>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2026-03-05T06:08:06Z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