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15AFD">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66F28D5B">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2411E1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68C80AA8">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lang w:val="en-US" w:eastAsia="zh-CN"/>
        </w:rPr>
        <w:t>杭州市西湖区天际大厦301,302-1室房屋2年6个月租赁权</w:t>
      </w:r>
      <w:r>
        <w:rPr>
          <w:rFonts w:hint="eastAsia" w:asciiTheme="minorEastAsia" w:hAnsiTheme="minorEastAsia" w:eastAsiaTheme="minorEastAsia"/>
          <w:szCs w:val="21"/>
        </w:rPr>
        <w:t>，现做如下承诺：</w:t>
      </w:r>
    </w:p>
    <w:p w14:paraId="1FB67B76">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76505D1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0F49CEA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rPr>
        <w:t>同意在被确定为承租方之日起3个工作日内携带报名时上传的主体资格证明等相关文件原件至杭交所完成现场确认和签署《成交通知书》、《天际大厦租赁合同》；并在《成交通知书》、《天际大厦租赁合同》签署之日起</w:t>
      </w:r>
      <w:r>
        <w:rPr>
          <w:rFonts w:hint="eastAsia"/>
          <w:lang w:val="en-US" w:eastAsia="zh-CN"/>
        </w:rPr>
        <w:t>5</w:t>
      </w:r>
      <w:r>
        <w:rPr>
          <w:rFonts w:hint="eastAsia"/>
        </w:rPr>
        <w:t>个工作日内向杭交所指定账户一次性支付</w:t>
      </w:r>
      <w:r>
        <w:rPr>
          <w:rFonts w:hint="eastAsia"/>
          <w:lang w:val="en-US" w:eastAsia="zh-CN"/>
        </w:rPr>
        <w:t>首期</w:t>
      </w:r>
      <w:r>
        <w:rPr>
          <w:rFonts w:hint="eastAsia"/>
        </w:rPr>
        <w:t>租金、履约保证金、交易服务费等交易资金（以到账时间为准）</w:t>
      </w:r>
      <w:r>
        <w:rPr>
          <w:rFonts w:asciiTheme="minorEastAsia" w:hAnsiTheme="minorEastAsia" w:eastAsiaTheme="minorEastAsia"/>
          <w:szCs w:val="21"/>
        </w:rPr>
        <w:t>。</w:t>
      </w:r>
    </w:p>
    <w:p w14:paraId="164FB4E6">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4、同意杭交所经出租方申请之日起3个工作日内将承租方已交纳的首期租金、履约保证金等交易资金全部划转至出租方指定账户。</w:t>
      </w:r>
    </w:p>
    <w:p w14:paraId="3CB4D297">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房屋所有权证附记记载：商品房，规划批建为办公用房。</w:t>
      </w:r>
      <w:r>
        <w:rPr>
          <w:rFonts w:hint="eastAsia" w:asciiTheme="minorEastAsia" w:hAnsiTheme="minorEastAsia" w:eastAsiaTheme="minorEastAsia"/>
          <w:szCs w:val="21"/>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14:paraId="0A817DA7">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w:t>
      </w:r>
      <w:r>
        <w:rPr>
          <w:rFonts w:hint="eastAsia"/>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r>
        <w:rPr>
          <w:rFonts w:hint="eastAsia" w:asciiTheme="minorEastAsia" w:hAnsiTheme="minorEastAsia" w:eastAsiaTheme="minorEastAsia"/>
          <w:szCs w:val="21"/>
          <w:lang w:val="en-US" w:eastAsia="zh-CN"/>
        </w:rPr>
        <w:t>。</w:t>
      </w:r>
    </w:p>
    <w:p w14:paraId="3CE83AE0">
      <w:pPr>
        <w:spacing w:line="44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、若我方成为承租方，我方已知悉并同意：</w:t>
      </w:r>
      <w:r>
        <w:rPr>
          <w:rFonts w:hint="eastAsia"/>
          <w:lang w:eastAsia="zh-CN"/>
        </w:rPr>
        <w:t>合同期内，承租方不得将租赁房屋对外转</w:t>
      </w:r>
      <w:r>
        <w:rPr>
          <w:rFonts w:hint="eastAsia" w:asciiTheme="minorEastAsia" w:hAnsiTheme="minorEastAsia" w:eastAsiaTheme="minorEastAsia" w:cstheme="minorEastAsia"/>
          <w:szCs w:val="21"/>
          <w:lang w:eastAsia="zh-CN"/>
        </w:rPr>
        <w:t>租</w:t>
      </w:r>
      <w:r>
        <w:rPr>
          <w:rFonts w:hint="eastAsia" w:asciiTheme="minorEastAsia" w:hAnsiTheme="minorEastAsia" w:eastAsiaTheme="minorEastAsia" w:cstheme="minorEastAsia"/>
          <w:szCs w:val="21"/>
        </w:rPr>
        <w:t>。</w:t>
      </w:r>
    </w:p>
    <w:p w14:paraId="3C667356">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w:t>
      </w:r>
      <w:bookmarkStart w:id="0" w:name="OLE_LINK1"/>
      <w:r>
        <w:rPr>
          <w:rFonts w:hint="eastAsia" w:asciiTheme="minorEastAsia" w:hAnsiTheme="minorEastAsia" w:eastAsiaTheme="minorEastAsia" w:cstheme="minorEastAsia"/>
          <w:szCs w:val="21"/>
        </w:rPr>
        <w:t>若我方成为承租方，我方已知悉并同意：</w:t>
      </w:r>
      <w:bookmarkEnd w:id="0"/>
      <w:r>
        <w:rPr>
          <w:rFonts w:hint="eastAsia" w:asciiTheme="minorEastAsia" w:hAnsiTheme="minorEastAsia" w:eastAsiaTheme="minorEastAsia" w:cstheme="minorEastAsia"/>
          <w:szCs w:val="21"/>
        </w:rPr>
        <w:t>本次交易出租方和承租方的相关权利义务</w:t>
      </w:r>
      <w:r>
        <w:rPr>
          <w:rFonts w:hint="eastAsia" w:asciiTheme="minorEastAsia" w:hAnsiTheme="minorEastAsia" w:eastAsiaTheme="minorEastAsia" w:cstheme="minorEastAsia"/>
          <w:szCs w:val="21"/>
          <w:lang w:val="en-US" w:eastAsia="zh-CN"/>
        </w:rPr>
        <w:t>及房屋交付</w:t>
      </w:r>
      <w:r>
        <w:rPr>
          <w:rFonts w:hint="eastAsia" w:asciiTheme="minorEastAsia" w:hAnsiTheme="minorEastAsia" w:eastAsiaTheme="minorEastAsia" w:cstheme="minorEastAsia"/>
          <w:szCs w:val="21"/>
        </w:rPr>
        <w:t>以《</w:t>
      </w:r>
      <w:r>
        <w:rPr>
          <w:rFonts w:hint="eastAsia" w:asciiTheme="minorEastAsia" w:hAnsiTheme="minorEastAsia" w:eastAsiaTheme="minorEastAsia" w:cstheme="minorEastAsia"/>
          <w:szCs w:val="21"/>
          <w:lang w:eastAsia="zh-CN"/>
        </w:rPr>
        <w:t>天际大厦租赁合同</w:t>
      </w:r>
      <w:r>
        <w:rPr>
          <w:rFonts w:hint="eastAsia" w:asciiTheme="minorEastAsia" w:hAnsiTheme="minorEastAsia" w:eastAsiaTheme="minorEastAsia" w:cstheme="minorEastAsia"/>
          <w:szCs w:val="21"/>
        </w:rPr>
        <w:t>》（样本）为准。</w:t>
      </w:r>
    </w:p>
    <w:p w14:paraId="237F2942">
      <w:pPr>
        <w:spacing w:line="440" w:lineRule="exact"/>
        <w:ind w:firstLine="420" w:firstLineChars="20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w:t>
      </w:r>
      <w:r>
        <w:rPr>
          <w:rFonts w:hint="default" w:asciiTheme="minorEastAsia" w:hAnsiTheme="minorEastAsia" w:eastAsiaTheme="minorEastAsia" w:cstheme="minorEastAsia"/>
          <w:szCs w:val="21"/>
          <w:lang w:val="en-US" w:eastAsia="zh-CN"/>
        </w:rPr>
        <w:t>本项目成交后，承租方须向杭交所按以下标准支付交易服务费：</w:t>
      </w:r>
    </w:p>
    <w:p w14:paraId="24340BCA">
      <w:pPr>
        <w:spacing w:line="440" w:lineRule="exact"/>
        <w:ind w:firstLine="420" w:firstLineChars="200"/>
        <w:rPr>
          <w:rFonts w:hint="eastAsia" w:asciiTheme="minorEastAsia" w:hAnsiTheme="minorEastAsia" w:eastAsiaTheme="minorEastAsia" w:cstheme="minorEastAsia"/>
          <w:szCs w:val="21"/>
          <w:lang w:val="en-US" w:eastAsia="zh-CN"/>
        </w:rPr>
      </w:pPr>
      <w:r>
        <w:rPr>
          <w:rFonts w:hint="default" w:asciiTheme="minorEastAsia" w:hAnsiTheme="minorEastAsia" w:eastAsiaTheme="minorEastAsia" w:cstheme="minorEastAsia"/>
          <w:szCs w:val="21"/>
          <w:lang w:val="en-US" w:eastAsia="zh-CN"/>
        </w:rPr>
        <w:t>（1）各年累计租金在8</w:t>
      </w:r>
      <w:bookmarkStart w:id="1" w:name="_GoBack"/>
      <w:bookmarkEnd w:id="1"/>
      <w:r>
        <w:rPr>
          <w:rFonts w:hint="default" w:asciiTheme="minorEastAsia" w:hAnsiTheme="minorEastAsia" w:eastAsiaTheme="minorEastAsia" w:cstheme="minorEastAsia"/>
          <w:szCs w:val="21"/>
          <w:lang w:val="en-US" w:eastAsia="zh-CN"/>
        </w:rPr>
        <w:t>00万元以下，按照各年累计租金的2%收取</w:t>
      </w:r>
      <w:r>
        <w:rPr>
          <w:rFonts w:hint="eastAsia" w:asciiTheme="minorEastAsia" w:hAnsiTheme="minorEastAsia" w:eastAsiaTheme="minorEastAsia" w:cstheme="minorEastAsia"/>
          <w:szCs w:val="21"/>
          <w:lang w:val="en-US" w:eastAsia="zh-CN"/>
        </w:rPr>
        <w:t>；</w:t>
      </w:r>
    </w:p>
    <w:p w14:paraId="5BF9C762">
      <w:pPr>
        <w:spacing w:line="440" w:lineRule="exact"/>
        <w:ind w:firstLine="420" w:firstLineChars="200"/>
        <w:rPr>
          <w:rFonts w:hint="default" w:asciiTheme="minorEastAsia" w:hAnsiTheme="minorEastAsia" w:eastAsiaTheme="minorEastAsia" w:cstheme="minorEastAsia"/>
          <w:szCs w:val="21"/>
          <w:lang w:val="en-US" w:eastAsia="zh-CN"/>
        </w:rPr>
      </w:pPr>
      <w:r>
        <w:rPr>
          <w:rFonts w:hint="default" w:asciiTheme="minorEastAsia" w:hAnsiTheme="minorEastAsia" w:eastAsiaTheme="minorEastAsia" w:cstheme="minorEastAsia"/>
          <w:szCs w:val="21"/>
          <w:lang w:val="en-US" w:eastAsia="zh-CN"/>
        </w:rPr>
        <w:t>（2）各年累计租金在800万元以上的，按照各年累计租金的1.5%收取。</w:t>
      </w:r>
    </w:p>
    <w:p w14:paraId="1EDA8FDC">
      <w:pPr>
        <w:spacing w:line="440" w:lineRule="exact"/>
        <w:ind w:firstLine="420" w:firstLineChars="200"/>
        <w:rPr>
          <w:rFonts w:hint="default" w:asciiTheme="minorEastAsia" w:hAnsiTheme="minorEastAsia" w:eastAsiaTheme="minorEastAsia" w:cstheme="minorEastAsia"/>
          <w:szCs w:val="21"/>
          <w:lang w:val="en-US" w:eastAsia="zh-CN"/>
        </w:rPr>
      </w:pPr>
      <w:r>
        <w:rPr>
          <w:rFonts w:hint="default" w:asciiTheme="minorEastAsia" w:hAnsiTheme="minorEastAsia" w:eastAsiaTheme="minorEastAsia" w:cstheme="minorEastAsia"/>
          <w:szCs w:val="21"/>
          <w:lang w:val="en-US" w:eastAsia="zh-CN"/>
        </w:rPr>
        <w:t>如仅一位意向承租方报名且成交的，可按以上收费标准减半收取。</w:t>
      </w:r>
    </w:p>
    <w:p w14:paraId="5DF8A076">
      <w:pPr>
        <w:spacing w:line="440" w:lineRule="exact"/>
        <w:ind w:firstLine="420" w:firstLineChars="200"/>
        <w:rPr>
          <w:rFonts w:hint="eastAsia"/>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、若非出租方原因，出</w:t>
      </w:r>
      <w:r>
        <w:rPr>
          <w:rFonts w:hint="eastAsia"/>
        </w:rPr>
        <w:t>现以下任一情况时，意向承租方交纳的保证金不予退还，先用于补偿杭交所及经纪会员的各项服务费，剩余部分作为对出租方的经济补偿金，保证金不足以补偿的，相关方有权按照实际损失继续追诉：</w:t>
      </w:r>
    </w:p>
    <w:p w14:paraId="48189037">
      <w:pPr>
        <w:spacing w:line="336" w:lineRule="auto"/>
        <w:ind w:firstLine="420" w:firstLineChars="200"/>
        <w:rPr>
          <w:rFonts w:hint="eastAsia" w:asciiTheme="minorEastAsia" w:hAnsiTheme="minorEastAsia" w:eastAsiaTheme="minorEastAsia"/>
          <w:szCs w:val="21"/>
        </w:rPr>
      </w:pPr>
      <w:r>
        <w:rPr>
          <w:rFonts w:hint="eastAsia"/>
        </w:rPr>
        <w:t>（1）意向承租方提交承租申</w:t>
      </w:r>
      <w:r>
        <w:rPr>
          <w:rFonts w:hint="eastAsia" w:asciiTheme="minorEastAsia" w:hAnsiTheme="minorEastAsia" w:eastAsiaTheme="minorEastAsia"/>
          <w:szCs w:val="21"/>
        </w:rPr>
        <w:t>请并交纳交易保证金后单方撤回承租申请的；</w:t>
      </w:r>
    </w:p>
    <w:p w14:paraId="1385066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71A3132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eastAsia="zh-CN"/>
        </w:rPr>
        <w:t>天际大厦租赁合同</w:t>
      </w:r>
      <w:r>
        <w:rPr>
          <w:rFonts w:hint="eastAsia" w:asciiTheme="minorEastAsia" w:hAnsiTheme="minorEastAsia" w:eastAsiaTheme="minorEastAsia"/>
          <w:szCs w:val="21"/>
        </w:rPr>
        <w:t>》的或未按约定支付首期租金、履约保证金、交易服务费的；</w:t>
      </w:r>
    </w:p>
    <w:p w14:paraId="72B93B70">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32BEE528">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7294B9E5">
      <w:pPr>
        <w:pStyle w:val="2"/>
        <w:rPr>
          <w:rFonts w:hint="eastAsia"/>
        </w:rPr>
      </w:pPr>
    </w:p>
    <w:p w14:paraId="024E8BD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182FBCE">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829F5"/>
    <w:rsid w:val="07CC170B"/>
    <w:rsid w:val="07D87335"/>
    <w:rsid w:val="0A25564B"/>
    <w:rsid w:val="0B3C05D4"/>
    <w:rsid w:val="0ED418D7"/>
    <w:rsid w:val="0F056E8D"/>
    <w:rsid w:val="0F923930"/>
    <w:rsid w:val="0FEC78F6"/>
    <w:rsid w:val="102F2AB4"/>
    <w:rsid w:val="10D054E3"/>
    <w:rsid w:val="10FD1A45"/>
    <w:rsid w:val="11B07DEC"/>
    <w:rsid w:val="13AB13A7"/>
    <w:rsid w:val="1433022F"/>
    <w:rsid w:val="16BD1BA6"/>
    <w:rsid w:val="16F2658D"/>
    <w:rsid w:val="174D738C"/>
    <w:rsid w:val="18651586"/>
    <w:rsid w:val="19B122C7"/>
    <w:rsid w:val="19B324A8"/>
    <w:rsid w:val="19CF393C"/>
    <w:rsid w:val="1E14735D"/>
    <w:rsid w:val="1EFA488D"/>
    <w:rsid w:val="1FE75D9F"/>
    <w:rsid w:val="201240AD"/>
    <w:rsid w:val="24F23406"/>
    <w:rsid w:val="25526291"/>
    <w:rsid w:val="25B34C3E"/>
    <w:rsid w:val="25C85E06"/>
    <w:rsid w:val="2731534B"/>
    <w:rsid w:val="279515A0"/>
    <w:rsid w:val="27A51880"/>
    <w:rsid w:val="28CD421D"/>
    <w:rsid w:val="29064147"/>
    <w:rsid w:val="2B224A23"/>
    <w:rsid w:val="2B646547"/>
    <w:rsid w:val="2B68501D"/>
    <w:rsid w:val="2CB34425"/>
    <w:rsid w:val="2CD954CB"/>
    <w:rsid w:val="2DE64B98"/>
    <w:rsid w:val="2E6953D9"/>
    <w:rsid w:val="31C62720"/>
    <w:rsid w:val="34EF4296"/>
    <w:rsid w:val="36DE44D8"/>
    <w:rsid w:val="3AD83A40"/>
    <w:rsid w:val="3C2C4C6F"/>
    <w:rsid w:val="3C940D63"/>
    <w:rsid w:val="3D4E2474"/>
    <w:rsid w:val="3E526581"/>
    <w:rsid w:val="3E782391"/>
    <w:rsid w:val="3EBF19DA"/>
    <w:rsid w:val="40E53FB4"/>
    <w:rsid w:val="413362B8"/>
    <w:rsid w:val="42C54CCE"/>
    <w:rsid w:val="45F94112"/>
    <w:rsid w:val="494F753A"/>
    <w:rsid w:val="4A9D5263"/>
    <w:rsid w:val="4AFF3DA7"/>
    <w:rsid w:val="4CC66179"/>
    <w:rsid w:val="4E0013D2"/>
    <w:rsid w:val="4F7C66F8"/>
    <w:rsid w:val="50B653E2"/>
    <w:rsid w:val="50EE6AAC"/>
    <w:rsid w:val="51317EBA"/>
    <w:rsid w:val="52FA2FF0"/>
    <w:rsid w:val="54E742B4"/>
    <w:rsid w:val="563F5F26"/>
    <w:rsid w:val="56EE2F1F"/>
    <w:rsid w:val="5760196D"/>
    <w:rsid w:val="584668FF"/>
    <w:rsid w:val="58C44DE5"/>
    <w:rsid w:val="5983467E"/>
    <w:rsid w:val="59F94169"/>
    <w:rsid w:val="5B3B3E60"/>
    <w:rsid w:val="5B4864E4"/>
    <w:rsid w:val="5DB959AE"/>
    <w:rsid w:val="60143733"/>
    <w:rsid w:val="62A03507"/>
    <w:rsid w:val="633A51EB"/>
    <w:rsid w:val="657C12B1"/>
    <w:rsid w:val="6656185A"/>
    <w:rsid w:val="66B8002E"/>
    <w:rsid w:val="66CB09E9"/>
    <w:rsid w:val="67251409"/>
    <w:rsid w:val="6A2F474B"/>
    <w:rsid w:val="6A405098"/>
    <w:rsid w:val="6B8B6FF7"/>
    <w:rsid w:val="6C431C35"/>
    <w:rsid w:val="6C77321F"/>
    <w:rsid w:val="6D1B0EA5"/>
    <w:rsid w:val="6D511A93"/>
    <w:rsid w:val="6F7A6D9C"/>
    <w:rsid w:val="71711121"/>
    <w:rsid w:val="71933AE8"/>
    <w:rsid w:val="736C7394"/>
    <w:rsid w:val="73B45BA4"/>
    <w:rsid w:val="74D422A5"/>
    <w:rsid w:val="776E5FD8"/>
    <w:rsid w:val="790125A6"/>
    <w:rsid w:val="7AE46738"/>
    <w:rsid w:val="7BCA7706"/>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60" w:after="60"/>
      <w:outlineLvl w:val="0"/>
    </w:pPr>
    <w:rPr>
      <w:rFonts w:ascii="仿宋_GB2312" w:eastAsia="仿宋_GB2312"/>
      <w:sz w:val="24"/>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Cs w:val="20"/>
    </w:r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5">
    <w:name w:val="Normal Indent"/>
    <w:basedOn w:val="1"/>
    <w:qFormat/>
    <w:uiPriority w:val="99"/>
    <w:pPr>
      <w:ind w:firstLine="420"/>
    </w:p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1">
    <w:name w:val="Strong"/>
    <w:basedOn w:val="10"/>
    <w:qFormat/>
    <w:uiPriority w:val="22"/>
    <w:rPr>
      <w:b/>
    </w:rPr>
  </w:style>
  <w:style w:type="character" w:styleId="12">
    <w:name w:val="FollowedHyperlink"/>
    <w:basedOn w:val="10"/>
    <w:semiHidden/>
    <w:unhideWhenUsed/>
    <w:qFormat/>
    <w:uiPriority w:val="99"/>
    <w:rPr>
      <w:color w:val="57BBE9"/>
      <w:u w:val="none"/>
    </w:rPr>
  </w:style>
  <w:style w:type="character" w:styleId="13">
    <w:name w:val="HTML Definition"/>
    <w:basedOn w:val="10"/>
    <w:semiHidden/>
    <w:unhideWhenUsed/>
    <w:qFormat/>
    <w:uiPriority w:val="99"/>
    <w:rPr>
      <w:i/>
    </w:rPr>
  </w:style>
  <w:style w:type="character" w:styleId="14">
    <w:name w:val="Hyperlink"/>
    <w:basedOn w:val="10"/>
    <w:unhideWhenUsed/>
    <w:qFormat/>
    <w:uiPriority w:val="99"/>
    <w:rPr>
      <w:color w:val="57BBE9"/>
      <w:u w:val="none"/>
    </w:rPr>
  </w:style>
  <w:style w:type="character" w:styleId="15">
    <w:name w:val="HTML Code"/>
    <w:basedOn w:val="10"/>
    <w:semiHidden/>
    <w:unhideWhenUsed/>
    <w:qFormat/>
    <w:uiPriority w:val="99"/>
    <w:rPr>
      <w:rFonts w:hint="default" w:ascii="monospace" w:hAnsi="monospace" w:eastAsia="monospace" w:cs="monospace"/>
      <w:sz w:val="21"/>
      <w:szCs w:val="21"/>
    </w:rPr>
  </w:style>
  <w:style w:type="character" w:styleId="16">
    <w:name w:val="HTML Keyboard"/>
    <w:basedOn w:val="10"/>
    <w:semiHidden/>
    <w:unhideWhenUsed/>
    <w:qFormat/>
    <w:uiPriority w:val="99"/>
    <w:rPr>
      <w:rFonts w:ascii="monospace" w:hAnsi="monospace" w:eastAsia="monospace" w:cs="monospace"/>
      <w:sz w:val="21"/>
      <w:szCs w:val="21"/>
    </w:rPr>
  </w:style>
  <w:style w:type="character" w:styleId="17">
    <w:name w:val="HTML Sample"/>
    <w:basedOn w:val="10"/>
    <w:semiHidden/>
    <w:unhideWhenUsed/>
    <w:qFormat/>
    <w:uiPriority w:val="99"/>
    <w:rPr>
      <w:rFonts w:hint="default" w:ascii="monospace" w:hAnsi="monospace" w:eastAsia="monospace" w:cs="monospace"/>
      <w:sz w:val="21"/>
      <w:szCs w:val="21"/>
    </w:rPr>
  </w:style>
  <w:style w:type="paragraph" w:customStyle="1" w:styleId="18">
    <w:name w:val="NormalIndent"/>
    <w:basedOn w:val="1"/>
    <w:qFormat/>
    <w:uiPriority w:val="0"/>
    <w:pPr>
      <w:ind w:firstLine="420"/>
    </w:pPr>
    <w:rPr>
      <w:rFonts w:ascii="Calibri" w:hAnsi="Calibri"/>
      <w:szCs w:val="22"/>
    </w:rPr>
  </w:style>
  <w:style w:type="paragraph" w:customStyle="1" w:styleId="19">
    <w:name w:val="样式 小四3"/>
    <w:qFormat/>
    <w:uiPriority w:val="0"/>
    <w:rPr>
      <w:rFonts w:ascii="等线" w:hAnsi="等线" w:eastAsia="等线" w:cs="Times New Roman"/>
      <w:sz w:val="24"/>
      <w:szCs w:val="24"/>
      <w:lang w:val="en-US" w:eastAsia="en-US" w:bidi="ar-SA"/>
    </w:rPr>
  </w:style>
  <w:style w:type="character" w:customStyle="1" w:styleId="20">
    <w:name w:val="页眉 字符"/>
    <w:basedOn w:val="10"/>
    <w:link w:val="7"/>
    <w:qFormat/>
    <w:uiPriority w:val="99"/>
    <w:rPr>
      <w:rFonts w:ascii="Times New Roman" w:hAnsi="Times New Roman" w:eastAsia="宋体" w:cs="Times New Roman"/>
      <w:sz w:val="18"/>
      <w:szCs w:val="18"/>
    </w:rPr>
  </w:style>
  <w:style w:type="character" w:customStyle="1" w:styleId="21">
    <w:name w:val="页脚 字符"/>
    <w:basedOn w:val="10"/>
    <w:link w:val="6"/>
    <w:qFormat/>
    <w:uiPriority w:val="99"/>
    <w:rPr>
      <w:rFonts w:ascii="Times New Roman" w:hAnsi="Times New Roman" w:eastAsia="宋体" w:cs="Times New Roman"/>
      <w:sz w:val="18"/>
      <w:szCs w:val="18"/>
    </w:rPr>
  </w:style>
  <w:style w:type="paragraph" w:styleId="22">
    <w:name w:val="List Paragraph"/>
    <w:basedOn w:val="1"/>
    <w:qFormat/>
    <w:uiPriority w:val="34"/>
    <w:pPr>
      <w:ind w:firstLine="420" w:firstLineChars="200"/>
    </w:pPr>
  </w:style>
  <w:style w:type="character" w:customStyle="1" w:styleId="23">
    <w:name w:val="not([class*=suffix])"/>
    <w:basedOn w:val="10"/>
    <w:qFormat/>
    <w:uiPriority w:val="0"/>
    <w:rPr>
      <w:sz w:val="19"/>
      <w:szCs w:val="19"/>
    </w:rPr>
  </w:style>
  <w:style w:type="character" w:customStyle="1" w:styleId="24">
    <w:name w:val="not([class*=suffix])1"/>
    <w:basedOn w:val="10"/>
    <w:qFormat/>
    <w:uiPriority w:val="0"/>
  </w:style>
  <w:style w:type="character" w:customStyle="1" w:styleId="25">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1695</Words>
  <Characters>1709</Characters>
  <Lines>15</Lines>
  <Paragraphs>4</Paragraphs>
  <TotalTime>16</TotalTime>
  <ScaleCrop>false</ScaleCrop>
  <LinksUpToDate>false</LinksUpToDate>
  <CharactersWithSpaces>1810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2026-02-24T02:02:41Z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