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4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杭州市滨江区中兴大厦25号地下停车位使用权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建设工程规划许可证（中兴大厦）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w:t>
      </w:r>
      <w:bookmarkStart w:id="0" w:name="_GoBack"/>
      <w:r>
        <w:rPr>
          <w:rFonts w:hint="eastAsia" w:asciiTheme="minorEastAsia" w:hAnsiTheme="minorEastAsia" w:eastAsiaTheme="minorEastAsia"/>
          <w:b w:val="0"/>
          <w:bCs w:val="0"/>
          <w:sz w:val="21"/>
          <w:szCs w:val="21"/>
          <w:highlight w:val="none"/>
          <w:lang w:val="en-US" w:eastAsia="zh-CN"/>
        </w:rPr>
        <w:t>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bookmarkEnd w:id="0"/>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77A10F2"/>
    <w:rsid w:val="0A1100FD"/>
    <w:rsid w:val="0A1853A8"/>
    <w:rsid w:val="0A515AA7"/>
    <w:rsid w:val="0AB24B18"/>
    <w:rsid w:val="0BC501BB"/>
    <w:rsid w:val="0C605BA6"/>
    <w:rsid w:val="0CC73E81"/>
    <w:rsid w:val="0CCA5698"/>
    <w:rsid w:val="0E0C6E19"/>
    <w:rsid w:val="0F3C25B0"/>
    <w:rsid w:val="0FE30ECF"/>
    <w:rsid w:val="147A0B6B"/>
    <w:rsid w:val="16DC443B"/>
    <w:rsid w:val="1A4D26DA"/>
    <w:rsid w:val="1A524D25"/>
    <w:rsid w:val="1B9555CA"/>
    <w:rsid w:val="1D7644E2"/>
    <w:rsid w:val="20A03A95"/>
    <w:rsid w:val="2177446E"/>
    <w:rsid w:val="23807276"/>
    <w:rsid w:val="239161EE"/>
    <w:rsid w:val="25F8037F"/>
    <w:rsid w:val="26133734"/>
    <w:rsid w:val="26851B4D"/>
    <w:rsid w:val="26BF5E4E"/>
    <w:rsid w:val="270E3D1E"/>
    <w:rsid w:val="279A7186"/>
    <w:rsid w:val="28696C73"/>
    <w:rsid w:val="2AE67843"/>
    <w:rsid w:val="2BC362AC"/>
    <w:rsid w:val="2D0B45E4"/>
    <w:rsid w:val="30873003"/>
    <w:rsid w:val="30BD3CBE"/>
    <w:rsid w:val="33182487"/>
    <w:rsid w:val="35535B35"/>
    <w:rsid w:val="381E3097"/>
    <w:rsid w:val="38276F30"/>
    <w:rsid w:val="3CB20400"/>
    <w:rsid w:val="3D3757B3"/>
    <w:rsid w:val="3E1768EB"/>
    <w:rsid w:val="3F404ABC"/>
    <w:rsid w:val="41143F4E"/>
    <w:rsid w:val="42151A4A"/>
    <w:rsid w:val="42684A95"/>
    <w:rsid w:val="42750829"/>
    <w:rsid w:val="42B02950"/>
    <w:rsid w:val="43113BC5"/>
    <w:rsid w:val="43803E5D"/>
    <w:rsid w:val="43B31053"/>
    <w:rsid w:val="451C1963"/>
    <w:rsid w:val="4654741A"/>
    <w:rsid w:val="465C1A10"/>
    <w:rsid w:val="4A7440E9"/>
    <w:rsid w:val="4A895CED"/>
    <w:rsid w:val="4B7C161D"/>
    <w:rsid w:val="4D2550F3"/>
    <w:rsid w:val="4E555EE6"/>
    <w:rsid w:val="50E333B4"/>
    <w:rsid w:val="51B53AC1"/>
    <w:rsid w:val="5378762D"/>
    <w:rsid w:val="53C06296"/>
    <w:rsid w:val="540B1521"/>
    <w:rsid w:val="55D02010"/>
    <w:rsid w:val="56C67981"/>
    <w:rsid w:val="56D8236E"/>
    <w:rsid w:val="57BC4549"/>
    <w:rsid w:val="58E046EE"/>
    <w:rsid w:val="59E36A9C"/>
    <w:rsid w:val="5A3253A7"/>
    <w:rsid w:val="5A375DCC"/>
    <w:rsid w:val="5C1326C0"/>
    <w:rsid w:val="5D2418A5"/>
    <w:rsid w:val="5F3828C7"/>
    <w:rsid w:val="5F870BD6"/>
    <w:rsid w:val="5F8B48CF"/>
    <w:rsid w:val="610339B9"/>
    <w:rsid w:val="65EB7404"/>
    <w:rsid w:val="670E27D2"/>
    <w:rsid w:val="67644605"/>
    <w:rsid w:val="69322DF1"/>
    <w:rsid w:val="6E077050"/>
    <w:rsid w:val="6ECD4B80"/>
    <w:rsid w:val="6F1A2A4F"/>
    <w:rsid w:val="6FB655F4"/>
    <w:rsid w:val="712F4D0B"/>
    <w:rsid w:val="71E600ED"/>
    <w:rsid w:val="72557AF2"/>
    <w:rsid w:val="72581325"/>
    <w:rsid w:val="75AC4784"/>
    <w:rsid w:val="772D2BD5"/>
    <w:rsid w:val="7A5A6891"/>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2026-02-04T04:20:18Z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8926B3BFDA4F463B9458CDAE210D8225</vt:lpwstr>
  </property>
</Properties>
</file>