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35ED34">
      <w:pPr>
        <w:snapToGrid w:val="0"/>
        <w:spacing w:line="360" w:lineRule="auto"/>
        <w:jc w:val="center"/>
        <w:rPr>
          <w:b/>
          <w:sz w:val="44"/>
          <w:szCs w:val="44"/>
        </w:rPr>
      </w:pPr>
      <w:r>
        <w:rPr>
          <w:rFonts w:hint="eastAsia"/>
          <w:b/>
          <w:sz w:val="44"/>
          <w:szCs w:val="44"/>
        </w:rPr>
        <w:t>房屋租赁合同</w:t>
      </w:r>
    </w:p>
    <w:p w14:paraId="30211F91">
      <w:pPr>
        <w:wordWrap w:val="0"/>
        <w:snapToGrid w:val="0"/>
        <w:spacing w:line="420" w:lineRule="auto"/>
        <w:jc w:val="right"/>
        <w:rPr>
          <w:bCs/>
          <w:sz w:val="21"/>
          <w:szCs w:val="21"/>
        </w:rPr>
      </w:pPr>
      <w:r>
        <w:rPr>
          <w:rFonts w:hint="eastAsia" w:ascii="宋体" w:hAnsi="宋体"/>
          <w:bCs/>
          <w:sz w:val="21"/>
          <w:szCs w:val="21"/>
        </w:rPr>
        <w:t xml:space="preserve">合同编号： </w:t>
      </w:r>
      <w:r>
        <w:rPr>
          <w:rFonts w:ascii="宋体" w:hAnsi="宋体"/>
          <w:bCs/>
          <w:sz w:val="21"/>
          <w:szCs w:val="21"/>
        </w:rPr>
        <w:t xml:space="preserve">      </w:t>
      </w:r>
    </w:p>
    <w:p w14:paraId="4FBD6B85">
      <w:pPr>
        <w:snapToGrid w:val="0"/>
        <w:spacing w:line="420" w:lineRule="auto"/>
        <w:rPr>
          <w:rFonts w:asciiTheme="minorEastAsia" w:hAnsiTheme="minorEastAsia"/>
          <w:sz w:val="24"/>
          <w:szCs w:val="24"/>
        </w:rPr>
      </w:pPr>
      <w:r>
        <w:rPr>
          <w:rFonts w:hint="eastAsia" w:asciiTheme="minorEastAsia" w:hAnsiTheme="minorEastAsia"/>
          <w:sz w:val="24"/>
          <w:szCs w:val="24"/>
        </w:rPr>
        <w:t xml:space="preserve">甲方（出租人）：杭州市摄影服务公司 </w:t>
      </w:r>
    </w:p>
    <w:p w14:paraId="4ED25186">
      <w:pPr>
        <w:snapToGrid w:val="0"/>
        <w:spacing w:line="420" w:lineRule="auto"/>
        <w:rPr>
          <w:rFonts w:asciiTheme="minorEastAsia" w:hAnsiTheme="minorEastAsia"/>
          <w:sz w:val="24"/>
          <w:szCs w:val="24"/>
        </w:rPr>
      </w:pPr>
      <w:r>
        <w:rPr>
          <w:rFonts w:hint="eastAsia" w:asciiTheme="minorEastAsia" w:hAnsiTheme="minorEastAsia"/>
          <w:sz w:val="24"/>
          <w:szCs w:val="24"/>
        </w:rPr>
        <w:t xml:space="preserve">住所地：杭州市西湖区灵溪南路3号 </w:t>
      </w:r>
    </w:p>
    <w:p w14:paraId="102F4A96">
      <w:pPr>
        <w:snapToGrid w:val="0"/>
        <w:spacing w:line="420" w:lineRule="auto"/>
        <w:rPr>
          <w:rFonts w:hint="default" w:ascii="宋体" w:hAnsi="宋体" w:eastAsia="宋体"/>
          <w:sz w:val="24"/>
          <w:u w:val="single"/>
          <w:lang w:val="en-US" w:eastAsia="zh-CN"/>
        </w:rPr>
      </w:pPr>
      <w:r>
        <w:rPr>
          <w:rFonts w:hint="eastAsia" w:ascii="宋体" w:hAnsi="宋体"/>
          <w:sz w:val="24"/>
        </w:rPr>
        <w:t xml:space="preserve">联系人： </w:t>
      </w:r>
      <w:r>
        <w:rPr>
          <w:rFonts w:hint="eastAsia" w:ascii="宋体" w:hAnsi="宋体"/>
          <w:sz w:val="24"/>
          <w:lang w:eastAsia="zh-CN"/>
        </w:rPr>
        <w:t>徐先生</w:t>
      </w:r>
      <w:r>
        <w:rPr>
          <w:rFonts w:hint="eastAsia" w:ascii="宋体" w:hAnsi="宋体"/>
          <w:sz w:val="24"/>
        </w:rPr>
        <w:t xml:space="preserve">      联系方式：</w:t>
      </w:r>
      <w:r>
        <w:rPr>
          <w:rFonts w:hint="eastAsia" w:ascii="宋体" w:hAnsi="宋体"/>
          <w:sz w:val="24"/>
          <w:lang w:val="en-US" w:eastAsia="zh-CN"/>
        </w:rPr>
        <w:t>0571-87996549</w:t>
      </w:r>
    </w:p>
    <w:p w14:paraId="00049EB7">
      <w:pPr>
        <w:snapToGrid w:val="0"/>
        <w:spacing w:line="420" w:lineRule="auto"/>
        <w:rPr>
          <w:rFonts w:ascii="宋体" w:hAnsi="宋体"/>
          <w:sz w:val="10"/>
          <w:szCs w:val="10"/>
        </w:rPr>
      </w:pPr>
    </w:p>
    <w:p w14:paraId="1AEE14E1">
      <w:pPr>
        <w:snapToGrid w:val="0"/>
        <w:spacing w:line="420" w:lineRule="auto"/>
        <w:rPr>
          <w:rFonts w:ascii="宋体" w:hAnsi="宋体"/>
          <w:sz w:val="24"/>
          <w:u w:val="single"/>
        </w:rPr>
      </w:pPr>
      <w:r>
        <w:rPr>
          <w:rFonts w:hint="eastAsia" w:ascii="宋体" w:hAnsi="宋体"/>
          <w:sz w:val="24"/>
        </w:rPr>
        <w:t>乙方（承租人）：</w:t>
      </w:r>
    </w:p>
    <w:p w14:paraId="17F3E144">
      <w:pPr>
        <w:snapToGrid w:val="0"/>
        <w:spacing w:line="420" w:lineRule="auto"/>
        <w:rPr>
          <w:rFonts w:ascii="宋体" w:hAnsi="宋体"/>
          <w:sz w:val="24"/>
        </w:rPr>
      </w:pPr>
      <w:r>
        <w:rPr>
          <w:rFonts w:hint="eastAsia" w:asciiTheme="minorEastAsia" w:hAnsiTheme="minorEastAsia"/>
          <w:sz w:val="24"/>
          <w:szCs w:val="24"/>
        </w:rPr>
        <w:t>住所地</w:t>
      </w:r>
      <w:r>
        <w:rPr>
          <w:rFonts w:hint="eastAsia" w:ascii="宋体" w:hAnsi="宋体"/>
          <w:sz w:val="24"/>
        </w:rPr>
        <w:t>：</w:t>
      </w:r>
    </w:p>
    <w:p w14:paraId="5F4E52B7">
      <w:pPr>
        <w:snapToGrid w:val="0"/>
        <w:spacing w:line="420" w:lineRule="auto"/>
        <w:rPr>
          <w:rFonts w:ascii="宋体" w:hAnsi="宋体"/>
          <w:sz w:val="24"/>
          <w:u w:val="single"/>
        </w:rPr>
      </w:pPr>
      <w:r>
        <w:rPr>
          <w:rFonts w:hint="eastAsia" w:ascii="宋体" w:hAnsi="宋体"/>
          <w:sz w:val="24"/>
        </w:rPr>
        <w:t>联系人：                 联系方式：</w:t>
      </w:r>
    </w:p>
    <w:p w14:paraId="305B9658">
      <w:pPr>
        <w:snapToGrid w:val="0"/>
        <w:spacing w:line="420" w:lineRule="auto"/>
        <w:rPr>
          <w:sz w:val="10"/>
          <w:szCs w:val="10"/>
        </w:rPr>
      </w:pPr>
    </w:p>
    <w:p w14:paraId="5740FBBE">
      <w:pPr>
        <w:snapToGrid w:val="0"/>
        <w:spacing w:line="420" w:lineRule="auto"/>
        <w:ind w:firstLine="480" w:firstLineChars="200"/>
        <w:rPr>
          <w:sz w:val="24"/>
          <w:szCs w:val="24"/>
        </w:rPr>
      </w:pPr>
      <w:r>
        <w:rPr>
          <w:rFonts w:hint="eastAsia"/>
          <w:sz w:val="24"/>
          <w:szCs w:val="24"/>
        </w:rPr>
        <w:t>根据国家、省有关法律、法规和本市的有关规定，甲、乙双方在自愿、公平、诚信、等价有偿原则的基础上，同意就</w:t>
      </w:r>
      <w:r>
        <w:rPr>
          <w:rFonts w:hint="eastAsia"/>
          <w:sz w:val="24"/>
          <w:szCs w:val="24"/>
          <w:lang w:eastAsia="zh-CN"/>
        </w:rPr>
        <w:t>杭州市</w:t>
      </w:r>
      <w:r>
        <w:rPr>
          <w:rFonts w:hint="eastAsia"/>
          <w:sz w:val="24"/>
          <w:szCs w:val="24"/>
        </w:rPr>
        <w:t>西湖区的</w:t>
      </w:r>
      <w:r>
        <w:rPr>
          <w:rFonts w:hint="eastAsia"/>
          <w:sz w:val="24"/>
          <w:szCs w:val="24"/>
          <w:lang w:eastAsia="zh-CN"/>
        </w:rPr>
        <w:t>嘉绿名苑</w:t>
      </w:r>
      <w:r>
        <w:rPr>
          <w:rFonts w:hint="eastAsia"/>
          <w:sz w:val="24"/>
          <w:szCs w:val="24"/>
          <w:lang w:val="en-US" w:eastAsia="zh-CN"/>
        </w:rPr>
        <w:t>14-1商铺</w:t>
      </w:r>
      <w:r>
        <w:rPr>
          <w:rFonts w:hint="eastAsia"/>
          <w:sz w:val="24"/>
          <w:szCs w:val="24"/>
        </w:rPr>
        <w:t>租赁事项，订立本合同，并共同遵守。</w:t>
      </w:r>
    </w:p>
    <w:p w14:paraId="64B8FB69">
      <w:pPr>
        <w:snapToGrid w:val="0"/>
        <w:spacing w:line="420" w:lineRule="auto"/>
        <w:ind w:firstLine="562" w:firstLineChars="200"/>
        <w:rPr>
          <w:b/>
          <w:bCs/>
          <w:szCs w:val="28"/>
        </w:rPr>
      </w:pPr>
      <w:r>
        <w:rPr>
          <w:rFonts w:hint="eastAsia"/>
          <w:b/>
          <w:bCs/>
          <w:szCs w:val="28"/>
        </w:rPr>
        <w:t>第一条 房屋基本情况</w:t>
      </w:r>
    </w:p>
    <w:p w14:paraId="2224E473">
      <w:pPr>
        <w:snapToGrid w:val="0"/>
        <w:spacing w:line="420" w:lineRule="auto"/>
        <w:ind w:firstLine="480" w:firstLineChars="200"/>
        <w:rPr>
          <w:rFonts w:hint="eastAsia"/>
          <w:sz w:val="24"/>
          <w:szCs w:val="24"/>
        </w:rPr>
      </w:pPr>
      <w:r>
        <w:rPr>
          <w:rFonts w:hint="eastAsia"/>
          <w:sz w:val="24"/>
          <w:szCs w:val="24"/>
        </w:rPr>
        <w:t>（一）甲方经公开招租后将坐落在杭州市西湖区</w:t>
      </w:r>
      <w:r>
        <w:rPr>
          <w:rFonts w:hint="eastAsia"/>
          <w:sz w:val="24"/>
          <w:szCs w:val="24"/>
          <w:lang w:eastAsia="zh-CN"/>
        </w:rPr>
        <w:t>嘉绿名苑</w:t>
      </w:r>
      <w:r>
        <w:rPr>
          <w:rFonts w:hint="eastAsia"/>
          <w:sz w:val="24"/>
          <w:szCs w:val="24"/>
          <w:lang w:val="en-US" w:eastAsia="zh-CN"/>
        </w:rPr>
        <w:t>14-1商铺</w:t>
      </w:r>
      <w:r>
        <w:rPr>
          <w:rFonts w:hint="eastAsia"/>
          <w:sz w:val="24"/>
          <w:szCs w:val="24"/>
        </w:rPr>
        <w:t>，面积为</w:t>
      </w:r>
      <w:r>
        <w:rPr>
          <w:rFonts w:hint="eastAsia"/>
          <w:sz w:val="24"/>
          <w:szCs w:val="24"/>
          <w:lang w:val="en-US" w:eastAsia="zh-CN"/>
        </w:rPr>
        <w:t>139.22</w:t>
      </w:r>
      <w:r>
        <w:rPr>
          <w:rFonts w:hint="eastAsia"/>
          <w:sz w:val="24"/>
          <w:szCs w:val="24"/>
        </w:rPr>
        <w:t>平方米出租给乙方使用</w:t>
      </w:r>
      <w:r>
        <w:rPr>
          <w:rFonts w:hint="eastAsia"/>
          <w:sz w:val="24"/>
          <w:szCs w:val="24"/>
          <w:lang w:eastAsia="zh-CN"/>
        </w:rPr>
        <w:t>（</w:t>
      </w:r>
      <w:r>
        <w:rPr>
          <w:rFonts w:hint="eastAsia"/>
          <w:sz w:val="24"/>
          <w:szCs w:val="24"/>
        </w:rPr>
        <w:t>下文“</w:t>
      </w:r>
      <w:r>
        <w:rPr>
          <w:rFonts w:hint="eastAsia"/>
          <w:sz w:val="24"/>
          <w:szCs w:val="24"/>
          <w:lang w:eastAsia="zh-CN"/>
        </w:rPr>
        <w:t>商铺、</w:t>
      </w:r>
      <w:r>
        <w:rPr>
          <w:rFonts w:hint="eastAsia"/>
          <w:sz w:val="24"/>
          <w:szCs w:val="24"/>
        </w:rPr>
        <w:t>房屋、租赁房</w:t>
      </w:r>
      <w:r>
        <w:rPr>
          <w:rFonts w:hint="eastAsia"/>
          <w:sz w:val="24"/>
          <w:szCs w:val="24"/>
          <w:lang w:eastAsia="zh-CN"/>
        </w:rPr>
        <w:t>产</w:t>
      </w:r>
      <w:r>
        <w:rPr>
          <w:rFonts w:hint="eastAsia"/>
          <w:sz w:val="24"/>
          <w:szCs w:val="24"/>
        </w:rPr>
        <w:t>”等表述</w:t>
      </w:r>
      <w:r>
        <w:rPr>
          <w:rFonts w:hint="eastAsia"/>
          <w:sz w:val="24"/>
          <w:szCs w:val="24"/>
          <w:lang w:eastAsia="zh-CN"/>
        </w:rPr>
        <w:t>均指嘉绿名苑</w:t>
      </w:r>
      <w:r>
        <w:rPr>
          <w:rFonts w:hint="eastAsia"/>
          <w:sz w:val="24"/>
          <w:szCs w:val="24"/>
          <w:lang w:val="en-US" w:eastAsia="zh-CN"/>
        </w:rPr>
        <w:t>14-1商铺房产</w:t>
      </w:r>
      <w:r>
        <w:rPr>
          <w:rFonts w:hint="eastAsia"/>
          <w:sz w:val="24"/>
          <w:szCs w:val="24"/>
          <w:lang w:eastAsia="zh-CN"/>
        </w:rPr>
        <w:t>）</w:t>
      </w:r>
      <w:r>
        <w:rPr>
          <w:rFonts w:hint="eastAsia"/>
          <w:sz w:val="24"/>
          <w:szCs w:val="24"/>
        </w:rPr>
        <w:t>。租赁房屋室外区域不在本次招租范围内，乙方可以结合租赁房屋业态</w:t>
      </w:r>
      <w:r>
        <w:rPr>
          <w:rFonts w:hint="eastAsia"/>
          <w:sz w:val="24"/>
          <w:szCs w:val="24"/>
          <w:lang w:eastAsia="zh-CN"/>
        </w:rPr>
        <w:t>根据属地管理部门要求</w:t>
      </w:r>
      <w:r>
        <w:rPr>
          <w:rFonts w:hint="eastAsia"/>
          <w:sz w:val="24"/>
          <w:szCs w:val="24"/>
        </w:rPr>
        <w:t>使用，但需服从甲方的管理。房屋具体情况见附件一：租赁区域图示。</w:t>
      </w:r>
    </w:p>
    <w:p w14:paraId="7DD59302">
      <w:pPr>
        <w:snapToGrid w:val="0"/>
        <w:spacing w:line="420" w:lineRule="auto"/>
        <w:ind w:firstLine="480" w:firstLineChars="200"/>
        <w:rPr>
          <w:rFonts w:hint="eastAsia"/>
          <w:sz w:val="24"/>
          <w:szCs w:val="24"/>
          <w:lang w:val="en-US" w:eastAsia="zh-CN"/>
        </w:rPr>
      </w:pPr>
      <w:r>
        <w:rPr>
          <w:rFonts w:hint="eastAsia"/>
          <w:sz w:val="24"/>
          <w:szCs w:val="24"/>
          <w:lang w:val="en-US" w:eastAsia="zh-CN"/>
        </w:rPr>
        <w:t>（二）乙方保证租赁房屋经营业态为允许办公性用房和商业服务性用房，业态必须符合属地管理部门有关规定，非住宅类房屋内不得住宿人员，不得从事餐饮类、加工制造类（加工厂、废旧物资回收，危险品及易燃易爆类生产、存储及销售等）、快递驿站、殡葬服务、歌舞娱乐，私人会所性质等业态要求，禁止易产生噪音、废气、污染以及其他有违社会主义道德、法律禁止或不符合杭州市摄影服务公司的使用要求。</w:t>
      </w:r>
    </w:p>
    <w:p w14:paraId="0469E6EC">
      <w:pPr>
        <w:snapToGrid w:val="0"/>
        <w:spacing w:line="420" w:lineRule="auto"/>
        <w:ind w:firstLine="480" w:firstLineChars="200"/>
        <w:rPr>
          <w:sz w:val="24"/>
          <w:szCs w:val="24"/>
        </w:rPr>
      </w:pPr>
      <w:r>
        <w:rPr>
          <w:rFonts w:hint="eastAsia"/>
          <w:sz w:val="24"/>
          <w:szCs w:val="24"/>
        </w:rPr>
        <w:t>（三）租赁房屋现有装修及设备情况</w:t>
      </w:r>
      <w:r>
        <w:rPr>
          <w:rFonts w:hint="eastAsia"/>
          <w:sz w:val="24"/>
          <w:szCs w:val="24"/>
          <w:lang w:eastAsia="zh-CN"/>
        </w:rPr>
        <w:t>以实地展示为主</w:t>
      </w:r>
      <w:r>
        <w:rPr>
          <w:rFonts w:hint="eastAsia"/>
          <w:sz w:val="24"/>
          <w:szCs w:val="24"/>
        </w:rPr>
        <w:t>。乙方已对租赁房屋各项现状（包括但不限于质量、面积、具体位置、水电状况及施工条件等）进行过详细查看，对房屋各项现状充分了解并认可且无异议，乙方确认房屋各项条件及状况均能满足其租赁用途，符合乙方要求及合同目的。</w:t>
      </w:r>
    </w:p>
    <w:p w14:paraId="38C8B620">
      <w:pPr>
        <w:snapToGrid w:val="0"/>
        <w:spacing w:line="420" w:lineRule="auto"/>
        <w:ind w:firstLine="562" w:firstLineChars="200"/>
        <w:rPr>
          <w:b/>
          <w:bCs/>
          <w:szCs w:val="28"/>
        </w:rPr>
      </w:pPr>
      <w:r>
        <w:rPr>
          <w:rFonts w:hint="eastAsia"/>
          <w:b/>
          <w:bCs/>
          <w:szCs w:val="28"/>
        </w:rPr>
        <w:t>第二条 租赁期限</w:t>
      </w:r>
    </w:p>
    <w:p w14:paraId="6D1E51B2">
      <w:pPr>
        <w:snapToGrid w:val="0"/>
        <w:spacing w:line="420" w:lineRule="auto"/>
        <w:ind w:firstLine="480" w:firstLineChars="200"/>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pPr>
      <w:r>
        <w:rPr>
          <w:rFonts w:hint="eastAsia"/>
          <w:sz w:val="24"/>
          <w:szCs w:val="24"/>
        </w:rPr>
        <w:t>（一）该房屋租赁期</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以实际交付之日起算</w:t>
      </w:r>
      <w:r>
        <w:rPr>
          <w:rFonts w:hint="eastAsia" w:asciiTheme="minorEastAsia" w:hAnsiTheme="minorEastAsia" w:eastAsiaTheme="minorEastAsia"/>
          <w:color w:val="0D0D0D" w:themeColor="text1" w:themeTint="F2"/>
          <w:sz w:val="24"/>
          <w:szCs w:val="24"/>
          <w:lang w:eastAsia="zh-CN"/>
          <w14:textFill>
            <w14:solidFill>
              <w14:schemeClr w14:val="tx1">
                <w14:lumMod w14:val="95000"/>
                <w14:lumOff w14:val="5000"/>
              </w14:schemeClr>
            </w14:solidFill>
          </w14:textFill>
        </w:rPr>
        <w:t>，</w:t>
      </w:r>
      <w:r>
        <w:rPr>
          <w:rFonts w:hint="eastAsia"/>
          <w:sz w:val="24"/>
          <w:szCs w:val="24"/>
          <w:lang w:val="en-US" w:eastAsia="zh-CN"/>
        </w:rPr>
        <w:t>租期最长不超过2030年3月31日</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。若原承租人未能在原合同2</w:t>
      </w:r>
      <w:r>
        <w:rPr>
          <w:rFonts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0</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2</w:t>
      </w:r>
      <w:r>
        <w:rPr>
          <w:rFonts w:hint="eastAsia" w:asciiTheme="minorEastAsia" w:hAnsiTheme="minorEastAsia" w:eastAsiaTheme="minorEastAsia"/>
          <w:color w:val="0D0D0D" w:themeColor="text1" w:themeTint="F2"/>
          <w:sz w:val="24"/>
          <w:szCs w:val="24"/>
          <w:lang w:val="en-US" w:eastAsia="zh-CN"/>
          <w14:textFill>
            <w14:solidFill>
              <w14:schemeClr w14:val="tx1">
                <w14:lumMod w14:val="95000"/>
                <w14:lumOff w14:val="5000"/>
              </w14:schemeClr>
            </w14:solidFill>
          </w14:textFill>
        </w:rPr>
        <w:t>6</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年2月</w:t>
      </w:r>
      <w:r>
        <w:rPr>
          <w:rFonts w:hint="eastAsia" w:asciiTheme="minorEastAsia" w:hAnsiTheme="minorEastAsia" w:eastAsiaTheme="minorEastAsia"/>
          <w:color w:val="0D0D0D" w:themeColor="text1" w:themeTint="F2"/>
          <w:sz w:val="24"/>
          <w:szCs w:val="24"/>
          <w:lang w:val="en-US" w:eastAsia="zh-CN"/>
          <w14:textFill>
            <w14:solidFill>
              <w14:schemeClr w14:val="tx1">
                <w14:lumMod w14:val="95000"/>
                <w14:lumOff w14:val="5000"/>
              </w14:schemeClr>
            </w14:solidFill>
          </w14:textFill>
        </w:rPr>
        <w:t>2</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日租期届满后</w:t>
      </w:r>
      <w:r>
        <w:rPr>
          <w:rFonts w:hint="eastAsia" w:asciiTheme="minorEastAsia" w:hAnsiTheme="minorEastAsia" w:eastAsiaTheme="minorEastAsia"/>
          <w:color w:val="0D0D0D" w:themeColor="text1" w:themeTint="F2"/>
          <w:sz w:val="24"/>
          <w:szCs w:val="24"/>
          <w:lang w:val="en-US" w:eastAsia="zh-CN"/>
          <w14:textFill>
            <w14:solidFill>
              <w14:schemeClr w14:val="tx1">
                <w14:lumMod w14:val="95000"/>
                <w14:lumOff w14:val="5000"/>
              </w14:schemeClr>
            </w14:solidFill>
          </w14:textFill>
        </w:rPr>
        <w:t>10</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个</w:t>
      </w:r>
      <w:r>
        <w:rPr>
          <w:rFonts w:hint="eastAsia" w:asciiTheme="minorEastAsia" w:hAnsiTheme="minorEastAsia" w:eastAsiaTheme="minorEastAsia"/>
          <w:color w:val="0D0D0D" w:themeColor="text1" w:themeTint="F2"/>
          <w:sz w:val="24"/>
          <w:szCs w:val="24"/>
          <w:lang w:eastAsia="zh-CN"/>
          <w14:textFill>
            <w14:solidFill>
              <w14:schemeClr w14:val="tx1">
                <w14:lumMod w14:val="95000"/>
                <w14:lumOff w14:val="5000"/>
              </w14:schemeClr>
            </w14:solidFill>
          </w14:textFill>
        </w:rPr>
        <w:t>自然</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日内交还</w:t>
      </w:r>
      <w:r>
        <w:rPr>
          <w:rFonts w:hint="eastAsia" w:asciiTheme="minorEastAsia" w:hAnsiTheme="minorEastAsia" w:eastAsiaTheme="minorEastAsia"/>
          <w:color w:val="0D0D0D" w:themeColor="text1" w:themeTint="F2"/>
          <w:sz w:val="24"/>
          <w:szCs w:val="24"/>
          <w:lang w:eastAsia="zh-CN"/>
          <w14:textFill>
            <w14:solidFill>
              <w14:schemeClr w14:val="tx1">
                <w14:lumMod w14:val="95000"/>
                <w14:lumOff w14:val="5000"/>
              </w14:schemeClr>
            </w14:solidFill>
          </w14:textFill>
        </w:rPr>
        <w:t>该租赁房产</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的，甲方有权延迟交付，乙方同意无条件等待该租赁</w:t>
      </w:r>
      <w:r>
        <w:rPr>
          <w:rFonts w:hint="eastAsia" w:asciiTheme="minorEastAsia" w:hAnsiTheme="minorEastAsia" w:eastAsiaTheme="minorEastAsia"/>
          <w:color w:val="0D0D0D" w:themeColor="text1" w:themeTint="F2"/>
          <w:sz w:val="24"/>
          <w:szCs w:val="24"/>
          <w:lang w:eastAsia="zh-CN"/>
          <w14:textFill>
            <w14:solidFill>
              <w14:schemeClr w14:val="tx1">
                <w14:lumMod w14:val="95000"/>
                <w14:lumOff w14:val="5000"/>
              </w14:schemeClr>
            </w14:solidFill>
          </w14:textFill>
        </w:rPr>
        <w:t>房产</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的清退，直至交付止，等待期间不得要求退回已交的首期租金、履约保证金、交易服务费或修改《</w:t>
      </w:r>
      <w:r>
        <w:rPr>
          <w:rFonts w:hint="eastAsia" w:asciiTheme="minorEastAsia" w:hAnsiTheme="minorEastAsia" w:eastAsiaTheme="minorEastAsia"/>
          <w:color w:val="0D0D0D" w:themeColor="text1" w:themeTint="F2"/>
          <w:sz w:val="24"/>
          <w:szCs w:val="24"/>
          <w:lang w:eastAsia="zh-CN"/>
          <w14:textFill>
            <w14:solidFill>
              <w14:schemeClr w14:val="tx1">
                <w14:lumMod w14:val="95000"/>
                <w14:lumOff w14:val="5000"/>
              </w14:schemeClr>
            </w14:solidFill>
          </w14:textFill>
        </w:rPr>
        <w:t>房屋</w:t>
      </w:r>
      <w:r>
        <w:rPr>
          <w:rFonts w:hint="eastAsia" w:asciiTheme="minorEastAsia" w:hAnsiTheme="minorEastAsia" w:eastAsiaTheme="minorEastAsia"/>
          <w:color w:val="0D0D0D" w:themeColor="text1" w:themeTint="F2"/>
          <w:sz w:val="24"/>
          <w:szCs w:val="24"/>
          <w14:textFill>
            <w14:solidFill>
              <w14:schemeClr w14:val="tx1">
                <w14:lumMod w14:val="95000"/>
                <w14:lumOff w14:val="5000"/>
              </w14:schemeClr>
            </w14:solidFill>
          </w14:textFill>
        </w:rPr>
        <w:t>租赁合同》。</w:t>
      </w:r>
    </w:p>
    <w:p w14:paraId="6967A5D3">
      <w:pPr>
        <w:snapToGrid w:val="0"/>
        <w:spacing w:line="420" w:lineRule="auto"/>
        <w:ind w:firstLine="480" w:firstLineChars="200"/>
        <w:rPr>
          <w:sz w:val="24"/>
          <w:szCs w:val="24"/>
        </w:rPr>
      </w:pPr>
      <w:r>
        <w:rPr>
          <w:rFonts w:hint="eastAsia"/>
          <w:sz w:val="24"/>
          <w:szCs w:val="24"/>
        </w:rPr>
        <w:t>（二）租期届满，甲方有权收回房屋。甲方将在本合同租期届满前开始公开招租，同等条件下，乙方享有优先承租权，乙方应提前告知甲方参与竞租，否则视为乙方放弃上述权利。租期届满，双方未达成新租赁协议的，乙方应于租期届满日前返还租赁房屋并完成全部</w:t>
      </w:r>
      <w:r>
        <w:rPr>
          <w:rFonts w:hint="eastAsia"/>
          <w:sz w:val="24"/>
          <w:szCs w:val="24"/>
          <w:lang w:val="en-US" w:eastAsia="zh-CN"/>
        </w:rPr>
        <w:t>移交</w:t>
      </w:r>
      <w:r>
        <w:rPr>
          <w:rFonts w:hint="eastAsia"/>
          <w:sz w:val="24"/>
          <w:szCs w:val="24"/>
        </w:rPr>
        <w:t>手续。</w:t>
      </w:r>
    </w:p>
    <w:p w14:paraId="3FAA45AD">
      <w:pPr>
        <w:snapToGrid w:val="0"/>
        <w:spacing w:line="420" w:lineRule="auto"/>
        <w:ind w:firstLine="562" w:firstLineChars="200"/>
        <w:rPr>
          <w:b/>
          <w:bCs/>
          <w:szCs w:val="28"/>
        </w:rPr>
      </w:pPr>
      <w:r>
        <w:rPr>
          <w:rFonts w:hint="eastAsia"/>
          <w:b/>
          <w:bCs/>
          <w:szCs w:val="28"/>
        </w:rPr>
        <w:t>第三条 房屋租金及履约保证金</w:t>
      </w:r>
    </w:p>
    <w:p w14:paraId="596AF512">
      <w:pPr>
        <w:snapToGrid w:val="0"/>
        <w:spacing w:line="420" w:lineRule="auto"/>
        <w:ind w:firstLine="480" w:firstLineChars="200"/>
        <w:rPr>
          <w:sz w:val="24"/>
          <w:szCs w:val="24"/>
        </w:rPr>
      </w:pPr>
      <w:r>
        <w:rPr>
          <w:rFonts w:hint="eastAsia"/>
          <w:sz w:val="24"/>
          <w:szCs w:val="24"/>
        </w:rPr>
        <w:t>（一）合同总价：</w:t>
      </w:r>
      <w:r>
        <w:rPr>
          <w:rFonts w:hint="eastAsia"/>
          <w:sz w:val="24"/>
          <w:szCs w:val="24"/>
          <w:u w:val="single"/>
          <w:lang w:val="en-US" w:eastAsia="zh-CN"/>
        </w:rPr>
        <w:t xml:space="preserve">        </w:t>
      </w:r>
      <w:r>
        <w:rPr>
          <w:rFonts w:hint="eastAsia"/>
          <w:sz w:val="24"/>
          <w:szCs w:val="24"/>
        </w:rPr>
        <w:t>租金之和：金额（人民币大写）</w:t>
      </w:r>
      <w:r>
        <w:rPr>
          <w:rFonts w:hint="eastAsia"/>
          <w:sz w:val="24"/>
          <w:szCs w:val="24"/>
          <w:u w:val="single"/>
        </w:rPr>
        <w:t xml:space="preserve">                   元整</w:t>
      </w:r>
      <w:r>
        <w:rPr>
          <w:rFonts w:hint="eastAsia"/>
          <w:sz w:val="24"/>
          <w:szCs w:val="24"/>
        </w:rPr>
        <w:t>，小写￥</w:t>
      </w:r>
      <w:r>
        <w:rPr>
          <w:rFonts w:hint="eastAsia"/>
          <w:sz w:val="24"/>
          <w:szCs w:val="24"/>
          <w:u w:val="single"/>
        </w:rPr>
        <w:t xml:space="preserve">            </w:t>
      </w:r>
      <w:r>
        <w:rPr>
          <w:rFonts w:hint="eastAsia"/>
          <w:sz w:val="24"/>
          <w:szCs w:val="24"/>
        </w:rPr>
        <w:t>元。</w:t>
      </w:r>
    </w:p>
    <w:p w14:paraId="0CEBB4D4">
      <w:pPr>
        <w:snapToGrid w:val="0"/>
        <w:spacing w:line="420" w:lineRule="auto"/>
        <w:ind w:firstLine="480" w:firstLineChars="200"/>
        <w:rPr>
          <w:sz w:val="24"/>
          <w:szCs w:val="24"/>
        </w:rPr>
      </w:pPr>
      <w:r>
        <w:rPr>
          <w:rFonts w:hint="eastAsia"/>
          <w:sz w:val="24"/>
          <w:szCs w:val="24"/>
        </w:rPr>
        <w:t>（二）支付方式：房屋租金乙方按一年为一期支付，先付后用</w:t>
      </w:r>
      <w:r>
        <w:rPr>
          <w:rFonts w:hint="eastAsia"/>
          <w:sz w:val="24"/>
          <w:szCs w:val="24"/>
          <w:lang w:eastAsia="zh-CN"/>
        </w:rPr>
        <w:t>，</w:t>
      </w:r>
      <w:r>
        <w:rPr>
          <w:rFonts w:hint="eastAsia"/>
          <w:sz w:val="24"/>
          <w:szCs w:val="24"/>
        </w:rPr>
        <w:t>不足整</w:t>
      </w:r>
      <w:r>
        <w:rPr>
          <w:rFonts w:hint="eastAsia"/>
          <w:sz w:val="24"/>
          <w:szCs w:val="24"/>
          <w:lang w:val="en-US" w:eastAsia="zh-CN"/>
        </w:rPr>
        <w:t>年</w:t>
      </w:r>
      <w:r>
        <w:rPr>
          <w:rFonts w:hint="eastAsia"/>
          <w:sz w:val="24"/>
          <w:szCs w:val="24"/>
        </w:rPr>
        <w:t>的按</w:t>
      </w:r>
      <w:r>
        <w:rPr>
          <w:rFonts w:hint="eastAsia"/>
          <w:sz w:val="24"/>
          <w:szCs w:val="24"/>
          <w:lang w:val="en-US" w:eastAsia="zh-CN"/>
        </w:rPr>
        <w:t>实际天数</w:t>
      </w:r>
      <w:r>
        <w:rPr>
          <w:rFonts w:hint="eastAsia"/>
          <w:sz w:val="24"/>
          <w:szCs w:val="24"/>
        </w:rPr>
        <w:t>计算</w:t>
      </w:r>
      <w:r>
        <w:rPr>
          <w:rFonts w:hint="eastAsia"/>
          <w:sz w:val="24"/>
          <w:szCs w:val="24"/>
          <w:lang w:val="en-US" w:eastAsia="zh-CN"/>
        </w:rPr>
        <w:t>租金</w:t>
      </w:r>
      <w:r>
        <w:rPr>
          <w:rFonts w:hint="eastAsia"/>
          <w:sz w:val="24"/>
          <w:szCs w:val="24"/>
          <w:lang w:eastAsia="zh-CN"/>
        </w:rPr>
        <w:t>（</w:t>
      </w:r>
      <w:r>
        <w:rPr>
          <w:rFonts w:hint="eastAsia"/>
          <w:sz w:val="24"/>
          <w:szCs w:val="24"/>
          <w:lang w:val="en-US" w:eastAsia="zh-CN"/>
        </w:rPr>
        <w:t>日租金为当年租金除以365天计算</w:t>
      </w:r>
      <w:r>
        <w:rPr>
          <w:rFonts w:hint="eastAsia"/>
          <w:sz w:val="24"/>
          <w:szCs w:val="24"/>
          <w:lang w:eastAsia="zh-CN"/>
        </w:rPr>
        <w:t>）</w:t>
      </w:r>
      <w:r>
        <w:rPr>
          <w:rFonts w:hint="eastAsia"/>
          <w:sz w:val="24"/>
          <w:szCs w:val="24"/>
        </w:rPr>
        <w:t>。</w:t>
      </w:r>
    </w:p>
    <w:p w14:paraId="37DA64D1">
      <w:pPr>
        <w:snapToGrid w:val="0"/>
        <w:spacing w:line="420" w:lineRule="auto"/>
        <w:ind w:firstLine="480" w:firstLineChars="200"/>
        <w:rPr>
          <w:rFonts w:hint="eastAsia" w:eastAsia="宋体"/>
          <w:sz w:val="24"/>
          <w:szCs w:val="24"/>
          <w:lang w:eastAsia="zh-CN"/>
        </w:rPr>
      </w:pPr>
      <w:r>
        <w:rPr>
          <w:rFonts w:hint="eastAsia"/>
          <w:sz w:val="24"/>
          <w:szCs w:val="24"/>
        </w:rPr>
        <w:t>（三）首年租金</w:t>
      </w:r>
      <w:r>
        <w:rPr>
          <w:rFonts w:hint="eastAsia"/>
          <w:sz w:val="24"/>
          <w:szCs w:val="24"/>
          <w:lang w:eastAsia="zh-CN"/>
        </w:rPr>
        <w:t>：</w:t>
      </w:r>
    </w:p>
    <w:p w14:paraId="34466D39">
      <w:pPr>
        <w:pStyle w:val="2"/>
        <w:snapToGrid w:val="0"/>
        <w:spacing w:before="0" w:after="0" w:line="420" w:lineRule="auto"/>
        <w:ind w:firstLine="480" w:firstLineChars="200"/>
        <w:rPr>
          <w:rFonts w:hint="eastAsia" w:ascii="Times New Roman" w:hAnsi="Times New Roman" w:eastAsia="宋体" w:cs="Times New Roman"/>
          <w:b w:val="0"/>
          <w:bCs w:val="0"/>
          <w:caps w:val="0"/>
          <w:kern w:val="2"/>
          <w:sz w:val="24"/>
          <w:szCs w:val="24"/>
          <w:lang w:val="en-US" w:eastAsia="zh-CN" w:bidi="ar-SA"/>
        </w:rPr>
      </w:pPr>
      <w:r>
        <w:rPr>
          <w:rFonts w:hint="eastAsia" w:ascii="Times New Roman" w:hAnsi="Times New Roman" w:eastAsia="宋体" w:cs="Times New Roman"/>
          <w:b w:val="0"/>
          <w:bCs w:val="0"/>
          <w:caps w:val="0"/>
          <w:kern w:val="2"/>
          <w:sz w:val="24"/>
          <w:szCs w:val="24"/>
          <w:lang w:val="en-US" w:eastAsia="zh-CN" w:bidi="ar-SA"/>
        </w:rPr>
        <w:t>1、首年租金金额（人民</w:t>
      </w:r>
      <w:bookmarkStart w:id="2" w:name="_GoBack"/>
      <w:bookmarkEnd w:id="2"/>
      <w:r>
        <w:rPr>
          <w:rFonts w:hint="eastAsia" w:ascii="Times New Roman" w:hAnsi="Times New Roman" w:eastAsia="宋体" w:cs="Times New Roman"/>
          <w:b w:val="0"/>
          <w:bCs w:val="0"/>
          <w:caps w:val="0"/>
          <w:kern w:val="2"/>
          <w:sz w:val="24"/>
          <w:szCs w:val="24"/>
          <w:lang w:val="en-US" w:eastAsia="zh-CN" w:bidi="ar-SA"/>
        </w:rPr>
        <w:t>币大写）</w:t>
      </w:r>
      <w:r>
        <w:rPr>
          <w:rFonts w:hint="eastAsia"/>
          <w:b w:val="0"/>
          <w:bCs w:val="0"/>
          <w:sz w:val="24"/>
          <w:szCs w:val="24"/>
          <w:u w:val="single"/>
        </w:rPr>
        <w:t xml:space="preserve">                   </w:t>
      </w:r>
      <w:r>
        <w:rPr>
          <w:rFonts w:hint="eastAsia" w:ascii="Times New Roman" w:hAnsi="Times New Roman" w:eastAsia="宋体" w:cs="Times New Roman"/>
          <w:b w:val="0"/>
          <w:bCs w:val="0"/>
          <w:caps w:val="0"/>
          <w:kern w:val="2"/>
          <w:sz w:val="24"/>
          <w:szCs w:val="24"/>
          <w:lang w:val="en-US" w:eastAsia="zh-CN" w:bidi="ar-SA"/>
        </w:rPr>
        <w:t>元整，小写￥____________元。</w:t>
      </w:r>
    </w:p>
    <w:p w14:paraId="5FA99958">
      <w:pPr>
        <w:snapToGrid w:val="0"/>
        <w:spacing w:line="420" w:lineRule="auto"/>
        <w:ind w:firstLine="480" w:firstLineChars="200"/>
        <w:rPr>
          <w:sz w:val="24"/>
          <w:szCs w:val="24"/>
        </w:rPr>
      </w:pPr>
      <w:r>
        <w:rPr>
          <w:rFonts w:hint="eastAsia" w:ascii="Times New Roman" w:hAnsi="Times New Roman" w:eastAsia="宋体" w:cs="Times New Roman"/>
          <w:b w:val="0"/>
          <w:bCs w:val="0"/>
          <w:caps w:val="0"/>
          <w:kern w:val="2"/>
          <w:sz w:val="24"/>
          <w:szCs w:val="24"/>
          <w:lang w:val="en-US" w:eastAsia="zh-CN" w:bidi="ar-SA"/>
        </w:rPr>
        <w:t>2、乙方在本合同签订生效后3个工作日内，将第一年的租金及履约保证金支付至杭州产权交易所有限责任公司指定账户。否则视为乙方构成</w:t>
      </w:r>
      <w:r>
        <w:rPr>
          <w:rFonts w:hint="eastAsia"/>
          <w:sz w:val="24"/>
          <w:szCs w:val="24"/>
        </w:rPr>
        <w:t>根本违约，甲方有权单方面解除本合同。</w:t>
      </w:r>
    </w:p>
    <w:p w14:paraId="31AE7F42">
      <w:pPr>
        <w:snapToGrid w:val="0"/>
        <w:spacing w:line="420" w:lineRule="auto"/>
        <w:ind w:firstLine="480" w:firstLineChars="200"/>
        <w:rPr>
          <w:sz w:val="24"/>
          <w:szCs w:val="24"/>
        </w:rPr>
      </w:pPr>
      <w:r>
        <w:rPr>
          <w:rFonts w:hint="eastAsia"/>
          <w:sz w:val="24"/>
          <w:szCs w:val="24"/>
        </w:rPr>
        <w:t>杭州产权交易所有限责任公司收款账户：</w:t>
      </w:r>
    </w:p>
    <w:p w14:paraId="7E8ADCA0">
      <w:pPr>
        <w:snapToGrid w:val="0"/>
        <w:spacing w:line="420" w:lineRule="auto"/>
        <w:ind w:firstLine="480" w:firstLineChars="200"/>
        <w:rPr>
          <w:sz w:val="24"/>
          <w:szCs w:val="24"/>
          <w:u w:val="single"/>
        </w:rPr>
      </w:pPr>
      <w:r>
        <w:rPr>
          <w:rFonts w:hint="eastAsia"/>
          <w:sz w:val="24"/>
          <w:szCs w:val="24"/>
        </w:rPr>
        <w:t>户名：</w:t>
      </w:r>
      <w:r>
        <w:rPr>
          <w:rFonts w:hint="eastAsia"/>
          <w:sz w:val="24"/>
          <w:szCs w:val="24"/>
          <w:u w:val="single"/>
        </w:rPr>
        <w:t>杭州产权交易所有限责任公司</w:t>
      </w:r>
    </w:p>
    <w:p w14:paraId="7BE86892">
      <w:pPr>
        <w:snapToGrid w:val="0"/>
        <w:spacing w:line="420" w:lineRule="auto"/>
        <w:ind w:firstLine="480" w:firstLineChars="200"/>
        <w:rPr>
          <w:sz w:val="24"/>
          <w:szCs w:val="24"/>
          <w:u w:val="single"/>
        </w:rPr>
      </w:pPr>
      <w:r>
        <w:rPr>
          <w:rFonts w:hint="eastAsia"/>
          <w:sz w:val="24"/>
          <w:szCs w:val="24"/>
        </w:rPr>
        <w:t>开户行</w:t>
      </w:r>
      <w:r>
        <w:rPr>
          <w:rFonts w:hint="eastAsia"/>
          <w:sz w:val="24"/>
          <w:szCs w:val="24"/>
          <w:u w:val="single"/>
        </w:rPr>
        <w:t>：杭州银行市民中心支行</w:t>
      </w:r>
    </w:p>
    <w:p w14:paraId="637786E0">
      <w:pPr>
        <w:snapToGrid w:val="0"/>
        <w:spacing w:line="420" w:lineRule="auto"/>
        <w:ind w:firstLine="480" w:firstLineChars="200"/>
        <w:rPr>
          <w:rFonts w:hint="eastAsia"/>
          <w:sz w:val="24"/>
          <w:szCs w:val="24"/>
          <w:u w:val="single"/>
        </w:rPr>
      </w:pPr>
      <w:r>
        <w:rPr>
          <w:rFonts w:hint="eastAsia"/>
          <w:sz w:val="24"/>
          <w:szCs w:val="24"/>
        </w:rPr>
        <w:t>账号：</w:t>
      </w:r>
      <w:r>
        <w:rPr>
          <w:rFonts w:hint="eastAsia"/>
          <w:sz w:val="24"/>
          <w:szCs w:val="24"/>
          <w:u w:val="single"/>
        </w:rPr>
        <w:t>3301040160002045899</w:t>
      </w:r>
    </w:p>
    <w:p w14:paraId="74D9CCE8">
      <w:pPr>
        <w:snapToGrid w:val="0"/>
        <w:spacing w:line="420" w:lineRule="auto"/>
        <w:ind w:firstLine="480" w:firstLineChars="200"/>
        <w:rPr>
          <w:rFonts w:hint="eastAsia" w:ascii="Times New Roman" w:hAnsi="Times New Roman" w:eastAsia="宋体" w:cs="Times New Roman"/>
          <w:b w:val="0"/>
          <w:bCs w:val="0"/>
          <w:caps w:val="0"/>
          <w:kern w:val="2"/>
          <w:sz w:val="24"/>
          <w:szCs w:val="24"/>
          <w:lang w:val="en-US" w:eastAsia="zh-CN" w:bidi="ar-SA"/>
        </w:rPr>
      </w:pPr>
      <w:r>
        <w:rPr>
          <w:rFonts w:hint="eastAsia" w:ascii="Times New Roman" w:hAnsi="Times New Roman" w:eastAsia="宋体" w:cs="Times New Roman"/>
          <w:b w:val="0"/>
          <w:bCs w:val="0"/>
          <w:caps w:val="0"/>
          <w:kern w:val="2"/>
          <w:sz w:val="24"/>
          <w:szCs w:val="24"/>
          <w:lang w:val="en-US" w:eastAsia="zh-CN" w:bidi="ar-SA"/>
        </w:rPr>
        <w:t>（四）后续租金</w:t>
      </w:r>
    </w:p>
    <w:p w14:paraId="2850C5AA">
      <w:pPr>
        <w:snapToGrid w:val="0"/>
        <w:spacing w:line="420" w:lineRule="auto"/>
        <w:ind w:firstLine="480" w:firstLineChars="200"/>
        <w:rPr>
          <w:rFonts w:hint="eastAsia"/>
          <w:color w:val="auto"/>
          <w:sz w:val="24"/>
          <w:szCs w:val="24"/>
        </w:rPr>
      </w:pPr>
      <w:r>
        <w:rPr>
          <w:rFonts w:hint="eastAsia"/>
          <w:sz w:val="24"/>
          <w:szCs w:val="24"/>
        </w:rPr>
        <w:t>1、</w:t>
      </w:r>
      <w:r>
        <w:rPr>
          <w:rFonts w:hint="eastAsia"/>
          <w:color w:val="auto"/>
          <w:sz w:val="24"/>
          <w:szCs w:val="24"/>
        </w:rPr>
        <w:t>自</w:t>
      </w:r>
      <w:r>
        <w:rPr>
          <w:rFonts w:hint="eastAsia"/>
          <w:color w:val="auto"/>
          <w:sz w:val="24"/>
          <w:szCs w:val="24"/>
          <w:lang w:val="en-US" w:eastAsia="zh-CN"/>
        </w:rPr>
        <w:t>第二年起，</w:t>
      </w:r>
      <w:r>
        <w:rPr>
          <w:rFonts w:hint="eastAsia"/>
          <w:color w:val="auto"/>
          <w:sz w:val="24"/>
          <w:szCs w:val="24"/>
        </w:rPr>
        <w:t>年租金在上一年租金总额基础上逐年递增3%,乙方</w:t>
      </w:r>
      <w:r>
        <w:rPr>
          <w:rFonts w:hint="eastAsia"/>
          <w:color w:val="auto"/>
          <w:sz w:val="24"/>
          <w:szCs w:val="24"/>
          <w:lang w:val="en-US" w:eastAsia="zh-CN"/>
        </w:rPr>
        <w:t>需在对应租期开始日两个月前将房屋租金</w:t>
      </w:r>
      <w:r>
        <w:rPr>
          <w:rFonts w:hint="eastAsia"/>
          <w:color w:val="auto"/>
          <w:sz w:val="24"/>
          <w:szCs w:val="24"/>
        </w:rPr>
        <w:t>支付给甲方。具体支付时间及金额详见下表：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3D823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vAlign w:val="center"/>
          </w:tcPr>
          <w:p w14:paraId="5679D919">
            <w:pPr>
              <w:snapToGrid w:val="0"/>
              <w:spacing w:line="420" w:lineRule="auto"/>
              <w:ind w:firstLine="480" w:firstLineChars="200"/>
              <w:rPr>
                <w:sz w:val="24"/>
                <w:szCs w:val="24"/>
              </w:rPr>
            </w:pPr>
            <w:r>
              <w:rPr>
                <w:rFonts w:hint="eastAsia"/>
                <w:sz w:val="24"/>
                <w:szCs w:val="24"/>
              </w:rPr>
              <w:t>租金缴纳时间</w:t>
            </w:r>
          </w:p>
        </w:tc>
        <w:tc>
          <w:tcPr>
            <w:tcW w:w="2841" w:type="dxa"/>
            <w:vAlign w:val="center"/>
          </w:tcPr>
          <w:p w14:paraId="77CC384E">
            <w:pPr>
              <w:snapToGrid w:val="0"/>
              <w:spacing w:line="420" w:lineRule="auto"/>
              <w:ind w:firstLine="480" w:firstLineChars="200"/>
              <w:rPr>
                <w:sz w:val="24"/>
                <w:szCs w:val="24"/>
              </w:rPr>
            </w:pPr>
            <w:r>
              <w:rPr>
                <w:rFonts w:hint="eastAsia"/>
                <w:sz w:val="24"/>
                <w:szCs w:val="24"/>
              </w:rPr>
              <w:t>租期起止日期</w:t>
            </w:r>
          </w:p>
        </w:tc>
        <w:tc>
          <w:tcPr>
            <w:tcW w:w="2841" w:type="dxa"/>
            <w:vAlign w:val="center"/>
          </w:tcPr>
          <w:p w14:paraId="2E6BF064">
            <w:pPr>
              <w:snapToGrid w:val="0"/>
              <w:spacing w:line="420" w:lineRule="auto"/>
              <w:ind w:firstLine="480" w:firstLineChars="200"/>
              <w:rPr>
                <w:sz w:val="24"/>
                <w:szCs w:val="24"/>
              </w:rPr>
            </w:pPr>
            <w:r>
              <w:rPr>
                <w:rFonts w:hint="eastAsia"/>
                <w:sz w:val="24"/>
                <w:szCs w:val="24"/>
              </w:rPr>
              <w:t>应缴租金（元）</w:t>
            </w:r>
          </w:p>
        </w:tc>
      </w:tr>
      <w:tr w14:paraId="17E32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232B5AF2">
            <w:pPr>
              <w:snapToGrid w:val="0"/>
              <w:spacing w:line="420" w:lineRule="auto"/>
              <w:ind w:firstLine="480" w:firstLineChars="200"/>
              <w:rPr>
                <w:sz w:val="24"/>
                <w:szCs w:val="24"/>
              </w:rPr>
            </w:pPr>
          </w:p>
        </w:tc>
        <w:tc>
          <w:tcPr>
            <w:tcW w:w="2841" w:type="dxa"/>
            <w:vAlign w:val="center"/>
          </w:tcPr>
          <w:p w14:paraId="66F5B733">
            <w:pPr>
              <w:snapToGrid w:val="0"/>
              <w:spacing w:line="420" w:lineRule="auto"/>
              <w:ind w:firstLine="480" w:firstLineChars="200"/>
              <w:rPr>
                <w:sz w:val="24"/>
                <w:szCs w:val="24"/>
              </w:rPr>
            </w:pPr>
          </w:p>
        </w:tc>
        <w:tc>
          <w:tcPr>
            <w:tcW w:w="2841" w:type="dxa"/>
            <w:vAlign w:val="center"/>
          </w:tcPr>
          <w:p w14:paraId="7E1FFC6E">
            <w:pPr>
              <w:snapToGrid w:val="0"/>
              <w:spacing w:line="420" w:lineRule="auto"/>
              <w:ind w:firstLine="480" w:firstLineChars="200"/>
              <w:rPr>
                <w:sz w:val="24"/>
                <w:szCs w:val="24"/>
              </w:rPr>
            </w:pPr>
          </w:p>
        </w:tc>
      </w:tr>
      <w:tr w14:paraId="69C8D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5A5EA831">
            <w:pPr>
              <w:snapToGrid w:val="0"/>
              <w:spacing w:line="420" w:lineRule="auto"/>
              <w:ind w:firstLine="480" w:firstLineChars="200"/>
              <w:rPr>
                <w:sz w:val="24"/>
                <w:szCs w:val="24"/>
              </w:rPr>
            </w:pPr>
          </w:p>
        </w:tc>
        <w:tc>
          <w:tcPr>
            <w:tcW w:w="2841" w:type="dxa"/>
            <w:vAlign w:val="center"/>
          </w:tcPr>
          <w:p w14:paraId="377A3D4F">
            <w:pPr>
              <w:snapToGrid w:val="0"/>
              <w:spacing w:line="420" w:lineRule="auto"/>
              <w:ind w:firstLine="480" w:firstLineChars="200"/>
              <w:rPr>
                <w:sz w:val="24"/>
                <w:szCs w:val="24"/>
              </w:rPr>
            </w:pPr>
          </w:p>
        </w:tc>
        <w:tc>
          <w:tcPr>
            <w:tcW w:w="2841" w:type="dxa"/>
            <w:vAlign w:val="center"/>
          </w:tcPr>
          <w:p w14:paraId="4A60406C">
            <w:pPr>
              <w:snapToGrid w:val="0"/>
              <w:spacing w:line="420" w:lineRule="auto"/>
              <w:ind w:firstLine="480" w:firstLineChars="200"/>
              <w:rPr>
                <w:sz w:val="24"/>
                <w:szCs w:val="24"/>
              </w:rPr>
            </w:pPr>
          </w:p>
        </w:tc>
      </w:tr>
      <w:tr w14:paraId="76E3A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3F50DFA6">
            <w:pPr>
              <w:snapToGrid w:val="0"/>
              <w:spacing w:line="420" w:lineRule="auto"/>
              <w:ind w:firstLine="480" w:firstLineChars="200"/>
              <w:rPr>
                <w:sz w:val="24"/>
                <w:szCs w:val="24"/>
              </w:rPr>
            </w:pPr>
          </w:p>
        </w:tc>
        <w:tc>
          <w:tcPr>
            <w:tcW w:w="2841" w:type="dxa"/>
            <w:vAlign w:val="center"/>
          </w:tcPr>
          <w:p w14:paraId="41923521">
            <w:pPr>
              <w:snapToGrid w:val="0"/>
              <w:spacing w:line="420" w:lineRule="auto"/>
              <w:ind w:firstLine="480" w:firstLineChars="200"/>
              <w:rPr>
                <w:sz w:val="24"/>
                <w:szCs w:val="24"/>
              </w:rPr>
            </w:pPr>
          </w:p>
        </w:tc>
        <w:tc>
          <w:tcPr>
            <w:tcW w:w="2841" w:type="dxa"/>
            <w:vAlign w:val="center"/>
          </w:tcPr>
          <w:p w14:paraId="6D36AECE">
            <w:pPr>
              <w:snapToGrid w:val="0"/>
              <w:spacing w:line="420" w:lineRule="auto"/>
              <w:ind w:firstLine="480" w:firstLineChars="200"/>
              <w:rPr>
                <w:sz w:val="24"/>
                <w:szCs w:val="24"/>
              </w:rPr>
            </w:pPr>
          </w:p>
        </w:tc>
      </w:tr>
      <w:tr w14:paraId="66D70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3114E35B">
            <w:pPr>
              <w:snapToGrid w:val="0"/>
              <w:spacing w:line="420" w:lineRule="auto"/>
              <w:ind w:firstLine="480" w:firstLineChars="200"/>
              <w:rPr>
                <w:sz w:val="24"/>
                <w:szCs w:val="24"/>
              </w:rPr>
            </w:pPr>
          </w:p>
        </w:tc>
        <w:tc>
          <w:tcPr>
            <w:tcW w:w="2841" w:type="dxa"/>
            <w:vAlign w:val="center"/>
          </w:tcPr>
          <w:p w14:paraId="79D371F9">
            <w:pPr>
              <w:snapToGrid w:val="0"/>
              <w:spacing w:line="420" w:lineRule="auto"/>
              <w:ind w:firstLine="480" w:firstLineChars="200"/>
              <w:rPr>
                <w:sz w:val="24"/>
                <w:szCs w:val="24"/>
              </w:rPr>
            </w:pPr>
          </w:p>
        </w:tc>
        <w:tc>
          <w:tcPr>
            <w:tcW w:w="2841" w:type="dxa"/>
            <w:vAlign w:val="center"/>
          </w:tcPr>
          <w:p w14:paraId="45DD0947">
            <w:pPr>
              <w:snapToGrid w:val="0"/>
              <w:spacing w:line="420" w:lineRule="auto"/>
              <w:ind w:firstLine="480" w:firstLineChars="200"/>
              <w:rPr>
                <w:sz w:val="24"/>
                <w:szCs w:val="24"/>
              </w:rPr>
            </w:pPr>
          </w:p>
        </w:tc>
      </w:tr>
      <w:tr w14:paraId="074DB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2BC54623">
            <w:pPr>
              <w:snapToGrid w:val="0"/>
              <w:spacing w:line="420" w:lineRule="auto"/>
              <w:ind w:firstLine="480" w:firstLineChars="200"/>
              <w:rPr>
                <w:sz w:val="24"/>
                <w:szCs w:val="24"/>
              </w:rPr>
            </w:pPr>
          </w:p>
        </w:tc>
        <w:tc>
          <w:tcPr>
            <w:tcW w:w="2841" w:type="dxa"/>
            <w:vAlign w:val="center"/>
          </w:tcPr>
          <w:p w14:paraId="2808142E">
            <w:pPr>
              <w:snapToGrid w:val="0"/>
              <w:spacing w:line="420" w:lineRule="auto"/>
              <w:ind w:firstLine="480" w:firstLineChars="200"/>
              <w:rPr>
                <w:sz w:val="24"/>
                <w:szCs w:val="24"/>
              </w:rPr>
            </w:pPr>
          </w:p>
        </w:tc>
        <w:tc>
          <w:tcPr>
            <w:tcW w:w="2841" w:type="dxa"/>
            <w:vAlign w:val="center"/>
          </w:tcPr>
          <w:p w14:paraId="667FFC76">
            <w:pPr>
              <w:snapToGrid w:val="0"/>
              <w:spacing w:line="420" w:lineRule="auto"/>
              <w:ind w:firstLine="480" w:firstLineChars="200"/>
              <w:rPr>
                <w:sz w:val="24"/>
                <w:szCs w:val="24"/>
              </w:rPr>
            </w:pPr>
          </w:p>
        </w:tc>
      </w:tr>
      <w:tr w14:paraId="058F2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11E2B0BE">
            <w:pPr>
              <w:snapToGrid w:val="0"/>
              <w:spacing w:line="420" w:lineRule="auto"/>
              <w:ind w:firstLine="480" w:firstLineChars="200"/>
              <w:rPr>
                <w:sz w:val="24"/>
                <w:szCs w:val="24"/>
              </w:rPr>
            </w:pPr>
          </w:p>
        </w:tc>
        <w:tc>
          <w:tcPr>
            <w:tcW w:w="2841" w:type="dxa"/>
            <w:vAlign w:val="center"/>
          </w:tcPr>
          <w:p w14:paraId="0C19AC0B">
            <w:pPr>
              <w:snapToGrid w:val="0"/>
              <w:spacing w:line="420" w:lineRule="auto"/>
              <w:ind w:firstLine="480" w:firstLineChars="200"/>
              <w:rPr>
                <w:sz w:val="24"/>
                <w:szCs w:val="24"/>
              </w:rPr>
            </w:pPr>
          </w:p>
        </w:tc>
        <w:tc>
          <w:tcPr>
            <w:tcW w:w="2841" w:type="dxa"/>
            <w:vAlign w:val="center"/>
          </w:tcPr>
          <w:p w14:paraId="4E68A764">
            <w:pPr>
              <w:snapToGrid w:val="0"/>
              <w:spacing w:line="420" w:lineRule="auto"/>
              <w:ind w:firstLine="480" w:firstLineChars="200"/>
              <w:rPr>
                <w:sz w:val="24"/>
                <w:szCs w:val="24"/>
              </w:rPr>
            </w:pPr>
          </w:p>
        </w:tc>
      </w:tr>
      <w:tr w14:paraId="0ECE5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0F5F7323">
            <w:pPr>
              <w:snapToGrid w:val="0"/>
              <w:spacing w:line="420" w:lineRule="auto"/>
              <w:ind w:firstLine="480" w:firstLineChars="200"/>
              <w:rPr>
                <w:sz w:val="24"/>
                <w:szCs w:val="24"/>
              </w:rPr>
            </w:pPr>
          </w:p>
        </w:tc>
        <w:tc>
          <w:tcPr>
            <w:tcW w:w="2841" w:type="dxa"/>
            <w:vAlign w:val="center"/>
          </w:tcPr>
          <w:p w14:paraId="7D1E2F48">
            <w:pPr>
              <w:snapToGrid w:val="0"/>
              <w:spacing w:line="420" w:lineRule="auto"/>
              <w:ind w:firstLine="480" w:firstLineChars="200"/>
              <w:rPr>
                <w:sz w:val="24"/>
                <w:szCs w:val="24"/>
              </w:rPr>
            </w:pPr>
          </w:p>
        </w:tc>
        <w:tc>
          <w:tcPr>
            <w:tcW w:w="2841" w:type="dxa"/>
            <w:vAlign w:val="center"/>
          </w:tcPr>
          <w:p w14:paraId="681666CE">
            <w:pPr>
              <w:snapToGrid w:val="0"/>
              <w:spacing w:line="420" w:lineRule="auto"/>
              <w:ind w:firstLine="480" w:firstLineChars="200"/>
              <w:rPr>
                <w:sz w:val="24"/>
                <w:szCs w:val="24"/>
              </w:rPr>
            </w:pPr>
          </w:p>
        </w:tc>
      </w:tr>
      <w:tr w14:paraId="539F2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33DE31C5">
            <w:pPr>
              <w:snapToGrid w:val="0"/>
              <w:spacing w:line="420" w:lineRule="auto"/>
              <w:ind w:firstLine="480" w:firstLineChars="200"/>
              <w:rPr>
                <w:sz w:val="24"/>
                <w:szCs w:val="24"/>
              </w:rPr>
            </w:pPr>
          </w:p>
        </w:tc>
        <w:tc>
          <w:tcPr>
            <w:tcW w:w="2841" w:type="dxa"/>
            <w:vAlign w:val="center"/>
          </w:tcPr>
          <w:p w14:paraId="79EBB29B">
            <w:pPr>
              <w:snapToGrid w:val="0"/>
              <w:spacing w:line="420" w:lineRule="auto"/>
              <w:ind w:firstLine="480" w:firstLineChars="200"/>
              <w:rPr>
                <w:sz w:val="24"/>
                <w:szCs w:val="24"/>
              </w:rPr>
            </w:pPr>
          </w:p>
        </w:tc>
        <w:tc>
          <w:tcPr>
            <w:tcW w:w="2841" w:type="dxa"/>
            <w:vAlign w:val="center"/>
          </w:tcPr>
          <w:p w14:paraId="43FB5CD4">
            <w:pPr>
              <w:snapToGrid w:val="0"/>
              <w:spacing w:line="420" w:lineRule="auto"/>
              <w:ind w:firstLine="480" w:firstLineChars="200"/>
              <w:rPr>
                <w:sz w:val="24"/>
                <w:szCs w:val="24"/>
              </w:rPr>
            </w:pPr>
          </w:p>
        </w:tc>
      </w:tr>
      <w:tr w14:paraId="1F8D6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3AEEFE11">
            <w:pPr>
              <w:snapToGrid w:val="0"/>
              <w:spacing w:line="420" w:lineRule="auto"/>
              <w:ind w:firstLine="480" w:firstLineChars="200"/>
              <w:rPr>
                <w:sz w:val="24"/>
                <w:szCs w:val="24"/>
              </w:rPr>
            </w:pPr>
          </w:p>
        </w:tc>
        <w:tc>
          <w:tcPr>
            <w:tcW w:w="2841" w:type="dxa"/>
            <w:vAlign w:val="center"/>
          </w:tcPr>
          <w:p w14:paraId="7DD4A551">
            <w:pPr>
              <w:snapToGrid w:val="0"/>
              <w:spacing w:line="420" w:lineRule="auto"/>
              <w:ind w:firstLine="480" w:firstLineChars="200"/>
              <w:rPr>
                <w:sz w:val="24"/>
                <w:szCs w:val="24"/>
              </w:rPr>
            </w:pPr>
          </w:p>
        </w:tc>
        <w:tc>
          <w:tcPr>
            <w:tcW w:w="2841" w:type="dxa"/>
            <w:vAlign w:val="center"/>
          </w:tcPr>
          <w:p w14:paraId="32D467DC">
            <w:pPr>
              <w:snapToGrid w:val="0"/>
              <w:spacing w:line="420" w:lineRule="auto"/>
              <w:ind w:firstLine="480" w:firstLineChars="200"/>
              <w:rPr>
                <w:sz w:val="24"/>
                <w:szCs w:val="24"/>
              </w:rPr>
            </w:pPr>
          </w:p>
        </w:tc>
      </w:tr>
    </w:tbl>
    <w:p w14:paraId="511C57EE">
      <w:pPr>
        <w:snapToGrid w:val="0"/>
        <w:spacing w:line="420" w:lineRule="auto"/>
        <w:ind w:firstLine="480" w:firstLineChars="200"/>
        <w:rPr>
          <w:sz w:val="24"/>
          <w:szCs w:val="24"/>
        </w:rPr>
      </w:pPr>
      <w:r>
        <w:rPr>
          <w:rFonts w:hint="eastAsia"/>
          <w:sz w:val="24"/>
          <w:szCs w:val="24"/>
        </w:rPr>
        <w:t>2、乙方应按照合同约定的支付时间将年租金以银行转账方式存入甲方指定账户，如甲方收款账户发生变更，以书面的形式通知乙方。甲方收款账户：</w:t>
      </w:r>
    </w:p>
    <w:p w14:paraId="164BC95D">
      <w:pPr>
        <w:snapToGrid w:val="0"/>
        <w:spacing w:line="420" w:lineRule="auto"/>
        <w:ind w:firstLine="480" w:firstLineChars="200"/>
        <w:rPr>
          <w:sz w:val="24"/>
          <w:szCs w:val="24"/>
        </w:rPr>
      </w:pPr>
      <w:r>
        <w:rPr>
          <w:rFonts w:hint="eastAsia"/>
          <w:sz w:val="24"/>
          <w:szCs w:val="24"/>
        </w:rPr>
        <w:t xml:space="preserve">户 </w:t>
      </w:r>
      <w:r>
        <w:rPr>
          <w:sz w:val="24"/>
          <w:szCs w:val="24"/>
        </w:rPr>
        <w:t xml:space="preserve"> </w:t>
      </w:r>
      <w:r>
        <w:rPr>
          <w:rFonts w:hint="eastAsia"/>
          <w:sz w:val="24"/>
          <w:szCs w:val="24"/>
        </w:rPr>
        <w:t>名：</w:t>
      </w:r>
      <w:r>
        <w:rPr>
          <w:rFonts w:hint="eastAsia"/>
          <w:sz w:val="24"/>
          <w:szCs w:val="24"/>
          <w:u w:val="single"/>
        </w:rPr>
        <w:t>杭州市摄影服务公司</w:t>
      </w:r>
      <w:r>
        <w:rPr>
          <w:rFonts w:hint="eastAsia"/>
          <w:sz w:val="24"/>
          <w:szCs w:val="24"/>
        </w:rPr>
        <w:t>；</w:t>
      </w:r>
    </w:p>
    <w:p w14:paraId="13DAED5E">
      <w:pPr>
        <w:snapToGrid w:val="0"/>
        <w:spacing w:line="420" w:lineRule="auto"/>
        <w:ind w:firstLine="480" w:firstLineChars="200"/>
        <w:rPr>
          <w:sz w:val="24"/>
          <w:szCs w:val="24"/>
        </w:rPr>
      </w:pPr>
      <w:r>
        <w:rPr>
          <w:rFonts w:hint="eastAsia"/>
          <w:sz w:val="24"/>
          <w:szCs w:val="24"/>
        </w:rPr>
        <w:t>开户行：</w:t>
      </w:r>
      <w:r>
        <w:rPr>
          <w:rFonts w:hint="eastAsia" w:ascii="宋体" w:hAnsi="宋体"/>
          <w:sz w:val="24"/>
          <w:szCs w:val="24"/>
          <w:u w:val="single"/>
        </w:rPr>
        <w:t>杭州银行股份有限公司延中大楼支行</w:t>
      </w:r>
    </w:p>
    <w:p w14:paraId="1902E37E">
      <w:pPr>
        <w:snapToGrid w:val="0"/>
        <w:spacing w:line="420" w:lineRule="auto"/>
        <w:ind w:firstLine="480" w:firstLineChars="200"/>
        <w:rPr>
          <w:sz w:val="24"/>
          <w:szCs w:val="24"/>
        </w:rPr>
      </w:pPr>
      <w:r>
        <w:rPr>
          <w:rFonts w:hint="eastAsia"/>
          <w:sz w:val="24"/>
          <w:szCs w:val="24"/>
        </w:rPr>
        <w:t xml:space="preserve">账 </w:t>
      </w:r>
      <w:r>
        <w:rPr>
          <w:sz w:val="24"/>
          <w:szCs w:val="24"/>
        </w:rPr>
        <w:t xml:space="preserve"> </w:t>
      </w:r>
      <w:r>
        <w:rPr>
          <w:rFonts w:hint="eastAsia"/>
          <w:sz w:val="24"/>
          <w:szCs w:val="24"/>
        </w:rPr>
        <w:t>号：</w:t>
      </w:r>
      <w:r>
        <w:rPr>
          <w:rFonts w:hint="eastAsia" w:ascii="宋体" w:hAnsi="宋体"/>
          <w:sz w:val="24"/>
          <w:szCs w:val="24"/>
          <w:u w:val="single"/>
        </w:rPr>
        <w:t>3301041060004183194</w:t>
      </w:r>
    </w:p>
    <w:p w14:paraId="43E7ADB9">
      <w:pPr>
        <w:snapToGrid w:val="0"/>
        <w:spacing w:line="420" w:lineRule="auto"/>
        <w:ind w:firstLine="562" w:firstLineChars="200"/>
        <w:rPr>
          <w:b/>
          <w:bCs/>
          <w:szCs w:val="28"/>
        </w:rPr>
      </w:pPr>
      <w:r>
        <w:rPr>
          <w:rFonts w:hint="eastAsia"/>
          <w:b/>
          <w:bCs/>
          <w:szCs w:val="28"/>
        </w:rPr>
        <w:t xml:space="preserve">第四条 </w:t>
      </w:r>
      <w:r>
        <w:rPr>
          <w:rFonts w:hint="eastAsia"/>
          <w:b/>
          <w:szCs w:val="28"/>
        </w:rPr>
        <w:t>履约保证金</w:t>
      </w:r>
    </w:p>
    <w:p w14:paraId="35D80ECB">
      <w:pPr>
        <w:snapToGrid w:val="0"/>
        <w:spacing w:line="420" w:lineRule="auto"/>
        <w:ind w:firstLine="240" w:firstLineChars="100"/>
        <w:rPr>
          <w:sz w:val="24"/>
          <w:szCs w:val="24"/>
        </w:rPr>
      </w:pPr>
      <w:r>
        <w:rPr>
          <w:rFonts w:hint="eastAsia"/>
          <w:sz w:val="24"/>
          <w:szCs w:val="24"/>
        </w:rPr>
        <w:t>（一）乙方缴纳的履约保证金为首年租金的10％。履约保证金（人民币大写)___________________________</w:t>
      </w:r>
      <w:r>
        <w:rPr>
          <w:rFonts w:hint="eastAsia"/>
          <w:sz w:val="24"/>
          <w:szCs w:val="24"/>
          <w:u w:val="single"/>
        </w:rPr>
        <w:t>元整</w:t>
      </w:r>
      <w:r>
        <w:rPr>
          <w:rFonts w:hint="eastAsia"/>
          <w:sz w:val="24"/>
          <w:szCs w:val="24"/>
        </w:rPr>
        <w:t>，小写￥_____________元；</w:t>
      </w:r>
    </w:p>
    <w:p w14:paraId="001E3DCC">
      <w:pPr>
        <w:snapToGrid w:val="0"/>
        <w:spacing w:line="420" w:lineRule="auto"/>
        <w:ind w:firstLine="240" w:firstLineChars="100"/>
        <w:rPr>
          <w:sz w:val="24"/>
          <w:szCs w:val="24"/>
        </w:rPr>
      </w:pPr>
      <w:r>
        <w:rPr>
          <w:rFonts w:hint="eastAsia"/>
          <w:sz w:val="24"/>
          <w:szCs w:val="24"/>
        </w:rPr>
        <w:t>（二）租赁期限内，乙方应保证履约保证金保持足额状态，甲方有权在乙方发生任何违约或欠付任何费用后的</w:t>
      </w:r>
      <w:r>
        <w:rPr>
          <w:sz w:val="24"/>
          <w:szCs w:val="24"/>
        </w:rPr>
        <w:t>5</w:t>
      </w:r>
      <w:r>
        <w:rPr>
          <w:rFonts w:hint="eastAsia"/>
          <w:sz w:val="24"/>
          <w:szCs w:val="24"/>
        </w:rPr>
        <w:t>个工作日内从履约保证金内扣除相应费用。乙方应在收到甲方书面通知之日起</w:t>
      </w:r>
      <w:r>
        <w:rPr>
          <w:sz w:val="24"/>
          <w:szCs w:val="24"/>
        </w:rPr>
        <w:t>5</w:t>
      </w:r>
      <w:r>
        <w:rPr>
          <w:rFonts w:hint="eastAsia"/>
          <w:sz w:val="24"/>
          <w:szCs w:val="24"/>
        </w:rPr>
        <w:t>个工作日内补足履约保证金，本合同履行期限内，乙方出现累计三次未补足或逾期补足、扣除履约保证金50%以上等任一情形的，视作乙方根本违约。</w:t>
      </w:r>
      <w:r>
        <w:rPr>
          <w:sz w:val="24"/>
          <w:szCs w:val="24"/>
        </w:rPr>
        <w:t xml:space="preserve"> </w:t>
      </w:r>
    </w:p>
    <w:p w14:paraId="09149E11">
      <w:pPr>
        <w:snapToGrid w:val="0"/>
        <w:spacing w:line="420" w:lineRule="auto"/>
        <w:ind w:firstLine="240" w:firstLineChars="100"/>
        <w:rPr>
          <w:sz w:val="24"/>
          <w:szCs w:val="24"/>
        </w:rPr>
      </w:pPr>
      <w:r>
        <w:rPr>
          <w:rFonts w:hint="eastAsia"/>
          <w:sz w:val="24"/>
          <w:szCs w:val="24"/>
        </w:rPr>
        <w:t xml:space="preserve">（三）履约保证金的退还：本合同期满或提前解除的，在乙方按本合同约定返还租赁房屋、注销以该房屋为营业住址的相应证照，向甲方交还甲方出具的履约保证金收据，付清租金、水、电、赔偿款、违约金等各种费用且经甲方书面确认后，剩余履约保证金由甲方在5个工作日内一次性无息退还给乙方。 </w:t>
      </w:r>
    </w:p>
    <w:p w14:paraId="396C6219">
      <w:pPr>
        <w:snapToGrid w:val="0"/>
        <w:spacing w:line="420" w:lineRule="auto"/>
        <w:ind w:firstLine="562" w:firstLineChars="200"/>
        <w:jc w:val="left"/>
        <w:rPr>
          <w:b/>
          <w:bCs/>
          <w:szCs w:val="28"/>
        </w:rPr>
      </w:pPr>
      <w:r>
        <w:rPr>
          <w:rFonts w:hint="eastAsia"/>
          <w:b/>
          <w:bCs/>
          <w:szCs w:val="28"/>
        </w:rPr>
        <w:t>第五条 甲方责任</w:t>
      </w:r>
    </w:p>
    <w:p w14:paraId="2799C594">
      <w:pPr>
        <w:snapToGrid w:val="0"/>
        <w:spacing w:line="420" w:lineRule="auto"/>
        <w:ind w:firstLine="480" w:firstLineChars="200"/>
        <w:rPr>
          <w:sz w:val="24"/>
          <w:szCs w:val="24"/>
        </w:rPr>
      </w:pPr>
      <w:r>
        <w:rPr>
          <w:rFonts w:hint="eastAsia"/>
          <w:sz w:val="24"/>
          <w:szCs w:val="24"/>
        </w:rPr>
        <w:t>（一）甲方仅保证房屋的</w:t>
      </w:r>
      <w:r>
        <w:rPr>
          <w:rFonts w:hint="eastAsia" w:asciiTheme="minorEastAsia" w:hAnsiTheme="minorEastAsia"/>
          <w:sz w:val="24"/>
          <w:szCs w:val="24"/>
        </w:rPr>
        <w:t>基本</w:t>
      </w:r>
      <w:r>
        <w:rPr>
          <w:rFonts w:hint="eastAsia"/>
          <w:sz w:val="24"/>
          <w:szCs w:val="24"/>
        </w:rPr>
        <w:t>使用功能，仅负责对房屋主体结构（指梁、柱、板、承重墙）的维修，不负责屋顶</w:t>
      </w:r>
      <w:r>
        <w:rPr>
          <w:rFonts w:hint="eastAsia"/>
          <w:sz w:val="24"/>
          <w:szCs w:val="24"/>
          <w:lang w:eastAsia="zh-CN"/>
        </w:rPr>
        <w:t>、墙面、室外</w:t>
      </w:r>
      <w:r>
        <w:rPr>
          <w:rFonts w:hint="eastAsia"/>
          <w:sz w:val="24"/>
          <w:szCs w:val="24"/>
        </w:rPr>
        <w:t>、前租户遗留装饰装修及设备、乙方装饰及添置设施的管理及维修。需维修时，乙方应提前</w:t>
      </w:r>
      <w:r>
        <w:rPr>
          <w:rFonts w:hint="eastAsia"/>
          <w:sz w:val="24"/>
          <w:szCs w:val="24"/>
          <w:lang w:val="en-US" w:eastAsia="zh-CN"/>
        </w:rPr>
        <w:t>十五日</w:t>
      </w:r>
      <w:r>
        <w:rPr>
          <w:rFonts w:hint="eastAsia"/>
          <w:sz w:val="24"/>
          <w:szCs w:val="24"/>
        </w:rPr>
        <w:t>书面通知甲方，甲方维修时乙方应积极协助和配合。因乙方阻挠而产生的后果，则概由乙方负责。</w:t>
      </w:r>
    </w:p>
    <w:p w14:paraId="6B3A712C">
      <w:pPr>
        <w:snapToGrid w:val="0"/>
        <w:spacing w:line="420" w:lineRule="auto"/>
        <w:ind w:firstLine="562" w:firstLineChars="200"/>
        <w:rPr>
          <w:b/>
          <w:bCs/>
          <w:szCs w:val="28"/>
        </w:rPr>
      </w:pPr>
      <w:r>
        <w:rPr>
          <w:rFonts w:hint="eastAsia"/>
          <w:b/>
          <w:bCs/>
          <w:szCs w:val="28"/>
        </w:rPr>
        <w:t>第六条 乙方责任</w:t>
      </w:r>
    </w:p>
    <w:p w14:paraId="1647FFD7">
      <w:pPr>
        <w:snapToGrid w:val="0"/>
        <w:spacing w:line="420" w:lineRule="auto"/>
        <w:ind w:firstLine="480" w:firstLineChars="200"/>
        <w:rPr>
          <w:strike/>
          <w:sz w:val="24"/>
          <w:szCs w:val="24"/>
        </w:rPr>
      </w:pPr>
      <w:r>
        <w:rPr>
          <w:rFonts w:hint="eastAsia"/>
          <w:sz w:val="24"/>
          <w:szCs w:val="24"/>
        </w:rPr>
        <w:t>1、乙方保证在本合同约定的用途范围内使用租赁房屋，遵守公安、消防、城建、环卫、市政、工商、税务、卫生等部门的管理规定，不进行任何违法活动，按国家规定依法经营，自行负责办理相关手续和支付相关费用。</w:t>
      </w:r>
    </w:p>
    <w:p w14:paraId="39516DDC">
      <w:pPr>
        <w:snapToGrid w:val="0"/>
        <w:spacing w:line="420" w:lineRule="auto"/>
        <w:ind w:firstLine="480" w:firstLineChars="200"/>
        <w:rPr>
          <w:sz w:val="24"/>
          <w:szCs w:val="24"/>
        </w:rPr>
      </w:pPr>
      <w:r>
        <w:rPr>
          <w:sz w:val="24"/>
          <w:szCs w:val="24"/>
        </w:rPr>
        <w:t>2</w:t>
      </w:r>
      <w:r>
        <w:rPr>
          <w:rFonts w:hint="eastAsia"/>
          <w:sz w:val="24"/>
          <w:szCs w:val="24"/>
        </w:rPr>
        <w:t>、租赁期间，乙方应做好门前三包，防火安全，综合治理和安全保卫等工作，乙方应执行当地有关部门规定，承担全部责任并接受、服从甲方的监督检查。</w:t>
      </w:r>
    </w:p>
    <w:p w14:paraId="4C47A6FF">
      <w:pPr>
        <w:snapToGrid w:val="0"/>
        <w:spacing w:line="420" w:lineRule="auto"/>
        <w:ind w:firstLine="480" w:firstLineChars="200"/>
        <w:rPr>
          <w:sz w:val="24"/>
          <w:szCs w:val="24"/>
        </w:rPr>
      </w:pPr>
      <w:r>
        <w:rPr>
          <w:rFonts w:hint="eastAsia"/>
          <w:sz w:val="24"/>
          <w:szCs w:val="24"/>
        </w:rPr>
        <w:t>3、在租赁期间，如果发生政府有关部门征收本合同未列出项目但与使用该租赁房屋有关的费用，均由乙方承担。</w:t>
      </w:r>
    </w:p>
    <w:p w14:paraId="5A7C5C3D">
      <w:pPr>
        <w:snapToGrid w:val="0"/>
        <w:spacing w:line="420" w:lineRule="auto"/>
        <w:ind w:firstLine="480" w:firstLineChars="200"/>
        <w:rPr>
          <w:sz w:val="24"/>
          <w:szCs w:val="24"/>
        </w:rPr>
      </w:pPr>
      <w:r>
        <w:rPr>
          <w:rFonts w:hint="eastAsia"/>
          <w:sz w:val="24"/>
          <w:szCs w:val="24"/>
        </w:rPr>
        <w:t>4、在承租期限内，乙方租赁区域内发生的一切费用，包括但不限于水、电、电话、网络、宽带、电视、煤气、市政等乙方经营所实际发生的费用，均由乙方承担。乙方应及时支付给甲方或直接向当地的公用事业管理部门等相关单位缴纳，并由乙方承担延期付款的违约责任。</w:t>
      </w:r>
    </w:p>
    <w:p w14:paraId="20C5D2BC">
      <w:pPr>
        <w:snapToGrid w:val="0"/>
        <w:spacing w:line="420" w:lineRule="auto"/>
        <w:ind w:firstLine="480" w:firstLineChars="200"/>
        <w:rPr>
          <w:sz w:val="24"/>
          <w:szCs w:val="24"/>
        </w:rPr>
      </w:pPr>
      <w:r>
        <w:rPr>
          <w:rFonts w:hint="eastAsia"/>
          <w:sz w:val="24"/>
          <w:szCs w:val="24"/>
        </w:rPr>
        <w:t>5、乙方必须保持租赁区域内秩序安定和稳定，不得在承租区域内从事违法、违纪活动。乙方不得在承租房产内存放易燃易爆等危险物品，不得将有毒或爆炸物品带入房屋。由于乙方原因，导致租赁区域内发生的任何纠纷或者事故，包括但不限于火灾、烟雾、水浸或任何物质的溢漏等而造成的人身伤亡和财产损失，由乙方自行负责处理并承担因此产生的各种后果，乙方确保甲方免于因此而遭受或产生任何索赔、诉讼、损害及费用支出等事项。因不可归责于乙方的事由，致使租赁物部分或者全部毁损、灭失的，有关赔偿由双方协商确定。</w:t>
      </w:r>
    </w:p>
    <w:p w14:paraId="066CD3D9">
      <w:pPr>
        <w:snapToGrid w:val="0"/>
        <w:spacing w:line="420" w:lineRule="auto"/>
        <w:ind w:firstLine="480" w:firstLineChars="200"/>
        <w:rPr>
          <w:sz w:val="24"/>
          <w:szCs w:val="24"/>
        </w:rPr>
      </w:pPr>
      <w:r>
        <w:rPr>
          <w:rFonts w:hint="eastAsia"/>
          <w:sz w:val="24"/>
          <w:szCs w:val="24"/>
        </w:rPr>
        <w:t>6、因乙方自身原因（包括但不限于乙方的员工、亲友、访客及其受许可人在使用、管理、维护该房产过程的失责行为、违约行为、侵害行为）或因对该房产使用、管理、维护不当等原因而造成财产或人身损害时，乙方自行解决由此引发的纠纷，并自行承担由此导致的损害赔偿结果。</w:t>
      </w:r>
    </w:p>
    <w:p w14:paraId="46FE9173">
      <w:pPr>
        <w:snapToGrid w:val="0"/>
        <w:spacing w:line="420" w:lineRule="auto"/>
        <w:ind w:firstLine="480" w:firstLineChars="200"/>
        <w:rPr>
          <w:sz w:val="24"/>
          <w:szCs w:val="24"/>
        </w:rPr>
      </w:pPr>
      <w:r>
        <w:rPr>
          <w:rFonts w:hint="eastAsia"/>
          <w:sz w:val="24"/>
          <w:szCs w:val="24"/>
        </w:rPr>
        <w:t>7、甲方有权进入及视察该</w:t>
      </w:r>
      <w:r>
        <w:rPr>
          <w:rFonts w:hint="eastAsia"/>
          <w:sz w:val="24"/>
          <w:szCs w:val="24"/>
          <w:lang w:val="en-US" w:eastAsia="zh-CN"/>
        </w:rPr>
        <w:t>房屋</w:t>
      </w:r>
      <w:r>
        <w:rPr>
          <w:rFonts w:hint="eastAsia"/>
          <w:sz w:val="24"/>
          <w:szCs w:val="24"/>
        </w:rPr>
        <w:t>，进行相关的检查、测量、维修，但不得影响乙方的正常办公和经营活动。</w:t>
      </w:r>
    </w:p>
    <w:p w14:paraId="2D21C2F5">
      <w:pPr>
        <w:snapToGrid w:val="0"/>
        <w:spacing w:line="420" w:lineRule="auto"/>
        <w:ind w:firstLine="480" w:firstLineChars="200"/>
        <w:rPr>
          <w:sz w:val="24"/>
          <w:szCs w:val="24"/>
        </w:rPr>
      </w:pPr>
      <w:r>
        <w:rPr>
          <w:rFonts w:hint="eastAsia"/>
          <w:sz w:val="24"/>
          <w:szCs w:val="24"/>
        </w:rPr>
        <w:t>8、未经甲方同意，乙方不得将房屋用于本合同规定外的其它用途。乙方不得擅自将该房屋转租、转借他人或调换使用（政府要求行为除外）。乙方保证其在租赁房屋内的一切商业活动符合中国法律、法规和政府的规定，负责承租范围内各项秩序的维护和管理。</w:t>
      </w:r>
    </w:p>
    <w:p w14:paraId="452116BE">
      <w:pPr>
        <w:snapToGrid w:val="0"/>
        <w:spacing w:line="420" w:lineRule="auto"/>
        <w:ind w:firstLine="480" w:firstLineChars="200"/>
        <w:rPr>
          <w:sz w:val="24"/>
          <w:szCs w:val="24"/>
        </w:rPr>
      </w:pPr>
      <w:r>
        <w:rPr>
          <w:rFonts w:hint="eastAsia"/>
          <w:sz w:val="24"/>
          <w:szCs w:val="24"/>
        </w:rPr>
        <w:t>9、租赁期限内，如水、电、门、窗、设备设施等任何非主体结构以及屋顶出现故障或损毁的，均由乙方负责维修并承担维修费用。若房屋归还时乙方未维修完好的，甲方有权自行维修，乙方承担维修所产生的一切费用，上述费用甲方有权在履约保证金内直接扣除。</w:t>
      </w:r>
    </w:p>
    <w:p w14:paraId="0D3582F3">
      <w:pPr>
        <w:snapToGrid w:val="0"/>
        <w:spacing w:line="420" w:lineRule="auto"/>
        <w:ind w:firstLine="480" w:firstLineChars="200"/>
        <w:rPr>
          <w:sz w:val="24"/>
          <w:szCs w:val="24"/>
        </w:rPr>
      </w:pPr>
      <w:r>
        <w:rPr>
          <w:rFonts w:hint="eastAsia"/>
          <w:sz w:val="24"/>
          <w:szCs w:val="24"/>
        </w:rPr>
        <w:t>10、</w:t>
      </w:r>
      <w:r>
        <w:rPr>
          <w:rFonts w:hint="eastAsia"/>
          <w:sz w:val="24"/>
          <w:szCs w:val="24"/>
          <w:lang w:eastAsia="zh-CN"/>
        </w:rPr>
        <w:t>经营范围和</w:t>
      </w:r>
      <w:r>
        <w:rPr>
          <w:rFonts w:hint="eastAsia"/>
          <w:sz w:val="24"/>
          <w:szCs w:val="24"/>
        </w:rPr>
        <w:t>使用的设施必须符合</w:t>
      </w:r>
      <w:r>
        <w:rPr>
          <w:rFonts w:hint="eastAsia"/>
          <w:sz w:val="24"/>
          <w:szCs w:val="24"/>
          <w:lang w:eastAsia="zh-CN"/>
        </w:rPr>
        <w:t>属地管理部门</w:t>
      </w:r>
      <w:r>
        <w:rPr>
          <w:rFonts w:hint="eastAsia"/>
          <w:sz w:val="24"/>
          <w:szCs w:val="24"/>
        </w:rPr>
        <w:t>要求，自觉接受甲方和职能主管部门监督、管理和相关处理。</w:t>
      </w:r>
    </w:p>
    <w:p w14:paraId="3763D605">
      <w:pPr>
        <w:snapToGrid w:val="0"/>
        <w:spacing w:line="420" w:lineRule="auto"/>
        <w:ind w:firstLine="480" w:firstLineChars="200"/>
        <w:rPr>
          <w:sz w:val="24"/>
          <w:szCs w:val="24"/>
        </w:rPr>
      </w:pPr>
      <w:r>
        <w:rPr>
          <w:rFonts w:hint="eastAsia"/>
          <w:sz w:val="24"/>
          <w:szCs w:val="24"/>
        </w:rPr>
        <w:t>1</w:t>
      </w:r>
      <w:r>
        <w:rPr>
          <w:sz w:val="24"/>
          <w:szCs w:val="24"/>
        </w:rPr>
        <w:t>1</w:t>
      </w:r>
      <w:r>
        <w:rPr>
          <w:rFonts w:hint="eastAsia"/>
          <w:sz w:val="24"/>
          <w:szCs w:val="24"/>
        </w:rPr>
        <w:t>、乙方作为其经营范围安全的第一责任人，要充分考虑该经营范围内的安全，要根据与甲方签订的安全责任书落实好经营场所内的安全保卫工作，自觉接受甲方的监督管理，配合甲方及相关部门的指导、检查，对发现的问题，积极做好整改。若遇重大活动，乙方服从</w:t>
      </w:r>
      <w:r>
        <w:rPr>
          <w:rFonts w:hint="eastAsia"/>
          <w:sz w:val="24"/>
          <w:szCs w:val="24"/>
          <w:lang w:eastAsia="zh-CN"/>
        </w:rPr>
        <w:t>属地管理部门</w:t>
      </w:r>
      <w:r>
        <w:rPr>
          <w:rFonts w:hint="eastAsia"/>
          <w:sz w:val="24"/>
          <w:szCs w:val="24"/>
        </w:rPr>
        <w:t>统一安排，若因此致使乙方无法正常营业的，由乙方自行承担责任，甲方不予补偿及退还租金。</w:t>
      </w:r>
    </w:p>
    <w:p w14:paraId="25CE8530">
      <w:pPr>
        <w:snapToGrid w:val="0"/>
        <w:spacing w:line="420" w:lineRule="auto"/>
        <w:ind w:firstLine="562" w:firstLineChars="200"/>
        <w:rPr>
          <w:b/>
          <w:bCs/>
          <w:szCs w:val="28"/>
        </w:rPr>
      </w:pPr>
      <w:r>
        <w:rPr>
          <w:rFonts w:hint="eastAsia"/>
          <w:b/>
          <w:bCs/>
          <w:szCs w:val="28"/>
        </w:rPr>
        <w:t>第七条 房屋的装修与改造</w:t>
      </w:r>
    </w:p>
    <w:p w14:paraId="309AA200">
      <w:pPr>
        <w:snapToGrid w:val="0"/>
        <w:spacing w:line="420" w:lineRule="auto"/>
        <w:ind w:firstLine="480" w:firstLineChars="200"/>
        <w:rPr>
          <w:sz w:val="24"/>
          <w:szCs w:val="24"/>
        </w:rPr>
      </w:pPr>
      <w:r>
        <w:rPr>
          <w:rFonts w:hint="eastAsia"/>
          <w:sz w:val="24"/>
          <w:szCs w:val="24"/>
        </w:rPr>
        <w:t>（一）除该房屋内已有装修和设施外，乙方对该房屋及室外进行重新装修时，应先将装修方案报甲方同意，再报相关部门审核批准后，将相关材料报甲方备案方可实施。未经甲方书面同意，乙方不得对该房屋进行任何室内外的扩建或改建、装修或改变该房屋的</w:t>
      </w:r>
      <w:r>
        <w:rPr>
          <w:rFonts w:hint="eastAsia"/>
          <w:sz w:val="24"/>
          <w:szCs w:val="24"/>
          <w:lang w:eastAsia="zh-CN"/>
        </w:rPr>
        <w:t>主体</w:t>
      </w:r>
      <w:r>
        <w:rPr>
          <w:rFonts w:hint="eastAsia"/>
          <w:sz w:val="24"/>
          <w:szCs w:val="24"/>
        </w:rPr>
        <w:t>结构。乙方装修施工方案需严格遵守国家的有关法律、法规、政策以及消防、节能、环保等要求，否则，由此产生的一切责任及损失由乙方承担。相关的审核报批手续由乙方自行负责，与甲方无关。</w:t>
      </w:r>
    </w:p>
    <w:p w14:paraId="1836A25A">
      <w:pPr>
        <w:snapToGrid w:val="0"/>
        <w:spacing w:line="420" w:lineRule="auto"/>
        <w:ind w:firstLine="480" w:firstLineChars="200"/>
        <w:rPr>
          <w:sz w:val="24"/>
          <w:szCs w:val="24"/>
        </w:rPr>
      </w:pPr>
      <w:r>
        <w:rPr>
          <w:rFonts w:hint="eastAsia"/>
          <w:sz w:val="24"/>
          <w:szCs w:val="24"/>
        </w:rPr>
        <w:t>（二）乙方获准进行装修及改建的，一切费用由乙方负担。租赁期满后，乙方装修及改建后的设施无偿归甲方所有，乙方不得以任何理由要求甲方给予任何补偿。</w:t>
      </w:r>
    </w:p>
    <w:p w14:paraId="39D1FA89">
      <w:pPr>
        <w:snapToGrid w:val="0"/>
        <w:spacing w:line="420" w:lineRule="auto"/>
        <w:ind w:firstLine="480" w:firstLineChars="200"/>
        <w:rPr>
          <w:sz w:val="24"/>
          <w:szCs w:val="24"/>
        </w:rPr>
      </w:pPr>
      <w:r>
        <w:rPr>
          <w:rFonts w:hint="eastAsia"/>
          <w:sz w:val="24"/>
          <w:szCs w:val="24"/>
        </w:rPr>
        <w:t>（</w:t>
      </w:r>
      <w:r>
        <w:rPr>
          <w:rFonts w:hint="eastAsia"/>
          <w:sz w:val="24"/>
          <w:szCs w:val="24"/>
          <w:lang w:eastAsia="zh-CN"/>
        </w:rPr>
        <w:t>三</w:t>
      </w:r>
      <w:r>
        <w:rPr>
          <w:rFonts w:hint="eastAsia"/>
          <w:sz w:val="24"/>
          <w:szCs w:val="24"/>
        </w:rPr>
        <w:t>）乙方及施工单位要确保安全、文明施工，不得随意损坏甲方原有房屋结构、场地的设施设备。装修及改造过程中，施工方案若有改动，应以联系单的方式及时报备甲方，并得到甲方书面认可。</w:t>
      </w:r>
    </w:p>
    <w:p w14:paraId="1294DA2F">
      <w:pPr>
        <w:snapToGrid w:val="0"/>
        <w:spacing w:line="420" w:lineRule="auto"/>
        <w:ind w:firstLine="480" w:firstLineChars="200"/>
        <w:rPr>
          <w:sz w:val="24"/>
          <w:szCs w:val="24"/>
        </w:rPr>
      </w:pPr>
      <w:r>
        <w:rPr>
          <w:rFonts w:hint="eastAsia"/>
          <w:sz w:val="24"/>
          <w:szCs w:val="24"/>
        </w:rPr>
        <w:t>（</w:t>
      </w:r>
      <w:r>
        <w:rPr>
          <w:rFonts w:hint="eastAsia"/>
          <w:sz w:val="24"/>
          <w:szCs w:val="24"/>
          <w:lang w:eastAsia="zh-CN"/>
        </w:rPr>
        <w:t>四</w:t>
      </w:r>
      <w:r>
        <w:rPr>
          <w:rFonts w:hint="eastAsia"/>
          <w:sz w:val="24"/>
          <w:szCs w:val="24"/>
        </w:rPr>
        <w:t>）若乙方对该房屋作出的改动、扩建或拆除，因违反政府法规，被政府有关部门要求恢复原状或作出行政处罚时，不论事先是否已获得甲方同意，均由乙方承担责任。甲方因此所受的任何损失由乙方全额赔偿。</w:t>
      </w:r>
    </w:p>
    <w:p w14:paraId="5DF02EB9">
      <w:pPr>
        <w:snapToGrid w:val="0"/>
        <w:spacing w:line="420" w:lineRule="auto"/>
        <w:ind w:firstLine="562" w:firstLineChars="200"/>
        <w:rPr>
          <w:b/>
          <w:bCs/>
          <w:szCs w:val="28"/>
        </w:rPr>
      </w:pPr>
      <w:r>
        <w:rPr>
          <w:rFonts w:hint="eastAsia"/>
          <w:b/>
          <w:bCs/>
          <w:szCs w:val="28"/>
        </w:rPr>
        <w:t>第八条 租期届满处理</w:t>
      </w:r>
    </w:p>
    <w:p w14:paraId="03794C22">
      <w:pPr>
        <w:snapToGrid w:val="0"/>
        <w:spacing w:line="420" w:lineRule="auto"/>
        <w:ind w:firstLine="480" w:firstLineChars="200"/>
        <w:rPr>
          <w:rFonts w:hint="eastAsia"/>
          <w:sz w:val="24"/>
          <w:szCs w:val="24"/>
        </w:rPr>
      </w:pPr>
      <w:r>
        <w:rPr>
          <w:sz w:val="24"/>
          <w:szCs w:val="24"/>
        </w:rPr>
        <w:t>1</w:t>
      </w:r>
      <w:r>
        <w:rPr>
          <w:rFonts w:hint="eastAsia"/>
          <w:sz w:val="24"/>
          <w:szCs w:val="24"/>
        </w:rPr>
        <w:t>、乙方应在本合同的租期届满，将租赁房屋处于空置状态交还甲方；或在本合同因任何原因提前解除后的20个自然日内</w:t>
      </w:r>
      <w:bookmarkStart w:id="0" w:name="_Hlk142933420"/>
      <w:r>
        <w:rPr>
          <w:rFonts w:hint="eastAsia"/>
          <w:sz w:val="24"/>
          <w:szCs w:val="24"/>
        </w:rPr>
        <w:t>（最迟不超过租赁期限届满之日）</w:t>
      </w:r>
      <w:bookmarkEnd w:id="0"/>
      <w:r>
        <w:rPr>
          <w:rFonts w:hint="eastAsia"/>
          <w:sz w:val="24"/>
          <w:szCs w:val="24"/>
        </w:rPr>
        <w:t>，将租赁房屋处于空置状态交还甲方。任何情况下乙方搬离租赁房屋所产生的一切有关费用由乙方自行负担。乙方逾期返还租赁房屋</w:t>
      </w:r>
      <w:r>
        <w:rPr>
          <w:rFonts w:hint="eastAsia"/>
          <w:sz w:val="24"/>
          <w:szCs w:val="24"/>
          <w:lang w:eastAsia="zh-CN"/>
        </w:rPr>
        <w:t>或逾期办理</w:t>
      </w:r>
      <w:r>
        <w:rPr>
          <w:rFonts w:hint="eastAsia"/>
          <w:sz w:val="24"/>
          <w:szCs w:val="24"/>
        </w:rPr>
        <w:t>退租手续的，每逾期一日，乙方应按原每日租金的2倍向甲方支付该房屋占有使用费，同时租赁房屋内的所有物品视为乙方放弃所有权，甲方可对遗留物品、设施及设备进行清理，乙方应当向甲方支付相应清理费用。</w:t>
      </w:r>
    </w:p>
    <w:p w14:paraId="33A507E8">
      <w:pPr>
        <w:snapToGrid w:val="0"/>
        <w:spacing w:line="420" w:lineRule="auto"/>
        <w:ind w:firstLine="480" w:firstLineChars="200"/>
        <w:rPr>
          <w:rFonts w:hint="eastAsia"/>
          <w:sz w:val="24"/>
          <w:szCs w:val="24"/>
        </w:rPr>
      </w:pPr>
      <w:r>
        <w:rPr>
          <w:rFonts w:hint="eastAsia"/>
          <w:sz w:val="24"/>
          <w:szCs w:val="24"/>
        </w:rPr>
        <w:t>2、租赁期届满或合同解除后，乙方须在7个工作日内自行将相关公司登记地址等予以迁移，逾期未迁移的，即使乙方已未实际使用房屋，仍视为乙方继续占用该房屋，每逾期一日，按原每日租金的2倍支付房屋占有使用费。</w:t>
      </w:r>
    </w:p>
    <w:p w14:paraId="79B3D8FA">
      <w:pPr>
        <w:snapToGrid w:val="0"/>
        <w:spacing w:line="420" w:lineRule="auto"/>
        <w:ind w:firstLine="480" w:firstLineChars="200"/>
        <w:rPr>
          <w:rFonts w:hint="eastAsia"/>
          <w:sz w:val="24"/>
          <w:szCs w:val="24"/>
        </w:rPr>
      </w:pPr>
      <w:r>
        <w:rPr>
          <w:rFonts w:hint="eastAsia"/>
          <w:sz w:val="24"/>
          <w:szCs w:val="24"/>
        </w:rPr>
        <w:t>3、租赁房屋返还前，乙方应自行拆卸并搬走所有其在该物业内的物品及添设的电器设备。凡该房屋内依附在建筑物上的装修及所有改建后的设施，乙方不得随意拆除或损坏。如果乙方的拆卸或搬迁给该物业或甲方的任何其他财产造成损坏，乙方应立即予以修复或在履约保证金中扣除，不足部分向甲方做出赔偿。</w:t>
      </w:r>
    </w:p>
    <w:p w14:paraId="6650304A">
      <w:pPr>
        <w:snapToGrid w:val="0"/>
        <w:spacing w:line="420" w:lineRule="auto"/>
        <w:ind w:firstLine="480" w:firstLineChars="200"/>
        <w:rPr>
          <w:rFonts w:hint="eastAsia"/>
          <w:sz w:val="24"/>
          <w:szCs w:val="24"/>
        </w:rPr>
      </w:pPr>
      <w:r>
        <w:rPr>
          <w:rFonts w:hint="eastAsia"/>
          <w:sz w:val="24"/>
          <w:szCs w:val="24"/>
        </w:rPr>
        <w:t>4、对于租赁房屋返还时或乙方未按时返还时仍遗留在该物业内属乙方所有的物品或附着物，甲方有权径直处理且无须对此作出任何赔偿，亦无须就该处理造成任何损失向乙方或任何第三方负责，乙方应向甲方支付清理该房屋及有关的所有费用。</w:t>
      </w:r>
    </w:p>
    <w:p w14:paraId="658D0A0C">
      <w:pPr>
        <w:snapToGrid w:val="0"/>
        <w:spacing w:line="420" w:lineRule="auto"/>
        <w:ind w:firstLine="482" w:firstLineChars="200"/>
        <w:rPr>
          <w:rFonts w:hint="eastAsia"/>
          <w:b/>
          <w:bCs/>
          <w:sz w:val="24"/>
          <w:szCs w:val="24"/>
        </w:rPr>
      </w:pPr>
      <w:r>
        <w:rPr>
          <w:rFonts w:hint="eastAsia"/>
          <w:b/>
          <w:bCs/>
          <w:sz w:val="24"/>
          <w:szCs w:val="24"/>
        </w:rPr>
        <w:t>第九条 双方约定的其他事项</w:t>
      </w:r>
    </w:p>
    <w:p w14:paraId="5FDA348E">
      <w:pPr>
        <w:snapToGrid w:val="0"/>
        <w:spacing w:line="420" w:lineRule="auto"/>
        <w:ind w:firstLine="480" w:firstLineChars="200"/>
        <w:rPr>
          <w:sz w:val="24"/>
          <w:szCs w:val="24"/>
        </w:rPr>
      </w:pPr>
      <w:r>
        <w:rPr>
          <w:rFonts w:hint="eastAsia"/>
          <w:sz w:val="24"/>
          <w:szCs w:val="24"/>
          <w:lang w:val="en-US" w:eastAsia="zh-CN"/>
        </w:rPr>
        <w:t>1</w:t>
      </w:r>
      <w:r>
        <w:rPr>
          <w:rFonts w:hint="eastAsia"/>
          <w:sz w:val="24"/>
          <w:szCs w:val="24"/>
        </w:rPr>
        <w:t>、甲方向乙方交付的租赁房屋以本合同签订时的现状为准，租赁房屋内现有装饰、装修及设备甲方不负责拆除改造，前租户遗留设施设备乙方需使用或拆除的，由乙方自行负责，乙方因使用前租户遗留设施设备遭受任何损害或损失的，与甲方无关，甲方不承担任何赔偿或补偿责任。</w:t>
      </w:r>
    </w:p>
    <w:p w14:paraId="5032A77C">
      <w:pPr>
        <w:snapToGrid w:val="0"/>
        <w:spacing w:line="420" w:lineRule="auto"/>
        <w:ind w:firstLine="480" w:firstLineChars="200"/>
        <w:rPr>
          <w:sz w:val="24"/>
          <w:szCs w:val="24"/>
        </w:rPr>
      </w:pPr>
      <w:r>
        <w:rPr>
          <w:rFonts w:hint="eastAsia"/>
          <w:sz w:val="24"/>
          <w:szCs w:val="24"/>
          <w:lang w:val="en-US" w:eastAsia="zh-CN"/>
        </w:rPr>
        <w:t>2</w:t>
      </w:r>
      <w:r>
        <w:rPr>
          <w:rFonts w:hint="eastAsia"/>
          <w:sz w:val="24"/>
          <w:szCs w:val="24"/>
        </w:rPr>
        <w:t>、本合同首部载明的送达地址、联系方式作为本合同项下事项的通知送达地址及电子送达方式，任何一方向该地址寄送的材料三日后视为送达，如因履行本合同发生诉讼的，上述地址、手机号码作为法院的送达地址。甲方及法院有权通过向乙方预留的手机号码发送信息的形式作为通知乙方的约定途径。</w:t>
      </w:r>
    </w:p>
    <w:p w14:paraId="738AE632">
      <w:pPr>
        <w:snapToGrid w:val="0"/>
        <w:spacing w:line="420" w:lineRule="auto"/>
        <w:ind w:firstLine="562" w:firstLineChars="200"/>
        <w:rPr>
          <w:b/>
          <w:bCs/>
          <w:szCs w:val="28"/>
        </w:rPr>
      </w:pPr>
      <w:r>
        <w:rPr>
          <w:rFonts w:hint="eastAsia"/>
          <w:b/>
          <w:bCs/>
          <w:szCs w:val="28"/>
        </w:rPr>
        <w:t>第十条 不可抗力等</w:t>
      </w:r>
    </w:p>
    <w:p w14:paraId="7AC97C15">
      <w:pPr>
        <w:snapToGrid w:val="0"/>
        <w:spacing w:line="420" w:lineRule="auto"/>
        <w:ind w:firstLine="480" w:firstLineChars="200"/>
        <w:rPr>
          <w:sz w:val="24"/>
          <w:szCs w:val="24"/>
        </w:rPr>
      </w:pPr>
      <w:r>
        <w:rPr>
          <w:rFonts w:hint="eastAsia"/>
          <w:sz w:val="24"/>
          <w:szCs w:val="24"/>
        </w:rPr>
        <w:t>1、在租赁期内，因不</w:t>
      </w:r>
      <w:r>
        <w:rPr>
          <w:rFonts w:hint="eastAsia"/>
          <w:color w:val="000000" w:themeColor="text1"/>
          <w:sz w:val="24"/>
          <w:szCs w:val="24"/>
          <w14:textFill>
            <w14:solidFill>
              <w14:schemeClr w14:val="tx1"/>
            </w14:solidFill>
          </w14:textFill>
        </w:rPr>
        <w:t>可抗力（包括自然灾害、城市规划或市政建设需要拆除、改造或者征收、因政策变动</w:t>
      </w:r>
      <w:r>
        <w:rPr>
          <w:rFonts w:hint="eastAsia"/>
          <w:color w:val="000000" w:themeColor="text1"/>
          <w:sz w:val="24"/>
          <w:szCs w:val="24"/>
          <w:lang w:eastAsia="zh-CN"/>
          <w14:textFill>
            <w14:solidFill>
              <w14:schemeClr w14:val="tx1"/>
            </w14:solidFill>
          </w14:textFill>
        </w:rPr>
        <w:t>或权属单位要求</w:t>
      </w:r>
      <w:r>
        <w:rPr>
          <w:rFonts w:hint="eastAsia"/>
          <w:sz w:val="24"/>
          <w:szCs w:val="24"/>
        </w:rPr>
        <w:t>导致租赁物不允许继续出租等），致使本合同不能继续履行，不视为甲方违约，甲方无需另行赔偿或补偿，租金按照乙方实际使用时间计算，不足整月的按天数计算。</w:t>
      </w:r>
    </w:p>
    <w:p w14:paraId="69D8A3CA">
      <w:pPr>
        <w:snapToGrid w:val="0"/>
        <w:spacing w:line="420" w:lineRule="auto"/>
        <w:ind w:firstLine="480" w:firstLineChars="200"/>
        <w:rPr>
          <w:sz w:val="24"/>
          <w:szCs w:val="24"/>
        </w:rPr>
      </w:pPr>
      <w:r>
        <w:rPr>
          <w:rFonts w:hint="eastAsia"/>
          <w:sz w:val="24"/>
          <w:szCs w:val="24"/>
        </w:rPr>
        <w:t>2、因政府实施征收、收购、置换该房屋，所产生的补偿款、收购款归属甲方，与乙方无关，本合同解除终止。</w:t>
      </w:r>
    </w:p>
    <w:p w14:paraId="68BE1954">
      <w:pPr>
        <w:snapToGrid w:val="0"/>
        <w:spacing w:line="420" w:lineRule="auto"/>
        <w:ind w:firstLine="562" w:firstLineChars="200"/>
        <w:rPr>
          <w:b/>
          <w:bCs/>
          <w:szCs w:val="28"/>
        </w:rPr>
      </w:pPr>
      <w:r>
        <w:rPr>
          <w:rFonts w:hint="eastAsia"/>
          <w:b/>
          <w:bCs/>
          <w:szCs w:val="28"/>
        </w:rPr>
        <w:t>第十一条 违约责任</w:t>
      </w:r>
    </w:p>
    <w:p w14:paraId="38D48505">
      <w:pPr>
        <w:snapToGrid w:val="0"/>
        <w:spacing w:line="420" w:lineRule="auto"/>
        <w:ind w:firstLine="480" w:firstLineChars="200"/>
        <w:rPr>
          <w:sz w:val="24"/>
          <w:szCs w:val="24"/>
        </w:rPr>
      </w:pPr>
      <w:r>
        <w:rPr>
          <w:rFonts w:hint="eastAsia" w:ascii="宋体" w:hAnsi="宋体" w:cs="仿宋"/>
          <w:sz w:val="24"/>
          <w:szCs w:val="24"/>
        </w:rPr>
        <w:t>1、</w:t>
      </w:r>
      <w:bookmarkStart w:id="1" w:name="_Hlk115449158"/>
      <w:r>
        <w:rPr>
          <w:rFonts w:hint="eastAsia"/>
          <w:sz w:val="24"/>
          <w:szCs w:val="24"/>
        </w:rPr>
        <w:t>乙方在经营过程中被属地各管理部门处罚并通报至甲方的，每次</w:t>
      </w:r>
      <w:r>
        <w:rPr>
          <w:rFonts w:hint="eastAsia"/>
          <w:sz w:val="24"/>
          <w:szCs w:val="24"/>
          <w:lang w:eastAsia="zh-CN"/>
        </w:rPr>
        <w:t>支付违约金</w:t>
      </w:r>
      <w:r>
        <w:rPr>
          <w:rFonts w:hint="eastAsia"/>
          <w:sz w:val="24"/>
          <w:szCs w:val="24"/>
          <w:lang w:val="en-US" w:eastAsia="zh-CN"/>
        </w:rPr>
        <w:t>1000</w:t>
      </w:r>
      <w:r>
        <w:rPr>
          <w:rFonts w:hint="eastAsia"/>
          <w:sz w:val="24"/>
          <w:szCs w:val="24"/>
        </w:rPr>
        <w:t>元；被区以上相关政府部门处罚并通报至甲方或经新闻媒体曝光的，每次</w:t>
      </w:r>
      <w:r>
        <w:rPr>
          <w:rFonts w:hint="eastAsia"/>
          <w:sz w:val="24"/>
          <w:szCs w:val="24"/>
          <w:lang w:eastAsia="zh-CN"/>
        </w:rPr>
        <w:t>支付违约金</w:t>
      </w:r>
      <w:r>
        <w:rPr>
          <w:rFonts w:hint="eastAsia"/>
          <w:sz w:val="24"/>
          <w:szCs w:val="24"/>
          <w:lang w:val="en-US" w:eastAsia="zh-CN"/>
        </w:rPr>
        <w:t>2000</w:t>
      </w:r>
      <w:r>
        <w:rPr>
          <w:rFonts w:hint="eastAsia"/>
          <w:sz w:val="24"/>
          <w:szCs w:val="24"/>
        </w:rPr>
        <w:t>元</w:t>
      </w:r>
      <w:r>
        <w:rPr>
          <w:rFonts w:hint="eastAsia"/>
          <w:sz w:val="24"/>
          <w:szCs w:val="24"/>
          <w:lang w:eastAsia="zh-CN"/>
        </w:rPr>
        <w:t>，</w:t>
      </w:r>
      <w:r>
        <w:rPr>
          <w:rFonts w:hint="eastAsia"/>
          <w:sz w:val="24"/>
          <w:szCs w:val="24"/>
        </w:rPr>
        <w:t>乙方应在收到甲方书面通知之日起5个工作日内完成缴纳，逾期未支付，甲方有权从履约保证金内双倍扣除相应费用。租赁期限内，以上情况累计达到3次，</w:t>
      </w:r>
      <w:bookmarkEnd w:id="1"/>
      <w:r>
        <w:rPr>
          <w:rFonts w:hint="eastAsia"/>
          <w:sz w:val="24"/>
          <w:szCs w:val="24"/>
        </w:rPr>
        <w:t>视为乙方构成根本违约。乙方承担违法、违规经营而产生的一切经济和法律责任。若上述款项不足以弥补甲方实际损失的，乙方应另外支付赔偿款至满足甲方实际损失额为止。</w:t>
      </w:r>
    </w:p>
    <w:p w14:paraId="55F86D33">
      <w:pPr>
        <w:snapToGrid w:val="0"/>
        <w:spacing w:line="420" w:lineRule="auto"/>
        <w:ind w:firstLine="480" w:firstLineChars="200"/>
        <w:rPr>
          <w:rFonts w:hint="eastAsia"/>
          <w:sz w:val="24"/>
          <w:szCs w:val="24"/>
        </w:rPr>
      </w:pPr>
      <w:r>
        <w:rPr>
          <w:rFonts w:hint="eastAsia"/>
          <w:sz w:val="24"/>
          <w:szCs w:val="24"/>
        </w:rPr>
        <w:t>2、乙方逾期支付租金单次不超过</w:t>
      </w:r>
      <w:r>
        <w:rPr>
          <w:sz w:val="24"/>
          <w:szCs w:val="24"/>
        </w:rPr>
        <w:t>15</w:t>
      </w:r>
      <w:r>
        <w:rPr>
          <w:rFonts w:hint="eastAsia"/>
          <w:sz w:val="24"/>
          <w:szCs w:val="24"/>
        </w:rPr>
        <w:t>个自然日或租赁期内累计不超过30个自然日的，则每日按本期应付未付租金为基数，按照4倍</w:t>
      </w:r>
      <w:r>
        <w:rPr>
          <w:rFonts w:hint="eastAsia"/>
          <w:sz w:val="24"/>
          <w:szCs w:val="24"/>
          <w:lang w:val="en-US" w:eastAsia="zh-CN"/>
        </w:rPr>
        <w:t>LPR(贷款市场报价利率)</w:t>
      </w:r>
      <w:r>
        <w:rPr>
          <w:rFonts w:hint="eastAsia"/>
          <w:sz w:val="24"/>
          <w:szCs w:val="24"/>
        </w:rPr>
        <w:t>的标准向甲方支付违约金。乙方逾期支付租金单次超过</w:t>
      </w:r>
      <w:r>
        <w:rPr>
          <w:sz w:val="24"/>
          <w:szCs w:val="24"/>
        </w:rPr>
        <w:t>15</w:t>
      </w:r>
      <w:r>
        <w:rPr>
          <w:rFonts w:hint="eastAsia"/>
          <w:sz w:val="24"/>
          <w:szCs w:val="24"/>
        </w:rPr>
        <w:t>个自然日，或租赁期内累计逾期超过30个自然日的，视为乙方构成根本违约。</w:t>
      </w:r>
    </w:p>
    <w:p w14:paraId="61A56E2F">
      <w:pPr>
        <w:snapToGrid w:val="0"/>
        <w:spacing w:line="420" w:lineRule="auto"/>
        <w:ind w:firstLine="480" w:firstLineChars="200"/>
        <w:rPr>
          <w:sz w:val="24"/>
          <w:szCs w:val="24"/>
        </w:rPr>
      </w:pPr>
      <w:r>
        <w:rPr>
          <w:rFonts w:hint="eastAsia" w:cs="Times New Roman"/>
          <w:b w:val="0"/>
          <w:bCs w:val="0"/>
          <w:caps w:val="0"/>
          <w:kern w:val="2"/>
          <w:sz w:val="24"/>
          <w:szCs w:val="24"/>
          <w:lang w:val="en-US" w:eastAsia="zh-CN" w:bidi="ar-SA"/>
        </w:rPr>
        <w:t>3、</w:t>
      </w:r>
      <w:r>
        <w:rPr>
          <w:rFonts w:hint="eastAsia" w:ascii="Times New Roman" w:hAnsi="Times New Roman" w:eastAsia="宋体" w:cs="Times New Roman"/>
          <w:b w:val="0"/>
          <w:bCs w:val="0"/>
          <w:caps w:val="0"/>
          <w:kern w:val="2"/>
          <w:sz w:val="24"/>
          <w:szCs w:val="24"/>
          <w:lang w:val="en-US" w:eastAsia="zh-CN" w:bidi="ar-SA"/>
        </w:rPr>
        <w:t>合同签订3个工作日内，</w:t>
      </w:r>
      <w:r>
        <w:rPr>
          <w:rFonts w:hint="eastAsia" w:cs="Times New Roman"/>
          <w:b w:val="0"/>
          <w:bCs w:val="0"/>
          <w:caps w:val="0"/>
          <w:kern w:val="2"/>
          <w:sz w:val="24"/>
          <w:szCs w:val="24"/>
          <w:lang w:val="en-US" w:eastAsia="zh-CN" w:bidi="ar-SA"/>
        </w:rPr>
        <w:t>未</w:t>
      </w:r>
      <w:r>
        <w:rPr>
          <w:rFonts w:hint="eastAsia" w:ascii="Times New Roman" w:hAnsi="Times New Roman" w:eastAsia="宋体" w:cs="Times New Roman"/>
          <w:b w:val="0"/>
          <w:bCs w:val="0"/>
          <w:caps w:val="0"/>
          <w:kern w:val="2"/>
          <w:sz w:val="24"/>
          <w:szCs w:val="24"/>
          <w:lang w:val="en-US" w:eastAsia="zh-CN" w:bidi="ar-SA"/>
        </w:rPr>
        <w:t>将第一年的租金及履约保证金支付至杭州产权交易所有限责任公司指定账户</w:t>
      </w:r>
      <w:r>
        <w:rPr>
          <w:rFonts w:hint="eastAsia" w:cs="Times New Roman"/>
          <w:b w:val="0"/>
          <w:bCs w:val="0"/>
          <w:caps w:val="0"/>
          <w:kern w:val="2"/>
          <w:sz w:val="24"/>
          <w:szCs w:val="24"/>
          <w:lang w:val="en-US" w:eastAsia="zh-CN" w:bidi="ar-SA"/>
        </w:rPr>
        <w:t>，则</w:t>
      </w:r>
      <w:r>
        <w:rPr>
          <w:rFonts w:hint="eastAsia" w:ascii="Times New Roman" w:hAnsi="Times New Roman" w:eastAsia="宋体" w:cs="Times New Roman"/>
          <w:b w:val="0"/>
          <w:bCs w:val="0"/>
          <w:caps w:val="0"/>
          <w:kern w:val="2"/>
          <w:sz w:val="24"/>
          <w:szCs w:val="24"/>
          <w:lang w:val="en-US" w:eastAsia="zh-CN" w:bidi="ar-SA"/>
        </w:rPr>
        <w:t>视为乙方构成</w:t>
      </w:r>
      <w:r>
        <w:rPr>
          <w:rFonts w:hint="eastAsia"/>
          <w:sz w:val="24"/>
          <w:szCs w:val="24"/>
        </w:rPr>
        <w:t>根本违约，甲方有权单方面解除本合同</w:t>
      </w:r>
      <w:r>
        <w:rPr>
          <w:rFonts w:hint="eastAsia"/>
          <w:sz w:val="24"/>
          <w:szCs w:val="24"/>
          <w:lang w:eastAsia="zh-CN"/>
        </w:rPr>
        <w:t>，</w:t>
      </w:r>
      <w:r>
        <w:rPr>
          <w:rFonts w:hint="eastAsia"/>
          <w:sz w:val="24"/>
          <w:szCs w:val="24"/>
          <w:lang w:val="en-US" w:eastAsia="zh-CN"/>
        </w:rPr>
        <w:t>并将</w:t>
      </w:r>
      <w:r>
        <w:rPr>
          <w:rFonts w:hint="eastAsia"/>
          <w:sz w:val="24"/>
          <w:szCs w:val="24"/>
        </w:rPr>
        <w:t>乙方因参与竞租所缴纳的交易保证金，由杭州产权交易所有限责任公司扣除相关手续费用后归甲方所有。</w:t>
      </w:r>
    </w:p>
    <w:p w14:paraId="36D29F7A">
      <w:pPr>
        <w:snapToGrid w:val="0"/>
        <w:spacing w:line="420" w:lineRule="auto"/>
        <w:ind w:firstLine="480" w:firstLineChars="200"/>
        <w:rPr>
          <w:sz w:val="24"/>
          <w:szCs w:val="24"/>
        </w:rPr>
      </w:pPr>
      <w:r>
        <w:rPr>
          <w:rFonts w:hint="eastAsia"/>
          <w:sz w:val="24"/>
          <w:szCs w:val="24"/>
          <w:lang w:val="en-US" w:eastAsia="zh-CN"/>
        </w:rPr>
        <w:t>4</w:t>
      </w:r>
      <w:r>
        <w:rPr>
          <w:rFonts w:hint="eastAsia"/>
          <w:sz w:val="24"/>
          <w:szCs w:val="24"/>
        </w:rPr>
        <w:t>、租赁期内，甲方无正当理由，提前收回该房屋的，甲方应按月租金的2倍向乙方支付违约金。乙方未经甲方同意中途擅自中止合同的，乙方已支付的租金与履约保证金不予退还，同时乙方应按当年月租金的2倍向甲方支付违约金。</w:t>
      </w:r>
    </w:p>
    <w:p w14:paraId="5067B737">
      <w:pPr>
        <w:snapToGrid w:val="0"/>
        <w:spacing w:line="420" w:lineRule="auto"/>
        <w:ind w:firstLine="480" w:firstLineChars="200"/>
        <w:rPr>
          <w:sz w:val="24"/>
          <w:szCs w:val="24"/>
        </w:rPr>
      </w:pPr>
      <w:r>
        <w:rPr>
          <w:rFonts w:hint="eastAsia"/>
          <w:sz w:val="24"/>
          <w:szCs w:val="24"/>
          <w:lang w:val="en-US" w:eastAsia="zh-CN"/>
        </w:rPr>
        <w:t>5</w:t>
      </w:r>
      <w:r>
        <w:rPr>
          <w:rFonts w:hint="eastAsia"/>
          <w:sz w:val="24"/>
          <w:szCs w:val="24"/>
        </w:rPr>
        <w:t>、乙方因违反消防和安全工作导致甲方被政府相关部门处罚、向任何第三方承担违约责任以及给甲方造成损失的等任一情形的，视为乙方构成根本违约，甲方因此遭受的损失金额由乙方负责全额赔偿，并承担由此而产生的一切法律责任。</w:t>
      </w:r>
    </w:p>
    <w:p w14:paraId="2F20C7C5">
      <w:pPr>
        <w:snapToGrid w:val="0"/>
        <w:spacing w:line="420" w:lineRule="auto"/>
        <w:ind w:firstLine="480" w:firstLineChars="200"/>
        <w:rPr>
          <w:sz w:val="24"/>
          <w:szCs w:val="24"/>
        </w:rPr>
      </w:pPr>
      <w:r>
        <w:rPr>
          <w:rFonts w:hint="eastAsia"/>
          <w:sz w:val="24"/>
          <w:szCs w:val="24"/>
          <w:lang w:val="en-US" w:eastAsia="zh-CN"/>
        </w:rPr>
        <w:t>6</w:t>
      </w:r>
      <w:r>
        <w:rPr>
          <w:rFonts w:hint="eastAsia"/>
          <w:sz w:val="24"/>
          <w:szCs w:val="24"/>
        </w:rPr>
        <w:t>、租赁期内，乙方有下列行为之一或本合同约定乙方构成根本违约情形的，甲方有权单方面解除本合同，收回该房屋，乙方已付的履约保证金及租金不予退还，且乙方应按当年月租金的2倍向甲方支付违约金。同时乙方应承担甲方主张合法权益所支出的各项合理费用（包括但不限于诉讼费、保全费、保全担保费、公证费、鉴定费、交通差旅费、律师费等），由此造成甲方其他损失的，乙方应予以继续赔偿：</w:t>
      </w:r>
    </w:p>
    <w:p w14:paraId="3AE505BD">
      <w:pPr>
        <w:snapToGrid w:val="0"/>
        <w:spacing w:line="420" w:lineRule="auto"/>
        <w:ind w:firstLine="480" w:firstLineChars="200"/>
        <w:rPr>
          <w:sz w:val="24"/>
          <w:szCs w:val="24"/>
        </w:rPr>
      </w:pPr>
      <w:r>
        <w:rPr>
          <w:rFonts w:hint="eastAsia"/>
          <w:sz w:val="24"/>
          <w:szCs w:val="24"/>
        </w:rPr>
        <w:t>（1）擅自改变本合同规定的租赁用途，或利用该房屋进行违法活动的；</w:t>
      </w:r>
    </w:p>
    <w:p w14:paraId="31F1B08B">
      <w:pPr>
        <w:snapToGrid w:val="0"/>
        <w:spacing w:line="420" w:lineRule="auto"/>
        <w:ind w:firstLine="480" w:firstLineChars="200"/>
        <w:rPr>
          <w:sz w:val="24"/>
          <w:szCs w:val="24"/>
        </w:rPr>
      </w:pPr>
      <w:r>
        <w:rPr>
          <w:rFonts w:hint="eastAsia"/>
          <w:sz w:val="24"/>
          <w:szCs w:val="24"/>
        </w:rPr>
        <w:t>（2）未经甲方同意，擅自拆改变动房屋结构，或损坏房屋的；</w:t>
      </w:r>
    </w:p>
    <w:p w14:paraId="122A3E87">
      <w:pPr>
        <w:snapToGrid w:val="0"/>
        <w:spacing w:line="420" w:lineRule="auto"/>
        <w:ind w:firstLine="480" w:firstLineChars="200"/>
        <w:rPr>
          <w:sz w:val="24"/>
          <w:szCs w:val="24"/>
        </w:rPr>
      </w:pPr>
      <w:r>
        <w:rPr>
          <w:rFonts w:hint="eastAsia"/>
          <w:sz w:val="24"/>
          <w:szCs w:val="24"/>
        </w:rPr>
        <w:t>（3）未经甲方同意，乙方擅自将房屋转租、转借他人或调换使用的（政府要求行为除外）。</w:t>
      </w:r>
    </w:p>
    <w:p w14:paraId="2DA02302">
      <w:pPr>
        <w:pStyle w:val="2"/>
        <w:snapToGrid w:val="0"/>
        <w:spacing w:before="0" w:after="0" w:line="420" w:lineRule="auto"/>
        <w:ind w:firstLine="480" w:firstLineChars="200"/>
        <w:rPr>
          <w:b w:val="0"/>
          <w:bCs w:val="0"/>
          <w:caps w:val="0"/>
          <w:sz w:val="24"/>
          <w:szCs w:val="24"/>
        </w:rPr>
      </w:pPr>
      <w:r>
        <w:rPr>
          <w:rFonts w:hint="eastAsia"/>
          <w:b w:val="0"/>
          <w:bCs w:val="0"/>
          <w:caps w:val="0"/>
          <w:sz w:val="24"/>
          <w:szCs w:val="24"/>
        </w:rPr>
        <w:t>（4）拖欠其他应付费用达1</w:t>
      </w:r>
      <w:r>
        <w:rPr>
          <w:b w:val="0"/>
          <w:bCs w:val="0"/>
          <w:caps w:val="0"/>
          <w:sz w:val="24"/>
          <w:szCs w:val="24"/>
        </w:rPr>
        <w:t>5</w:t>
      </w:r>
      <w:r>
        <w:rPr>
          <w:rFonts w:hint="eastAsia"/>
          <w:b w:val="0"/>
          <w:bCs w:val="0"/>
          <w:caps w:val="0"/>
          <w:sz w:val="24"/>
          <w:szCs w:val="24"/>
        </w:rPr>
        <w:t>天以上的。</w:t>
      </w:r>
    </w:p>
    <w:p w14:paraId="2082CA42">
      <w:pPr>
        <w:pStyle w:val="2"/>
        <w:snapToGrid w:val="0"/>
        <w:spacing w:before="0" w:after="0" w:line="420" w:lineRule="auto"/>
        <w:ind w:firstLine="480" w:firstLineChars="200"/>
        <w:rPr>
          <w:b w:val="0"/>
          <w:bCs w:val="0"/>
          <w:caps w:val="0"/>
          <w:sz w:val="24"/>
          <w:szCs w:val="24"/>
        </w:rPr>
      </w:pPr>
      <w:r>
        <w:rPr>
          <w:rFonts w:hint="eastAsia"/>
          <w:b w:val="0"/>
          <w:bCs w:val="0"/>
          <w:caps w:val="0"/>
          <w:sz w:val="24"/>
          <w:szCs w:val="24"/>
        </w:rPr>
        <w:t>（5）本合同约定的其他解除情形。</w:t>
      </w:r>
    </w:p>
    <w:p w14:paraId="5136CAE8">
      <w:pPr>
        <w:snapToGrid w:val="0"/>
        <w:spacing w:line="420" w:lineRule="auto"/>
        <w:ind w:firstLine="562" w:firstLineChars="200"/>
        <w:rPr>
          <w:b/>
          <w:bCs/>
          <w:szCs w:val="28"/>
        </w:rPr>
      </w:pPr>
      <w:r>
        <w:rPr>
          <w:rFonts w:hint="eastAsia"/>
          <w:b/>
          <w:bCs/>
          <w:szCs w:val="28"/>
        </w:rPr>
        <w:t>第十</w:t>
      </w:r>
      <w:r>
        <w:rPr>
          <w:rFonts w:hint="eastAsia"/>
          <w:b/>
          <w:bCs/>
          <w:szCs w:val="28"/>
          <w:lang w:eastAsia="zh-CN"/>
        </w:rPr>
        <w:t>二</w:t>
      </w:r>
      <w:r>
        <w:rPr>
          <w:rFonts w:hint="eastAsia"/>
          <w:b/>
          <w:bCs/>
          <w:szCs w:val="28"/>
        </w:rPr>
        <w:t>条</w:t>
      </w:r>
      <w:r>
        <w:rPr>
          <w:b/>
          <w:bCs/>
          <w:szCs w:val="28"/>
        </w:rPr>
        <w:t xml:space="preserve"> </w:t>
      </w:r>
      <w:r>
        <w:rPr>
          <w:rFonts w:hint="eastAsia"/>
          <w:b/>
          <w:bCs/>
          <w:szCs w:val="28"/>
        </w:rPr>
        <w:t>管辖</w:t>
      </w:r>
    </w:p>
    <w:p w14:paraId="61EE78A1">
      <w:pPr>
        <w:snapToGrid w:val="0"/>
        <w:spacing w:line="420" w:lineRule="auto"/>
        <w:ind w:firstLine="480" w:firstLineChars="200"/>
        <w:rPr>
          <w:sz w:val="24"/>
          <w:szCs w:val="24"/>
        </w:rPr>
      </w:pPr>
      <w:r>
        <w:rPr>
          <w:rFonts w:hint="eastAsia"/>
          <w:sz w:val="24"/>
          <w:szCs w:val="24"/>
        </w:rPr>
        <w:t>因履行本合同发生争议，由甲乙双方协商解决，协商不成的依法向房屋所在地人民法院起诉。</w:t>
      </w:r>
    </w:p>
    <w:p w14:paraId="5695D86B">
      <w:pPr>
        <w:snapToGrid w:val="0"/>
        <w:spacing w:line="420" w:lineRule="auto"/>
        <w:ind w:firstLine="562" w:firstLineChars="200"/>
        <w:rPr>
          <w:b/>
          <w:bCs/>
          <w:szCs w:val="28"/>
        </w:rPr>
      </w:pPr>
      <w:r>
        <w:rPr>
          <w:rFonts w:hint="eastAsia"/>
          <w:b/>
          <w:bCs/>
          <w:szCs w:val="28"/>
        </w:rPr>
        <w:t>第十</w:t>
      </w:r>
      <w:r>
        <w:rPr>
          <w:rFonts w:hint="eastAsia"/>
          <w:b/>
          <w:bCs/>
          <w:szCs w:val="28"/>
          <w:lang w:eastAsia="zh-CN"/>
        </w:rPr>
        <w:t>三</w:t>
      </w:r>
      <w:r>
        <w:rPr>
          <w:rFonts w:hint="eastAsia"/>
          <w:b/>
          <w:bCs/>
          <w:szCs w:val="28"/>
        </w:rPr>
        <w:t>条 其他</w:t>
      </w:r>
    </w:p>
    <w:p w14:paraId="3827AFD5">
      <w:pPr>
        <w:snapToGrid w:val="0"/>
        <w:spacing w:line="420" w:lineRule="auto"/>
        <w:ind w:firstLine="480" w:firstLineChars="200"/>
        <w:rPr>
          <w:sz w:val="24"/>
          <w:szCs w:val="24"/>
        </w:rPr>
      </w:pPr>
      <w:r>
        <w:rPr>
          <w:rFonts w:hint="eastAsia"/>
          <w:sz w:val="24"/>
          <w:szCs w:val="24"/>
        </w:rPr>
        <w:t>（一）本合同未尽事宜经甲、乙双方协商一致，可订立补充协议，与本合同具有同等法律效力，补充条款和本合同规定不一致的，以补充条款为准。</w:t>
      </w:r>
    </w:p>
    <w:p w14:paraId="00B4C647">
      <w:pPr>
        <w:snapToGrid w:val="0"/>
        <w:spacing w:line="420" w:lineRule="auto"/>
        <w:ind w:firstLine="480" w:firstLineChars="200"/>
        <w:rPr>
          <w:sz w:val="24"/>
          <w:szCs w:val="24"/>
        </w:rPr>
      </w:pPr>
      <w:r>
        <w:rPr>
          <w:rFonts w:hint="eastAsia"/>
          <w:sz w:val="24"/>
          <w:szCs w:val="24"/>
        </w:rPr>
        <w:t>（二）本合同项下的附件作为本合同的有效组成部分，与本合同具有同等法律效力。</w:t>
      </w:r>
    </w:p>
    <w:p w14:paraId="3FDA71D3">
      <w:pPr>
        <w:snapToGrid w:val="0"/>
        <w:spacing w:line="420" w:lineRule="auto"/>
        <w:ind w:firstLine="480" w:firstLineChars="200"/>
        <w:rPr>
          <w:sz w:val="24"/>
          <w:szCs w:val="24"/>
        </w:rPr>
      </w:pPr>
      <w:r>
        <w:rPr>
          <w:rFonts w:hint="eastAsia"/>
          <w:sz w:val="24"/>
          <w:szCs w:val="24"/>
        </w:rPr>
        <w:t>（三）本合同一式陆份，具有同等法律效力，甲方执肆份，乙方执贰份，经甲、乙双方签字盖章后生效。（注：个人承租的签名加按手印，单位承租的法定代表人或负责人签名并盖公章。）</w:t>
      </w:r>
    </w:p>
    <w:p w14:paraId="299157DB">
      <w:pPr>
        <w:snapToGrid w:val="0"/>
        <w:spacing w:line="420" w:lineRule="auto"/>
        <w:ind w:firstLine="480" w:firstLineChars="200"/>
        <w:rPr>
          <w:sz w:val="24"/>
          <w:szCs w:val="24"/>
        </w:rPr>
      </w:pPr>
      <w:r>
        <w:rPr>
          <w:rFonts w:hint="eastAsia"/>
          <w:sz w:val="24"/>
          <w:szCs w:val="24"/>
        </w:rPr>
        <w:t>（以下无正文）</w:t>
      </w:r>
    </w:p>
    <w:p w14:paraId="4EA942D0">
      <w:pPr>
        <w:snapToGrid w:val="0"/>
        <w:spacing w:line="420" w:lineRule="auto"/>
        <w:rPr>
          <w:sz w:val="24"/>
          <w:szCs w:val="24"/>
        </w:rPr>
      </w:pPr>
    </w:p>
    <w:p w14:paraId="0E6BE470">
      <w:pPr>
        <w:snapToGrid w:val="0"/>
        <w:spacing w:line="420" w:lineRule="auto"/>
        <w:ind w:firstLine="480" w:firstLineChars="200"/>
        <w:rPr>
          <w:rFonts w:hint="eastAsia"/>
          <w:sz w:val="24"/>
          <w:szCs w:val="24"/>
        </w:rPr>
      </w:pPr>
    </w:p>
    <w:p w14:paraId="26FAE6F9">
      <w:pPr>
        <w:snapToGrid w:val="0"/>
        <w:spacing w:line="420" w:lineRule="auto"/>
        <w:ind w:firstLine="480" w:firstLineChars="200"/>
        <w:rPr>
          <w:sz w:val="24"/>
          <w:szCs w:val="24"/>
        </w:rPr>
      </w:pPr>
      <w:r>
        <w:rPr>
          <w:rFonts w:hint="eastAsia"/>
          <w:sz w:val="24"/>
          <w:szCs w:val="24"/>
        </w:rPr>
        <w:t xml:space="preserve">甲方（出租人）（签章）： </w:t>
      </w:r>
      <w:r>
        <w:rPr>
          <w:sz w:val="24"/>
          <w:szCs w:val="24"/>
        </w:rPr>
        <w:t xml:space="preserve">             </w:t>
      </w:r>
      <w:r>
        <w:rPr>
          <w:rFonts w:hint="eastAsia"/>
          <w:sz w:val="24"/>
          <w:szCs w:val="24"/>
        </w:rPr>
        <w:t>乙方（承租人）（签章）：</w:t>
      </w:r>
    </w:p>
    <w:p w14:paraId="16623933">
      <w:pPr>
        <w:snapToGrid w:val="0"/>
        <w:spacing w:line="420" w:lineRule="auto"/>
        <w:ind w:firstLine="0" w:firstLineChars="0"/>
        <w:rPr>
          <w:sz w:val="24"/>
          <w:szCs w:val="24"/>
        </w:rPr>
      </w:pPr>
    </w:p>
    <w:p w14:paraId="35F83797">
      <w:pPr>
        <w:pStyle w:val="2"/>
      </w:pPr>
    </w:p>
    <w:p w14:paraId="0043E129">
      <w:pPr>
        <w:snapToGrid w:val="0"/>
        <w:spacing w:line="420" w:lineRule="auto"/>
        <w:ind w:firstLine="480" w:firstLineChars="200"/>
        <w:rPr>
          <w:sz w:val="24"/>
          <w:szCs w:val="24"/>
        </w:rPr>
      </w:pPr>
      <w:r>
        <w:rPr>
          <w:rFonts w:hint="eastAsia"/>
          <w:sz w:val="24"/>
          <w:szCs w:val="24"/>
        </w:rPr>
        <w:t xml:space="preserve">法定代表人或授权代表（签字）： </w:t>
      </w:r>
      <w:r>
        <w:rPr>
          <w:sz w:val="24"/>
          <w:szCs w:val="24"/>
        </w:rPr>
        <w:t xml:space="preserve">      </w:t>
      </w:r>
      <w:r>
        <w:rPr>
          <w:rFonts w:hint="eastAsia"/>
          <w:sz w:val="24"/>
          <w:szCs w:val="24"/>
        </w:rPr>
        <w:t>法定代表人或授权代表（签字）：</w:t>
      </w:r>
    </w:p>
    <w:p w14:paraId="76B164CE">
      <w:pPr>
        <w:snapToGrid w:val="0"/>
        <w:spacing w:line="420" w:lineRule="auto"/>
        <w:ind w:firstLine="480" w:firstLineChars="200"/>
        <w:rPr>
          <w:rFonts w:hint="eastAsia"/>
          <w:sz w:val="24"/>
          <w:szCs w:val="24"/>
        </w:rPr>
      </w:pPr>
    </w:p>
    <w:p w14:paraId="1BBC2A69">
      <w:pPr>
        <w:snapToGrid w:val="0"/>
        <w:spacing w:line="420" w:lineRule="auto"/>
        <w:ind w:firstLine="480" w:firstLineChars="200"/>
        <w:rPr>
          <w:sz w:val="24"/>
          <w:szCs w:val="24"/>
        </w:rPr>
      </w:pPr>
      <w:r>
        <w:rPr>
          <w:rFonts w:hint="eastAsia"/>
          <w:sz w:val="24"/>
          <w:szCs w:val="24"/>
        </w:rPr>
        <w:t>地址：</w:t>
      </w:r>
      <w:r>
        <w:rPr>
          <w:rFonts w:hint="eastAsia" w:asciiTheme="minorEastAsia" w:hAnsiTheme="minorEastAsia"/>
          <w:sz w:val="24"/>
          <w:szCs w:val="24"/>
        </w:rPr>
        <w:t xml:space="preserve">杭州市西湖区灵溪南路3号   </w:t>
      </w:r>
      <w:r>
        <w:rPr>
          <w:rFonts w:asciiTheme="minorEastAsia" w:hAnsiTheme="minorEastAsia"/>
          <w:sz w:val="24"/>
          <w:szCs w:val="24"/>
        </w:rPr>
        <w:t xml:space="preserve">   </w:t>
      </w:r>
      <w:r>
        <w:rPr>
          <w:rFonts w:hint="eastAsia"/>
          <w:sz w:val="24"/>
          <w:szCs w:val="24"/>
        </w:rPr>
        <w:t>地址：</w:t>
      </w:r>
    </w:p>
    <w:p w14:paraId="25FCBDC4">
      <w:pPr>
        <w:snapToGrid w:val="0"/>
        <w:spacing w:line="420" w:lineRule="auto"/>
        <w:ind w:firstLine="480" w:firstLineChars="200"/>
        <w:rPr>
          <w:sz w:val="24"/>
          <w:szCs w:val="24"/>
        </w:rPr>
      </w:pPr>
      <w:r>
        <w:rPr>
          <w:rFonts w:hint="eastAsia"/>
          <w:sz w:val="24"/>
          <w:szCs w:val="24"/>
        </w:rPr>
        <w:t>联系人：</w:t>
      </w:r>
      <w:r>
        <w:rPr>
          <w:rFonts w:hint="eastAsia"/>
          <w:sz w:val="24"/>
          <w:szCs w:val="24"/>
          <w:lang w:eastAsia="zh-CN"/>
        </w:rPr>
        <w:t>徐先生</w:t>
      </w:r>
      <w:r>
        <w:rPr>
          <w:rFonts w:hint="eastAsia"/>
          <w:sz w:val="24"/>
          <w:szCs w:val="24"/>
          <w:lang w:val="en-US" w:eastAsia="zh-CN"/>
        </w:rPr>
        <w:t xml:space="preserve"> </w:t>
      </w:r>
      <w:r>
        <w:rPr>
          <w:rFonts w:hint="eastAsia"/>
          <w:sz w:val="24"/>
          <w:szCs w:val="24"/>
        </w:rPr>
        <w:t xml:space="preserve">          </w:t>
      </w:r>
      <w:r>
        <w:rPr>
          <w:sz w:val="24"/>
          <w:szCs w:val="24"/>
        </w:rPr>
        <w:t xml:space="preserve"> </w:t>
      </w:r>
      <w:r>
        <w:rPr>
          <w:rFonts w:hint="eastAsia"/>
          <w:sz w:val="24"/>
          <w:szCs w:val="24"/>
          <w:lang w:val="en-US" w:eastAsia="zh-CN"/>
        </w:rPr>
        <w:t xml:space="preserve">        </w:t>
      </w:r>
      <w:r>
        <w:rPr>
          <w:sz w:val="24"/>
          <w:szCs w:val="24"/>
        </w:rPr>
        <w:t xml:space="preserve"> </w:t>
      </w:r>
      <w:r>
        <w:rPr>
          <w:rFonts w:hint="eastAsia"/>
          <w:sz w:val="24"/>
          <w:szCs w:val="24"/>
          <w:lang w:val="en-US" w:eastAsia="zh-CN"/>
        </w:rPr>
        <w:t xml:space="preserve"> </w:t>
      </w:r>
      <w:r>
        <w:rPr>
          <w:rFonts w:hint="eastAsia"/>
          <w:sz w:val="24"/>
          <w:szCs w:val="24"/>
        </w:rPr>
        <w:t>联系人：</w:t>
      </w:r>
    </w:p>
    <w:p w14:paraId="12EA6CDC">
      <w:pPr>
        <w:snapToGrid w:val="0"/>
        <w:spacing w:line="420" w:lineRule="auto"/>
        <w:ind w:firstLine="480" w:firstLineChars="200"/>
        <w:rPr>
          <w:sz w:val="24"/>
          <w:szCs w:val="24"/>
        </w:rPr>
      </w:pPr>
      <w:r>
        <w:rPr>
          <w:rFonts w:hint="eastAsia"/>
          <w:sz w:val="24"/>
          <w:szCs w:val="24"/>
        </w:rPr>
        <w:t>联系电话：</w:t>
      </w:r>
      <w:r>
        <w:rPr>
          <w:rFonts w:hint="eastAsia"/>
          <w:sz w:val="24"/>
          <w:szCs w:val="24"/>
          <w:lang w:val="en-US" w:eastAsia="zh-CN"/>
        </w:rPr>
        <w:t>0571-87996549</w:t>
      </w:r>
      <w:r>
        <w:rPr>
          <w:rFonts w:hint="eastAsia"/>
          <w:sz w:val="24"/>
          <w:szCs w:val="24"/>
        </w:rPr>
        <w:t xml:space="preserve">    </w:t>
      </w:r>
      <w:r>
        <w:rPr>
          <w:sz w:val="24"/>
          <w:szCs w:val="24"/>
        </w:rPr>
        <w:t xml:space="preserve">         </w:t>
      </w:r>
      <w:r>
        <w:rPr>
          <w:rFonts w:hint="eastAsia"/>
          <w:sz w:val="24"/>
          <w:szCs w:val="24"/>
        </w:rPr>
        <w:t>联系电话：</w:t>
      </w:r>
    </w:p>
    <w:p w14:paraId="4F3815EE">
      <w:pPr>
        <w:snapToGrid w:val="0"/>
        <w:spacing w:line="420" w:lineRule="auto"/>
        <w:ind w:firstLine="480" w:firstLineChars="200"/>
        <w:rPr>
          <w:sz w:val="24"/>
          <w:szCs w:val="24"/>
        </w:rPr>
        <w:pPrChange w:id="0" w:author="WPS_1642486159" w:date="2025-12-24T10:56:40Z">
          <w:pPr>
            <w:snapToGrid w:val="0"/>
            <w:spacing w:line="420" w:lineRule="auto"/>
            <w:ind w:firstLine="480" w:firstLineChars="200"/>
          </w:pPr>
        </w:pPrChange>
      </w:pPr>
      <w:r>
        <w:rPr>
          <w:rFonts w:hint="eastAsia"/>
          <w:sz w:val="24"/>
          <w:szCs w:val="24"/>
        </w:rPr>
        <w:t xml:space="preserve">签订日期： </w:t>
      </w:r>
      <w:r>
        <w:rPr>
          <w:sz w:val="24"/>
          <w:szCs w:val="24"/>
        </w:rPr>
        <w:t xml:space="preserve">                         </w:t>
      </w:r>
      <w:r>
        <w:rPr>
          <w:rFonts w:hint="eastAsia"/>
          <w:sz w:val="24"/>
          <w:szCs w:val="24"/>
        </w:rPr>
        <w:t>签订日期：</w:t>
      </w:r>
    </w:p>
    <w:sectPr>
      <w:footerReference r:id="rId3" w:type="default"/>
      <w:pgSz w:w="11906" w:h="16838"/>
      <w:pgMar w:top="1361" w:right="1588" w:bottom="1361" w:left="1588" w:header="851" w:footer="850" w:gutter="0"/>
      <w:pgNumType w:start="1"/>
      <w:cols w:space="425"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0904768"/>
      <w:docPartObj>
        <w:docPartGallery w:val="autotext"/>
      </w:docPartObj>
    </w:sdtPr>
    <w:sdtContent>
      <w:sdt>
        <w:sdtPr>
          <w:id w:val="1728636285"/>
          <w:docPartObj>
            <w:docPartGallery w:val="autotext"/>
          </w:docPartObj>
        </w:sdtPr>
        <w:sdtContent>
          <w:p w14:paraId="3EDE2B2A">
            <w:pPr>
              <w:pStyle w:val="5"/>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14:paraId="2F45CC56">
    <w:pPr>
      <w:pStyle w:val="5"/>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PS_1642486159">
    <w15:presenceInfo w15:providerId="WPS Office" w15:userId="72799287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420"/>
  <w:drawingGridHorizontalSpacing w:val="140"/>
  <w:drawingGridVerticalSpacing w:val="38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5ZmM4MDkzODA4NGUwZmUwZmMyODkwZDU2MGFhZDYifQ=="/>
  </w:docVars>
  <w:rsids>
    <w:rsidRoot w:val="00322ADA"/>
    <w:rsid w:val="00001BA7"/>
    <w:rsid w:val="00013963"/>
    <w:rsid w:val="0002296C"/>
    <w:rsid w:val="00026031"/>
    <w:rsid w:val="000337C0"/>
    <w:rsid w:val="000357A1"/>
    <w:rsid w:val="0003604A"/>
    <w:rsid w:val="00044675"/>
    <w:rsid w:val="00072605"/>
    <w:rsid w:val="000760E8"/>
    <w:rsid w:val="000A3AB0"/>
    <w:rsid w:val="000A3CDB"/>
    <w:rsid w:val="000A5892"/>
    <w:rsid w:val="000A61C7"/>
    <w:rsid w:val="000B1CBE"/>
    <w:rsid w:val="000C0443"/>
    <w:rsid w:val="000C3872"/>
    <w:rsid w:val="000D5AB0"/>
    <w:rsid w:val="000D5F1F"/>
    <w:rsid w:val="000F126F"/>
    <w:rsid w:val="000F7D3D"/>
    <w:rsid w:val="00113F13"/>
    <w:rsid w:val="00126678"/>
    <w:rsid w:val="001272A3"/>
    <w:rsid w:val="00131B3E"/>
    <w:rsid w:val="001333C7"/>
    <w:rsid w:val="00137D31"/>
    <w:rsid w:val="00143FE2"/>
    <w:rsid w:val="0015746C"/>
    <w:rsid w:val="00167A5E"/>
    <w:rsid w:val="001718BE"/>
    <w:rsid w:val="00173E96"/>
    <w:rsid w:val="001841F5"/>
    <w:rsid w:val="00185943"/>
    <w:rsid w:val="00186788"/>
    <w:rsid w:val="00190007"/>
    <w:rsid w:val="001959F6"/>
    <w:rsid w:val="001C6A68"/>
    <w:rsid w:val="001E250E"/>
    <w:rsid w:val="001E3748"/>
    <w:rsid w:val="001F2293"/>
    <w:rsid w:val="00205992"/>
    <w:rsid w:val="002122FF"/>
    <w:rsid w:val="00230138"/>
    <w:rsid w:val="00230978"/>
    <w:rsid w:val="00235222"/>
    <w:rsid w:val="00255A8D"/>
    <w:rsid w:val="00272372"/>
    <w:rsid w:val="00276021"/>
    <w:rsid w:val="002862B3"/>
    <w:rsid w:val="00286B49"/>
    <w:rsid w:val="00287738"/>
    <w:rsid w:val="00294328"/>
    <w:rsid w:val="002A2954"/>
    <w:rsid w:val="002A2C14"/>
    <w:rsid w:val="002B115B"/>
    <w:rsid w:val="002B46B5"/>
    <w:rsid w:val="002C435D"/>
    <w:rsid w:val="002C52D6"/>
    <w:rsid w:val="002F095B"/>
    <w:rsid w:val="002F5C97"/>
    <w:rsid w:val="0030066D"/>
    <w:rsid w:val="00307DFD"/>
    <w:rsid w:val="00310034"/>
    <w:rsid w:val="00314040"/>
    <w:rsid w:val="00314EB1"/>
    <w:rsid w:val="003178BF"/>
    <w:rsid w:val="00322ADA"/>
    <w:rsid w:val="00326637"/>
    <w:rsid w:val="00330259"/>
    <w:rsid w:val="00335674"/>
    <w:rsid w:val="0034027B"/>
    <w:rsid w:val="00342985"/>
    <w:rsid w:val="0034337C"/>
    <w:rsid w:val="00347212"/>
    <w:rsid w:val="0035060D"/>
    <w:rsid w:val="00362E00"/>
    <w:rsid w:val="00363572"/>
    <w:rsid w:val="003657AF"/>
    <w:rsid w:val="00372ABD"/>
    <w:rsid w:val="003815C4"/>
    <w:rsid w:val="00385E4D"/>
    <w:rsid w:val="00386BB1"/>
    <w:rsid w:val="00387EE6"/>
    <w:rsid w:val="003A76A3"/>
    <w:rsid w:val="003C6A20"/>
    <w:rsid w:val="003D4B6E"/>
    <w:rsid w:val="003D5B5C"/>
    <w:rsid w:val="003E1304"/>
    <w:rsid w:val="003E4313"/>
    <w:rsid w:val="003E47A0"/>
    <w:rsid w:val="003E5109"/>
    <w:rsid w:val="00414709"/>
    <w:rsid w:val="00417BE2"/>
    <w:rsid w:val="004259AC"/>
    <w:rsid w:val="00436AF3"/>
    <w:rsid w:val="00447691"/>
    <w:rsid w:val="004731A6"/>
    <w:rsid w:val="00473BA8"/>
    <w:rsid w:val="004752A7"/>
    <w:rsid w:val="004845CD"/>
    <w:rsid w:val="00487613"/>
    <w:rsid w:val="0049382F"/>
    <w:rsid w:val="004975AB"/>
    <w:rsid w:val="004D205C"/>
    <w:rsid w:val="004E1DF3"/>
    <w:rsid w:val="004E1EB4"/>
    <w:rsid w:val="004E33DC"/>
    <w:rsid w:val="004E3538"/>
    <w:rsid w:val="00500B61"/>
    <w:rsid w:val="00501127"/>
    <w:rsid w:val="00503BD5"/>
    <w:rsid w:val="0050447C"/>
    <w:rsid w:val="005134AD"/>
    <w:rsid w:val="00521A04"/>
    <w:rsid w:val="00530086"/>
    <w:rsid w:val="0054754A"/>
    <w:rsid w:val="00547FF6"/>
    <w:rsid w:val="00551430"/>
    <w:rsid w:val="00562D1B"/>
    <w:rsid w:val="00584EC5"/>
    <w:rsid w:val="00597048"/>
    <w:rsid w:val="005A7408"/>
    <w:rsid w:val="005C75BE"/>
    <w:rsid w:val="005D5E19"/>
    <w:rsid w:val="005E2259"/>
    <w:rsid w:val="005E2653"/>
    <w:rsid w:val="005E358A"/>
    <w:rsid w:val="005E4635"/>
    <w:rsid w:val="005E6916"/>
    <w:rsid w:val="005E7E48"/>
    <w:rsid w:val="00603F17"/>
    <w:rsid w:val="006472E5"/>
    <w:rsid w:val="00655173"/>
    <w:rsid w:val="00656919"/>
    <w:rsid w:val="0066477A"/>
    <w:rsid w:val="00667906"/>
    <w:rsid w:val="00675C83"/>
    <w:rsid w:val="006822D8"/>
    <w:rsid w:val="006921AD"/>
    <w:rsid w:val="006946C8"/>
    <w:rsid w:val="006A3DB1"/>
    <w:rsid w:val="006B039A"/>
    <w:rsid w:val="006B0ADC"/>
    <w:rsid w:val="006C3633"/>
    <w:rsid w:val="006C3A76"/>
    <w:rsid w:val="006C3C34"/>
    <w:rsid w:val="006C6111"/>
    <w:rsid w:val="006D3EEB"/>
    <w:rsid w:val="006D430B"/>
    <w:rsid w:val="006E058A"/>
    <w:rsid w:val="006E1A3D"/>
    <w:rsid w:val="006E3941"/>
    <w:rsid w:val="006F5676"/>
    <w:rsid w:val="00700B03"/>
    <w:rsid w:val="007034FA"/>
    <w:rsid w:val="007149FF"/>
    <w:rsid w:val="00715664"/>
    <w:rsid w:val="007204C0"/>
    <w:rsid w:val="00733579"/>
    <w:rsid w:val="00742E64"/>
    <w:rsid w:val="00744BA4"/>
    <w:rsid w:val="00751DFE"/>
    <w:rsid w:val="0076275B"/>
    <w:rsid w:val="00762D04"/>
    <w:rsid w:val="00764588"/>
    <w:rsid w:val="007645D9"/>
    <w:rsid w:val="00765068"/>
    <w:rsid w:val="00773FC7"/>
    <w:rsid w:val="00775F9E"/>
    <w:rsid w:val="00782066"/>
    <w:rsid w:val="0078433D"/>
    <w:rsid w:val="0078477B"/>
    <w:rsid w:val="0079534D"/>
    <w:rsid w:val="007B5130"/>
    <w:rsid w:val="007B7CBE"/>
    <w:rsid w:val="007C3168"/>
    <w:rsid w:val="007D0A5B"/>
    <w:rsid w:val="007D0D4C"/>
    <w:rsid w:val="007E39B4"/>
    <w:rsid w:val="007E4829"/>
    <w:rsid w:val="007E72C7"/>
    <w:rsid w:val="007F22C8"/>
    <w:rsid w:val="007F26F3"/>
    <w:rsid w:val="007F4413"/>
    <w:rsid w:val="007F5475"/>
    <w:rsid w:val="0080100E"/>
    <w:rsid w:val="008331B3"/>
    <w:rsid w:val="008336B9"/>
    <w:rsid w:val="008453AB"/>
    <w:rsid w:val="008466FA"/>
    <w:rsid w:val="008555C4"/>
    <w:rsid w:val="008662F8"/>
    <w:rsid w:val="00871F9A"/>
    <w:rsid w:val="008720E3"/>
    <w:rsid w:val="00873BAA"/>
    <w:rsid w:val="008818A3"/>
    <w:rsid w:val="008938FF"/>
    <w:rsid w:val="008A47E9"/>
    <w:rsid w:val="008A77C9"/>
    <w:rsid w:val="008B1636"/>
    <w:rsid w:val="008C47E7"/>
    <w:rsid w:val="008D008C"/>
    <w:rsid w:val="008D1BC9"/>
    <w:rsid w:val="008D3446"/>
    <w:rsid w:val="008D35CC"/>
    <w:rsid w:val="008D3C65"/>
    <w:rsid w:val="008D6112"/>
    <w:rsid w:val="008E448D"/>
    <w:rsid w:val="008F5498"/>
    <w:rsid w:val="008F6528"/>
    <w:rsid w:val="00912186"/>
    <w:rsid w:val="00917E74"/>
    <w:rsid w:val="0092592E"/>
    <w:rsid w:val="0093605F"/>
    <w:rsid w:val="0094184F"/>
    <w:rsid w:val="00945E4E"/>
    <w:rsid w:val="009467DD"/>
    <w:rsid w:val="00946BD8"/>
    <w:rsid w:val="00955845"/>
    <w:rsid w:val="0096406C"/>
    <w:rsid w:val="009642A4"/>
    <w:rsid w:val="00971372"/>
    <w:rsid w:val="00972639"/>
    <w:rsid w:val="009A305D"/>
    <w:rsid w:val="009C149E"/>
    <w:rsid w:val="009C1E08"/>
    <w:rsid w:val="009C295A"/>
    <w:rsid w:val="009D1E7A"/>
    <w:rsid w:val="009F28B4"/>
    <w:rsid w:val="00A073A6"/>
    <w:rsid w:val="00A132CA"/>
    <w:rsid w:val="00A150A2"/>
    <w:rsid w:val="00A17D86"/>
    <w:rsid w:val="00A2536D"/>
    <w:rsid w:val="00A5059D"/>
    <w:rsid w:val="00A6006D"/>
    <w:rsid w:val="00A62971"/>
    <w:rsid w:val="00A7374F"/>
    <w:rsid w:val="00AA5863"/>
    <w:rsid w:val="00AA5BAF"/>
    <w:rsid w:val="00AB1D7F"/>
    <w:rsid w:val="00AB6D9A"/>
    <w:rsid w:val="00AC7A51"/>
    <w:rsid w:val="00AD6DCA"/>
    <w:rsid w:val="00AE3465"/>
    <w:rsid w:val="00AE4594"/>
    <w:rsid w:val="00AF2FD6"/>
    <w:rsid w:val="00AF7884"/>
    <w:rsid w:val="00B045F8"/>
    <w:rsid w:val="00B12989"/>
    <w:rsid w:val="00B16005"/>
    <w:rsid w:val="00B337E0"/>
    <w:rsid w:val="00B47889"/>
    <w:rsid w:val="00B51830"/>
    <w:rsid w:val="00B532DB"/>
    <w:rsid w:val="00B5406C"/>
    <w:rsid w:val="00B611A6"/>
    <w:rsid w:val="00B6365B"/>
    <w:rsid w:val="00B63BAC"/>
    <w:rsid w:val="00B6589F"/>
    <w:rsid w:val="00B65BBF"/>
    <w:rsid w:val="00B94565"/>
    <w:rsid w:val="00B951DD"/>
    <w:rsid w:val="00BA4EDD"/>
    <w:rsid w:val="00BA77EC"/>
    <w:rsid w:val="00BB3416"/>
    <w:rsid w:val="00BC405B"/>
    <w:rsid w:val="00BC6123"/>
    <w:rsid w:val="00BD1310"/>
    <w:rsid w:val="00BD3390"/>
    <w:rsid w:val="00BF15B5"/>
    <w:rsid w:val="00C03AF7"/>
    <w:rsid w:val="00C0652F"/>
    <w:rsid w:val="00C100BF"/>
    <w:rsid w:val="00C1493A"/>
    <w:rsid w:val="00C32F31"/>
    <w:rsid w:val="00C553DE"/>
    <w:rsid w:val="00C61CC7"/>
    <w:rsid w:val="00C620DB"/>
    <w:rsid w:val="00C62DBF"/>
    <w:rsid w:val="00C64CFC"/>
    <w:rsid w:val="00C6571A"/>
    <w:rsid w:val="00C67E66"/>
    <w:rsid w:val="00C70D89"/>
    <w:rsid w:val="00C822DA"/>
    <w:rsid w:val="00C85CEA"/>
    <w:rsid w:val="00C85F1C"/>
    <w:rsid w:val="00C863A8"/>
    <w:rsid w:val="00C9068E"/>
    <w:rsid w:val="00C923DA"/>
    <w:rsid w:val="00CA6874"/>
    <w:rsid w:val="00CA76FE"/>
    <w:rsid w:val="00CB30E9"/>
    <w:rsid w:val="00CB40A4"/>
    <w:rsid w:val="00CB4743"/>
    <w:rsid w:val="00CC326C"/>
    <w:rsid w:val="00CC69E0"/>
    <w:rsid w:val="00CD4ECB"/>
    <w:rsid w:val="00CD6A42"/>
    <w:rsid w:val="00CD6D48"/>
    <w:rsid w:val="00CF053A"/>
    <w:rsid w:val="00CF1E7F"/>
    <w:rsid w:val="00D1179C"/>
    <w:rsid w:val="00D20CE4"/>
    <w:rsid w:val="00D2682F"/>
    <w:rsid w:val="00D40E16"/>
    <w:rsid w:val="00D40F75"/>
    <w:rsid w:val="00D4791D"/>
    <w:rsid w:val="00D50E6E"/>
    <w:rsid w:val="00D5586E"/>
    <w:rsid w:val="00D66FBB"/>
    <w:rsid w:val="00D71042"/>
    <w:rsid w:val="00D767B4"/>
    <w:rsid w:val="00D91C61"/>
    <w:rsid w:val="00D92AFC"/>
    <w:rsid w:val="00D93FCD"/>
    <w:rsid w:val="00D948E9"/>
    <w:rsid w:val="00D94A7D"/>
    <w:rsid w:val="00D95686"/>
    <w:rsid w:val="00DA24D1"/>
    <w:rsid w:val="00DB4DBB"/>
    <w:rsid w:val="00DD3056"/>
    <w:rsid w:val="00DD3686"/>
    <w:rsid w:val="00DE6EBA"/>
    <w:rsid w:val="00DF0A59"/>
    <w:rsid w:val="00E1078E"/>
    <w:rsid w:val="00E15F4E"/>
    <w:rsid w:val="00E16531"/>
    <w:rsid w:val="00E16F2D"/>
    <w:rsid w:val="00E34FC4"/>
    <w:rsid w:val="00E4373A"/>
    <w:rsid w:val="00E44A03"/>
    <w:rsid w:val="00E60ECE"/>
    <w:rsid w:val="00E65641"/>
    <w:rsid w:val="00E660DE"/>
    <w:rsid w:val="00E74A6B"/>
    <w:rsid w:val="00E91E7C"/>
    <w:rsid w:val="00EA06FD"/>
    <w:rsid w:val="00EB159D"/>
    <w:rsid w:val="00EB23D2"/>
    <w:rsid w:val="00EB42DC"/>
    <w:rsid w:val="00EB5948"/>
    <w:rsid w:val="00EC3824"/>
    <w:rsid w:val="00ED6A91"/>
    <w:rsid w:val="00ED7040"/>
    <w:rsid w:val="00EE0282"/>
    <w:rsid w:val="00EE2D6F"/>
    <w:rsid w:val="00EE7125"/>
    <w:rsid w:val="00EF51E2"/>
    <w:rsid w:val="00F21770"/>
    <w:rsid w:val="00F315BE"/>
    <w:rsid w:val="00F317F1"/>
    <w:rsid w:val="00F35DBE"/>
    <w:rsid w:val="00F36176"/>
    <w:rsid w:val="00F36906"/>
    <w:rsid w:val="00F65D14"/>
    <w:rsid w:val="00F835E6"/>
    <w:rsid w:val="00F86567"/>
    <w:rsid w:val="00F87DBC"/>
    <w:rsid w:val="00FA1F59"/>
    <w:rsid w:val="00FB60E7"/>
    <w:rsid w:val="00FC199C"/>
    <w:rsid w:val="00FC5296"/>
    <w:rsid w:val="00FE18A7"/>
    <w:rsid w:val="00FE226A"/>
    <w:rsid w:val="00FE2879"/>
    <w:rsid w:val="00FE301B"/>
    <w:rsid w:val="00FE7048"/>
    <w:rsid w:val="00FE7AFA"/>
    <w:rsid w:val="00FF4413"/>
    <w:rsid w:val="00FF5536"/>
    <w:rsid w:val="032E2A1A"/>
    <w:rsid w:val="036C04E5"/>
    <w:rsid w:val="098E3A7F"/>
    <w:rsid w:val="10936BB7"/>
    <w:rsid w:val="138E46D7"/>
    <w:rsid w:val="16D46DD3"/>
    <w:rsid w:val="17D17958"/>
    <w:rsid w:val="18871E13"/>
    <w:rsid w:val="1912797C"/>
    <w:rsid w:val="1DA67191"/>
    <w:rsid w:val="1E5B2D0A"/>
    <w:rsid w:val="21275BFF"/>
    <w:rsid w:val="22D14A36"/>
    <w:rsid w:val="25D24FC7"/>
    <w:rsid w:val="296879F1"/>
    <w:rsid w:val="2A6E4DA2"/>
    <w:rsid w:val="2B0C65C0"/>
    <w:rsid w:val="2B5E4180"/>
    <w:rsid w:val="2E4711C6"/>
    <w:rsid w:val="2E6E13A1"/>
    <w:rsid w:val="307B0030"/>
    <w:rsid w:val="344913F6"/>
    <w:rsid w:val="34871673"/>
    <w:rsid w:val="3B6B751C"/>
    <w:rsid w:val="427722CE"/>
    <w:rsid w:val="43E240C5"/>
    <w:rsid w:val="45A81F95"/>
    <w:rsid w:val="4753686F"/>
    <w:rsid w:val="4CBA77E0"/>
    <w:rsid w:val="4E204980"/>
    <w:rsid w:val="4F5D778F"/>
    <w:rsid w:val="4FD70955"/>
    <w:rsid w:val="56FF2E93"/>
    <w:rsid w:val="59011144"/>
    <w:rsid w:val="5A221A26"/>
    <w:rsid w:val="6465787F"/>
    <w:rsid w:val="64DD2C79"/>
    <w:rsid w:val="66505A1C"/>
    <w:rsid w:val="68F72223"/>
    <w:rsid w:val="6A3C0FD0"/>
    <w:rsid w:val="6B394BF7"/>
    <w:rsid w:val="6EFE60E3"/>
    <w:rsid w:val="6FB56BAB"/>
    <w:rsid w:val="703439B4"/>
    <w:rsid w:val="70F15D00"/>
    <w:rsid w:val="778E0514"/>
    <w:rsid w:val="7E85076B"/>
    <w:rsid w:val="7EDA7958"/>
    <w:rsid w:val="7FC248DA"/>
    <w:rsid w:val="7FCF35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after="120"/>
    </w:pPr>
    <w:rPr>
      <w:b/>
      <w:bCs/>
      <w:caps/>
      <w:sz w:val="20"/>
    </w:rPr>
  </w:style>
  <w:style w:type="paragraph" w:styleId="3">
    <w:name w:val="annotation text"/>
    <w:basedOn w:val="1"/>
    <w:link w:val="18"/>
    <w:semiHidden/>
    <w:unhideWhenUsed/>
    <w:qFormat/>
    <w:uiPriority w:val="99"/>
    <w:pPr>
      <w:jc w:val="left"/>
    </w:pPr>
  </w:style>
  <w:style w:type="paragraph" w:styleId="4">
    <w:name w:val="Body Text Indent"/>
    <w:basedOn w:val="1"/>
    <w:link w:val="16"/>
    <w:unhideWhenUsed/>
    <w:qFormat/>
    <w:uiPriority w:val="0"/>
    <w:pPr>
      <w:widowControl/>
      <w:ind w:firstLine="630" w:firstLineChars="300"/>
      <w:jc w:val="left"/>
    </w:pPr>
    <w:rPr>
      <w:rFonts w:ascii="Calibri" w:hAnsi="Calibri"/>
      <w:kern w:val="0"/>
      <w:sz w:val="24"/>
      <w:szCs w:val="24"/>
    </w:rPr>
  </w:style>
  <w:style w:type="paragraph" w:styleId="5">
    <w:name w:val="footer"/>
    <w:basedOn w:val="1"/>
    <w:link w:val="14"/>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8">
    <w:name w:val="annotation subject"/>
    <w:basedOn w:val="3"/>
    <w:next w:val="3"/>
    <w:link w:val="19"/>
    <w:semiHidden/>
    <w:unhideWhenUsed/>
    <w:qFormat/>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semiHidden/>
    <w:unhideWhenUsed/>
    <w:qFormat/>
    <w:uiPriority w:val="99"/>
    <w:rPr>
      <w:sz w:val="21"/>
      <w:szCs w:val="21"/>
    </w:rPr>
  </w:style>
  <w:style w:type="character" w:customStyle="1" w:styleId="13">
    <w:name w:val="页眉 字符"/>
    <w:basedOn w:val="11"/>
    <w:link w:val="6"/>
    <w:qFormat/>
    <w:uiPriority w:val="99"/>
    <w:rPr>
      <w:sz w:val="18"/>
      <w:szCs w:val="18"/>
    </w:rPr>
  </w:style>
  <w:style w:type="character" w:customStyle="1" w:styleId="14">
    <w:name w:val="页脚 字符"/>
    <w:basedOn w:val="11"/>
    <w:link w:val="5"/>
    <w:qFormat/>
    <w:uiPriority w:val="99"/>
    <w:rPr>
      <w:sz w:val="18"/>
      <w:szCs w:val="18"/>
    </w:rPr>
  </w:style>
  <w:style w:type="paragraph" w:styleId="15">
    <w:name w:val="List Paragraph"/>
    <w:basedOn w:val="1"/>
    <w:qFormat/>
    <w:uiPriority w:val="34"/>
    <w:pPr>
      <w:ind w:firstLine="420" w:firstLineChars="200"/>
    </w:pPr>
  </w:style>
  <w:style w:type="character" w:customStyle="1" w:styleId="16">
    <w:name w:val="正文文本缩进 字符"/>
    <w:basedOn w:val="11"/>
    <w:link w:val="4"/>
    <w:qFormat/>
    <w:uiPriority w:val="0"/>
    <w:rPr>
      <w:rFonts w:ascii="Calibri" w:hAnsi="Calibri" w:eastAsia="宋体" w:cs="Times New Roman"/>
      <w:kern w:val="0"/>
      <w:sz w:val="24"/>
      <w:szCs w:val="24"/>
    </w:rPr>
  </w:style>
  <w:style w:type="paragraph" w:customStyle="1" w:styleId="17">
    <w:name w:val="修订1"/>
    <w:hidden/>
    <w:unhideWhenUsed/>
    <w:qFormat/>
    <w:uiPriority w:val="99"/>
    <w:rPr>
      <w:rFonts w:ascii="Times New Roman" w:hAnsi="Times New Roman" w:eastAsia="宋体" w:cs="Times New Roman"/>
      <w:kern w:val="2"/>
      <w:sz w:val="28"/>
      <w:lang w:val="en-US" w:eastAsia="zh-CN" w:bidi="ar-SA"/>
    </w:rPr>
  </w:style>
  <w:style w:type="character" w:customStyle="1" w:styleId="18">
    <w:name w:val="批注文字 字符"/>
    <w:basedOn w:val="11"/>
    <w:link w:val="3"/>
    <w:semiHidden/>
    <w:qFormat/>
    <w:uiPriority w:val="99"/>
    <w:rPr>
      <w:rFonts w:ascii="Times New Roman" w:hAnsi="Times New Roman" w:eastAsia="宋体" w:cs="Times New Roman"/>
      <w:kern w:val="2"/>
      <w:sz w:val="28"/>
    </w:rPr>
  </w:style>
  <w:style w:type="character" w:customStyle="1" w:styleId="19">
    <w:name w:val="批注主题 字符"/>
    <w:basedOn w:val="18"/>
    <w:link w:val="8"/>
    <w:semiHidden/>
    <w:qFormat/>
    <w:uiPriority w:val="99"/>
    <w:rPr>
      <w:rFonts w:ascii="Times New Roman" w:hAnsi="Times New Roman" w:eastAsia="宋体" w:cs="Times New Roman"/>
      <w:b/>
      <w:bCs/>
      <w:kern w:val="2"/>
      <w:sz w:val="28"/>
    </w:rPr>
  </w:style>
  <w:style w:type="paragraph" w:customStyle="1" w:styleId="20">
    <w:name w:val="Revision"/>
    <w:hidden/>
    <w:unhideWhenUsed/>
    <w:qFormat/>
    <w:uiPriority w:val="99"/>
    <w:rPr>
      <w:rFonts w:ascii="Times New Roman" w:hAnsi="Times New Roman" w:eastAsia="宋体" w:cs="Times New Roman"/>
      <w:kern w:val="2"/>
      <w:sz w:val="28"/>
      <w:lang w:val="en-US" w:eastAsia="zh-CN" w:bidi="ar-SA"/>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2FA66A-4246-475F-97E1-31E6264B524D}">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9</Pages>
  <Words>5936</Words>
  <Characters>6101</Characters>
  <Lines>51</Lines>
  <Paragraphs>14</Paragraphs>
  <TotalTime>3</TotalTime>
  <ScaleCrop>false</ScaleCrop>
  <LinksUpToDate>false</LinksUpToDate>
  <CharactersWithSpaces>6299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2023-08-14T08:36:00Z</dcterms:created>
  <dc:creator>USER-</dc:creator>
  <cp:lastModifiedBy>Li</cp:lastModifiedBy>
  <cp:lastPrinted>2026-01-21T02:09:00Z</cp:lastPrinted>
  <dcterms:modified xsi:type="dcterms:W3CDTF">2026-01-23T03:05:18Z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57F1D8E6C243469699BDD977EF197944_13</vt:lpwstr>
  </property>
  <property fmtid="{D5CDD505-2E9C-101B-9397-08002B2CF9AE}" pid="4" name="KSOTemplateDocerSaveRecord">
    <vt:lpwstr>eyJoZGlkIjoiZDQyMTliOGFhNjFjMjMxMzk1NWU0ZWU0ZTU0OGM4MzYiLCJ1c2VySWQiOiIyODI2MTEwMTEifQ==</vt:lpwstr>
  </property>
</Properties>
</file>